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3492A" w14:textId="77777777" w:rsidR="00BE09DA" w:rsidRDefault="00BE09DA" w:rsidP="00BE09DA">
      <w:pPr>
        <w:spacing w:before="200"/>
        <w:ind w:firstLine="720"/>
        <w:jc w:val="center"/>
        <w:rPr>
          <w:rFonts w:cs="Arial"/>
          <w:b/>
        </w:rPr>
      </w:pPr>
      <w:r>
        <w:rPr>
          <w:b/>
          <w:noProof/>
          <w:sz w:val="56"/>
        </w:rPr>
        <w:drawing>
          <wp:inline distT="0" distB="0" distL="0" distR="0" wp14:anchorId="0E986D72" wp14:editId="0FFDDBE9">
            <wp:extent cx="3524324" cy="1404938"/>
            <wp:effectExtent l="0" t="0" r="0" b="5080"/>
            <wp:docPr id="726759203" name="Picture 72675920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59203" name="Picture 726759203"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324" cy="1404938"/>
                    </a:xfrm>
                    <a:prstGeom prst="rect">
                      <a:avLst/>
                    </a:prstGeom>
                    <a:noFill/>
                  </pic:spPr>
                </pic:pic>
              </a:graphicData>
            </a:graphic>
          </wp:inline>
        </w:drawing>
      </w:r>
    </w:p>
    <w:p w14:paraId="6FEA8D19" w14:textId="77777777" w:rsidR="00BE09DA" w:rsidRDefault="00BE09DA" w:rsidP="00BE09DA">
      <w:pPr>
        <w:spacing w:before="200"/>
        <w:ind w:firstLine="720"/>
        <w:jc w:val="center"/>
        <w:rPr>
          <w:rFonts w:cs="Arial"/>
          <w:b/>
        </w:rPr>
      </w:pPr>
    </w:p>
    <w:p w14:paraId="1433E4CE" w14:textId="788CD629" w:rsidR="00BE09DA" w:rsidRDefault="00BE09DA" w:rsidP="00BE09DA">
      <w:pPr>
        <w:tabs>
          <w:tab w:val="left" w:pos="7056"/>
        </w:tabs>
        <w:spacing w:before="212"/>
        <w:rPr>
          <w:b/>
          <w:sz w:val="48"/>
          <w:szCs w:val="48"/>
        </w:rPr>
      </w:pPr>
      <w:r w:rsidRPr="00DD5969">
        <w:rPr>
          <w:b/>
          <w:sz w:val="48"/>
          <w:szCs w:val="48"/>
        </w:rPr>
        <w:t>MODULE CODE:</w:t>
      </w:r>
      <w:r>
        <w:rPr>
          <w:b/>
          <w:sz w:val="48"/>
          <w:szCs w:val="48"/>
        </w:rPr>
        <w:t>ECDE70</w:t>
      </w:r>
      <w:r w:rsidR="00A413B2">
        <w:rPr>
          <w:b/>
          <w:sz w:val="48"/>
          <w:szCs w:val="48"/>
        </w:rPr>
        <w:t>20</w:t>
      </w:r>
      <w:r>
        <w:rPr>
          <w:b/>
          <w:sz w:val="48"/>
          <w:szCs w:val="48"/>
        </w:rPr>
        <w:tab/>
      </w:r>
    </w:p>
    <w:p w14:paraId="25DD7BE5" w14:textId="77777777" w:rsidR="00BE09DA" w:rsidRDefault="00BE09DA" w:rsidP="00BE09DA">
      <w:pPr>
        <w:spacing w:before="212"/>
        <w:rPr>
          <w:b/>
          <w:sz w:val="48"/>
          <w:szCs w:val="48"/>
        </w:rPr>
      </w:pPr>
    </w:p>
    <w:p w14:paraId="3CE6B77D" w14:textId="6B9DE6C0" w:rsidR="00BE09DA" w:rsidRPr="00DD5969" w:rsidRDefault="00BE09DA" w:rsidP="00BE09DA">
      <w:pPr>
        <w:spacing w:before="212"/>
        <w:rPr>
          <w:b/>
          <w:sz w:val="48"/>
          <w:szCs w:val="48"/>
        </w:rPr>
      </w:pPr>
      <w:r>
        <w:rPr>
          <w:b/>
          <w:sz w:val="48"/>
          <w:szCs w:val="48"/>
        </w:rPr>
        <w:t>ASSESSMENT COMPONENT: Component 1</w:t>
      </w:r>
    </w:p>
    <w:p w14:paraId="7A1A1232" w14:textId="77777777" w:rsidR="00BE09DA" w:rsidRDefault="00BE09DA" w:rsidP="00BE09DA">
      <w:pPr>
        <w:spacing w:before="7"/>
        <w:jc w:val="center"/>
        <w:rPr>
          <w:b/>
          <w:sz w:val="44"/>
        </w:rPr>
      </w:pPr>
    </w:p>
    <w:p w14:paraId="5538F58F" w14:textId="77777777" w:rsidR="00BE09DA" w:rsidRPr="00DD5969" w:rsidRDefault="00BE09DA" w:rsidP="00BE09DA">
      <w:pPr>
        <w:spacing w:before="3"/>
        <w:rPr>
          <w:b/>
          <w:sz w:val="48"/>
          <w:szCs w:val="48"/>
        </w:rPr>
      </w:pPr>
      <w:r w:rsidRPr="00DD5969">
        <w:rPr>
          <w:b/>
          <w:sz w:val="48"/>
          <w:szCs w:val="48"/>
        </w:rPr>
        <w:t xml:space="preserve">STUDENT </w:t>
      </w:r>
      <w:proofErr w:type="spellStart"/>
      <w:proofErr w:type="gramStart"/>
      <w:r w:rsidRPr="00DD5969">
        <w:rPr>
          <w:b/>
          <w:sz w:val="48"/>
          <w:szCs w:val="48"/>
        </w:rPr>
        <w:t>NAME:</w:t>
      </w:r>
      <w:r>
        <w:rPr>
          <w:b/>
          <w:sz w:val="48"/>
          <w:szCs w:val="48"/>
        </w:rPr>
        <w:t>Inam</w:t>
      </w:r>
      <w:proofErr w:type="spellEnd"/>
      <w:proofErr w:type="gramEnd"/>
      <w:r>
        <w:rPr>
          <w:b/>
          <w:sz w:val="48"/>
          <w:szCs w:val="48"/>
        </w:rPr>
        <w:t xml:space="preserve"> Alsalim</w:t>
      </w:r>
    </w:p>
    <w:p w14:paraId="4FFA4FB6" w14:textId="77777777" w:rsidR="00617CC8" w:rsidRDefault="00BE09DA" w:rsidP="00617CC8">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2502495</w:t>
      </w:r>
    </w:p>
    <w:p w14:paraId="207B328B" w14:textId="06679CE2" w:rsidR="00BE09DA" w:rsidRPr="00617CC8" w:rsidRDefault="00BE09DA" w:rsidP="00617CC8">
      <w:pPr>
        <w:spacing w:before="3"/>
        <w:rPr>
          <w:b/>
          <w:sz w:val="48"/>
          <w:szCs w:val="48"/>
        </w:rPr>
      </w:pPr>
      <w:r w:rsidRPr="00E243A8">
        <w:rPr>
          <w:b/>
          <w:bCs/>
          <w:sz w:val="32"/>
          <w:szCs w:val="32"/>
          <w:u w:val="single"/>
        </w:rPr>
        <w:t>AI Acknowledgement</w:t>
      </w:r>
    </w:p>
    <w:p w14:paraId="36EE2283" w14:textId="77777777" w:rsidR="00BE09DA" w:rsidRDefault="00BE09DA" w:rsidP="00BE09DA">
      <w:r w:rsidRPr="00E243A8">
        <w:t xml:space="preserve">I confirm that I have not used any AI tools in the research and creation of this assignment. </w:t>
      </w:r>
    </w:p>
    <w:p w14:paraId="68AED2A8" w14:textId="77777777" w:rsidR="00BE09DA" w:rsidRDefault="00BE09DA" w:rsidP="00BE09DA">
      <w:r w:rsidRPr="00E243A8">
        <w:t xml:space="preserve">I confirm that I have not presented any AI generated materials as my own work. </w:t>
      </w:r>
    </w:p>
    <w:p w14:paraId="15D4536C" w14:textId="77777777" w:rsidR="00BE09DA" w:rsidRDefault="00BE09DA" w:rsidP="00BE09DA">
      <w:r w:rsidRPr="00E243A8">
        <w:t xml:space="preserve">I confirm </w:t>
      </w:r>
      <w:r>
        <w:t xml:space="preserve">that </w:t>
      </w:r>
      <w:r w:rsidRPr="00E243A8">
        <w:t>I have copies of my drafts, notes, and other resources I used, which I may be asked to provide in evidence.</w:t>
      </w:r>
    </w:p>
    <w:p w14:paraId="43CD1931" w14:textId="77777777" w:rsidR="00617CC8" w:rsidRDefault="00617CC8" w:rsidP="00617CC8">
      <w:pPr>
        <w:rPr>
          <w:b/>
          <w:bCs/>
        </w:rPr>
      </w:pPr>
      <w:r w:rsidRPr="00617CC8">
        <w:rPr>
          <w:b/>
          <w:bCs/>
        </w:rPr>
        <w:t>OR:</w:t>
      </w:r>
    </w:p>
    <w:p w14:paraId="2E70AEDA" w14:textId="733B44D8" w:rsidR="00BE09DA" w:rsidRPr="00617CC8" w:rsidRDefault="00BE09DA" w:rsidP="00617CC8">
      <w:pPr>
        <w:rPr>
          <w:b/>
          <w:bCs/>
        </w:rPr>
      </w:pPr>
      <w:r w:rsidRPr="00DD5969">
        <w:t xml:space="preserve">I acknowledge the use of [AI Tool] [(AI Tool </w:t>
      </w:r>
      <w:proofErr w:type="spellStart"/>
      <w:r w:rsidRPr="00DD5969">
        <w:t>url</w:t>
      </w:r>
      <w:proofErr w:type="spellEnd"/>
      <w:r w:rsidRPr="00DD5969">
        <w:t xml:space="preserve">)] on [Date] to [Purpose my work]. I used the prompt(s): </w:t>
      </w:r>
    </w:p>
    <w:p w14:paraId="33F0A84E" w14:textId="4ADD67DD" w:rsidR="00BE09DA" w:rsidRPr="00DD5969" w:rsidRDefault="00BE09DA" w:rsidP="00BE09DA">
      <w:r w:rsidRPr="00DD5969">
        <w:t>1. [</w:t>
      </w:r>
      <w:r>
        <w:t>Grammarly for proof reading and punctuation</w:t>
      </w:r>
      <w:r w:rsidRPr="00DD5969">
        <w:t>]</w:t>
      </w:r>
      <w:r>
        <w:t>3/2/2025</w:t>
      </w:r>
    </w:p>
    <w:p w14:paraId="0C59596D" w14:textId="77777777" w:rsidR="00617CC8" w:rsidRDefault="00BE09DA" w:rsidP="00617CC8">
      <w:r w:rsidRPr="00DD5969">
        <w:t>2. [</w:t>
      </w:r>
      <w:proofErr w:type="spellStart"/>
      <w:r>
        <w:t>quillbot</w:t>
      </w:r>
      <w:proofErr w:type="spellEnd"/>
      <w:r>
        <w:t xml:space="preserve"> to search for resources</w:t>
      </w:r>
      <w:r w:rsidRPr="00DD5969">
        <w:t xml:space="preserve">] </w:t>
      </w:r>
      <w:r>
        <w:t>1/12/2025</w:t>
      </w:r>
    </w:p>
    <w:p w14:paraId="5FE0A346" w14:textId="419F0396" w:rsidR="00BE09DA" w:rsidRPr="00DD5969" w:rsidRDefault="00BE09DA" w:rsidP="00617CC8">
      <w:r w:rsidRPr="00DD5969">
        <w:t>3. [</w:t>
      </w:r>
      <w:r>
        <w:t>CHAT GPT summarise some articles]</w:t>
      </w:r>
      <w:r w:rsidRPr="00DD5969">
        <w:t xml:space="preserve"> </w:t>
      </w:r>
      <w:r>
        <w:t>2/2/2025</w:t>
      </w:r>
    </w:p>
    <w:p w14:paraId="47E49816" w14:textId="77777777" w:rsidR="00BE09DA" w:rsidRDefault="00BE09DA" w:rsidP="00BE09DA">
      <w:r w:rsidRPr="00DD5969">
        <w:t xml:space="preserve">I confirm that I have not presented any AI generated text as my own work. </w:t>
      </w:r>
    </w:p>
    <w:p w14:paraId="7E6071FA" w14:textId="1C45DFBE" w:rsidR="00E63E78" w:rsidRPr="00617CC8" w:rsidRDefault="00BE09DA" w:rsidP="00617CC8">
      <w:r w:rsidRPr="00DD5969">
        <w:t xml:space="preserve">I confirm </w:t>
      </w:r>
      <w:r>
        <w:t xml:space="preserve">that </w:t>
      </w:r>
      <w:r w:rsidRPr="00DD5969">
        <w:t>I have copies of my drafts, notes, and other resources I used before and after the use of AI tools which I may be asked to provide in evidence.</w:t>
      </w:r>
    </w:p>
    <w:p w14:paraId="34BCFCBD" w14:textId="77777777" w:rsidR="00E63E78" w:rsidRPr="00575643" w:rsidRDefault="00E63E78" w:rsidP="00725C0E">
      <w:pPr>
        <w:rPr>
          <w:rFonts w:ascii="Calibri" w:hAnsi="Calibri" w:cs="Calibri"/>
          <w:b/>
          <w:bCs/>
          <w:sz w:val="20"/>
          <w:szCs w:val="20"/>
          <w:lang w:val="en-US"/>
        </w:rPr>
      </w:pPr>
    </w:p>
    <w:tbl>
      <w:tblPr>
        <w:tblStyle w:val="TableGrid"/>
        <w:tblW w:w="0" w:type="auto"/>
        <w:tblLook w:val="04A0" w:firstRow="1" w:lastRow="0" w:firstColumn="1" w:lastColumn="0" w:noHBand="0" w:noVBand="1"/>
      </w:tblPr>
      <w:tblGrid>
        <w:gridCol w:w="1840"/>
        <w:gridCol w:w="5706"/>
        <w:gridCol w:w="1470"/>
      </w:tblGrid>
      <w:tr w:rsidR="00061091" w14:paraId="0908881E" w14:textId="77777777" w:rsidTr="00A4706D">
        <w:tc>
          <w:tcPr>
            <w:tcW w:w="1840" w:type="dxa"/>
            <w:shd w:val="clear" w:color="auto" w:fill="D9D9D9" w:themeFill="background1" w:themeFillShade="D9"/>
          </w:tcPr>
          <w:p w14:paraId="402B9A78" w14:textId="680E566C" w:rsidR="00713F12" w:rsidRPr="004E6C7E" w:rsidRDefault="006307AA">
            <w:pPr>
              <w:rPr>
                <w:sz w:val="24"/>
                <w:szCs w:val="24"/>
                <w:lang w:val="en-US"/>
              </w:rPr>
            </w:pPr>
            <w:r w:rsidRPr="004E6C7E">
              <w:rPr>
                <w:sz w:val="24"/>
                <w:szCs w:val="24"/>
                <w:lang w:val="en-US"/>
              </w:rPr>
              <w:t>Section</w:t>
            </w:r>
          </w:p>
        </w:tc>
        <w:tc>
          <w:tcPr>
            <w:tcW w:w="5706" w:type="dxa"/>
            <w:shd w:val="clear" w:color="auto" w:fill="D9D9D9" w:themeFill="background1" w:themeFillShade="D9"/>
          </w:tcPr>
          <w:p w14:paraId="63D1B84C" w14:textId="650C7034" w:rsidR="00713F12" w:rsidRPr="004E6C7E" w:rsidRDefault="008B3277">
            <w:pPr>
              <w:rPr>
                <w:sz w:val="24"/>
                <w:szCs w:val="24"/>
                <w:lang w:val="en-US"/>
              </w:rPr>
            </w:pPr>
            <w:r w:rsidRPr="004E6C7E">
              <w:rPr>
                <w:sz w:val="24"/>
                <w:szCs w:val="24"/>
                <w:lang w:val="en-US"/>
              </w:rPr>
              <w:t>Suggested c</w:t>
            </w:r>
            <w:r w:rsidR="006307AA" w:rsidRPr="004E6C7E">
              <w:rPr>
                <w:sz w:val="24"/>
                <w:szCs w:val="24"/>
                <w:lang w:val="en-US"/>
              </w:rPr>
              <w:t>ontent</w:t>
            </w:r>
          </w:p>
        </w:tc>
        <w:tc>
          <w:tcPr>
            <w:tcW w:w="1470" w:type="dxa"/>
            <w:shd w:val="clear" w:color="auto" w:fill="D9D9D9" w:themeFill="background1" w:themeFillShade="D9"/>
          </w:tcPr>
          <w:p w14:paraId="7F98191E" w14:textId="42D79E47" w:rsidR="00713F12" w:rsidRPr="004E6C7E" w:rsidRDefault="004E6C7E">
            <w:pPr>
              <w:rPr>
                <w:sz w:val="24"/>
                <w:szCs w:val="24"/>
                <w:lang w:val="en-US"/>
              </w:rPr>
            </w:pPr>
            <w:r>
              <w:rPr>
                <w:sz w:val="24"/>
                <w:szCs w:val="24"/>
                <w:lang w:val="en-US"/>
              </w:rPr>
              <w:t>Approximate</w:t>
            </w:r>
            <w:r w:rsidR="003B6023" w:rsidRPr="004E6C7E">
              <w:rPr>
                <w:sz w:val="24"/>
                <w:szCs w:val="24"/>
                <w:lang w:val="en-US"/>
              </w:rPr>
              <w:t xml:space="preserve"> word count</w:t>
            </w:r>
          </w:p>
        </w:tc>
      </w:tr>
      <w:tr w:rsidR="00061091" w14:paraId="52F16316" w14:textId="77777777" w:rsidTr="00A4706D">
        <w:tc>
          <w:tcPr>
            <w:tcW w:w="1840" w:type="dxa"/>
          </w:tcPr>
          <w:p w14:paraId="275A8FE3" w14:textId="3B7AE4B8" w:rsidR="00C358BF" w:rsidRPr="004E6C7E" w:rsidRDefault="00B71C8D">
            <w:pPr>
              <w:rPr>
                <w:sz w:val="24"/>
                <w:szCs w:val="24"/>
                <w:lang w:val="en-US"/>
              </w:rPr>
            </w:pPr>
            <w:r w:rsidRPr="004E6C7E">
              <w:rPr>
                <w:rFonts w:cs="Arial"/>
                <w:sz w:val="24"/>
                <w:szCs w:val="24"/>
              </w:rPr>
              <w:t xml:space="preserve">Proposed Title </w:t>
            </w:r>
          </w:p>
        </w:tc>
        <w:tc>
          <w:tcPr>
            <w:tcW w:w="5706" w:type="dxa"/>
          </w:tcPr>
          <w:p w14:paraId="4977EF55" w14:textId="77777777" w:rsidR="00150C8D" w:rsidRDefault="00725583">
            <w:pPr>
              <w:rPr>
                <w:rFonts w:ascii="-webkit-standard" w:hAnsi="-webkit-standard" w:hint="eastAsia"/>
                <w:color w:val="000000"/>
                <w:sz w:val="27"/>
                <w:szCs w:val="27"/>
              </w:rPr>
            </w:pPr>
            <w:r>
              <w:rPr>
                <w:rFonts w:ascii="-webkit-standard" w:hAnsi="-webkit-standard"/>
                <w:color w:val="000000"/>
                <w:sz w:val="27"/>
                <w:szCs w:val="27"/>
              </w:rPr>
              <w:t>Assessment Component 1: Research Proposal (PG1)</w:t>
            </w:r>
          </w:p>
          <w:p w14:paraId="518CAA1D" w14:textId="77777777" w:rsidR="00725583" w:rsidRDefault="00725583" w:rsidP="00725583">
            <w:pPr>
              <w:pStyle w:val="Heading2"/>
              <w:rPr>
                <w:color w:val="000000"/>
              </w:rPr>
            </w:pPr>
            <w:r>
              <w:rPr>
                <w:color w:val="000000"/>
              </w:rPr>
              <w:t>Proposed Title</w:t>
            </w:r>
          </w:p>
          <w:p w14:paraId="1C66FC05" w14:textId="77777777" w:rsidR="00725583" w:rsidRPr="00116870" w:rsidRDefault="00725583" w:rsidP="00725583">
            <w:pPr>
              <w:pStyle w:val="NormalWeb"/>
              <w:rPr>
                <w:color w:val="000000"/>
                <w:sz w:val="28"/>
                <w:szCs w:val="28"/>
              </w:rPr>
            </w:pPr>
            <w:r w:rsidRPr="00116870">
              <w:rPr>
                <w:rStyle w:val="Strong"/>
                <w:color w:val="000000"/>
                <w:sz w:val="28"/>
                <w:szCs w:val="28"/>
              </w:rPr>
              <w:t>Exploring teachers’ perceptions of preparedness and practice in implementing the Additional Learning Needs (ALN) Code for Wales</w:t>
            </w:r>
          </w:p>
          <w:p w14:paraId="06CAB3A3" w14:textId="77777777" w:rsidR="00725583" w:rsidRDefault="00725583" w:rsidP="00725583">
            <w:pPr>
              <w:pStyle w:val="Heading2"/>
              <w:rPr>
                <w:color w:val="000000"/>
              </w:rPr>
            </w:pPr>
            <w:r>
              <w:rPr>
                <w:color w:val="000000"/>
              </w:rPr>
              <w:t>Main Research Question</w:t>
            </w:r>
          </w:p>
          <w:p w14:paraId="295A24EC" w14:textId="77777777" w:rsidR="00725583" w:rsidRDefault="00725583" w:rsidP="00725583">
            <w:pPr>
              <w:pStyle w:val="NormalWeb"/>
              <w:rPr>
                <w:color w:val="000000"/>
              </w:rPr>
            </w:pPr>
            <w:r>
              <w:rPr>
                <w:color w:val="000000"/>
              </w:rPr>
              <w:t>How do teachers perceive their preparedness to implement the Additional Learning Needs (ALN) Code for Wales within their professional practice?</w:t>
            </w:r>
          </w:p>
          <w:p w14:paraId="419A3A37" w14:textId="77777777" w:rsidR="00725583" w:rsidRDefault="00725583" w:rsidP="00725583">
            <w:pPr>
              <w:pStyle w:val="Heading2"/>
              <w:rPr>
                <w:color w:val="000000"/>
              </w:rPr>
            </w:pPr>
            <w:r>
              <w:rPr>
                <w:color w:val="000000"/>
              </w:rPr>
              <w:t>Sub-questions</w:t>
            </w:r>
          </w:p>
          <w:p w14:paraId="54B81B95" w14:textId="77777777" w:rsidR="00725583" w:rsidRDefault="00725583" w:rsidP="00725583">
            <w:pPr>
              <w:pStyle w:val="NormalWeb"/>
              <w:numPr>
                <w:ilvl w:val="0"/>
                <w:numId w:val="13"/>
              </w:numPr>
              <w:rPr>
                <w:color w:val="000000"/>
              </w:rPr>
            </w:pPr>
            <w:r>
              <w:rPr>
                <w:color w:val="000000"/>
              </w:rPr>
              <w:t>What challenges do teachers encounter when implementing the ALN Code in school settings?</w:t>
            </w:r>
          </w:p>
          <w:p w14:paraId="36070789" w14:textId="77777777" w:rsidR="00725583" w:rsidRDefault="00725583" w:rsidP="00725583">
            <w:pPr>
              <w:pStyle w:val="NormalWeb"/>
              <w:numPr>
                <w:ilvl w:val="0"/>
                <w:numId w:val="13"/>
              </w:numPr>
              <w:rPr>
                <w:color w:val="000000"/>
              </w:rPr>
            </w:pPr>
            <w:r>
              <w:rPr>
                <w:color w:val="000000"/>
              </w:rPr>
              <w:t>What forms of professional training and support do teachers identify as most effective in supporting the implementation of the ALN Code?</w:t>
            </w:r>
          </w:p>
          <w:p w14:paraId="46B8D588" w14:textId="77777777" w:rsidR="00725583" w:rsidRDefault="00725583" w:rsidP="00725583">
            <w:pPr>
              <w:pStyle w:val="NormalWeb"/>
              <w:numPr>
                <w:ilvl w:val="0"/>
                <w:numId w:val="13"/>
              </w:numPr>
              <w:rPr>
                <w:color w:val="000000"/>
              </w:rPr>
            </w:pPr>
            <w:r>
              <w:rPr>
                <w:color w:val="000000"/>
              </w:rPr>
              <w:t>How do teachers understand and apply the principles of the ALN Code within their everyday teaching practice?</w:t>
            </w:r>
          </w:p>
          <w:p w14:paraId="584EB8A7" w14:textId="4FFFBCD6" w:rsidR="00725583" w:rsidRPr="00725583" w:rsidRDefault="00725583">
            <w:pPr>
              <w:rPr>
                <w:sz w:val="24"/>
                <w:szCs w:val="24"/>
              </w:rPr>
            </w:pPr>
          </w:p>
        </w:tc>
        <w:tc>
          <w:tcPr>
            <w:tcW w:w="1470" w:type="dxa"/>
          </w:tcPr>
          <w:p w14:paraId="5F0EB98E" w14:textId="47388610" w:rsidR="00713F12" w:rsidRDefault="00A43B0E">
            <w:pPr>
              <w:rPr>
                <w:lang w:val="en-US"/>
              </w:rPr>
            </w:pPr>
            <w:r>
              <w:rPr>
                <w:rFonts w:cs="Arial"/>
              </w:rPr>
              <w:t>No specified wordcount</w:t>
            </w:r>
          </w:p>
        </w:tc>
      </w:tr>
      <w:tr w:rsidR="00061091" w14:paraId="0D6FE60D" w14:textId="77777777" w:rsidTr="00A4706D">
        <w:tc>
          <w:tcPr>
            <w:tcW w:w="1840" w:type="dxa"/>
          </w:tcPr>
          <w:p w14:paraId="11732F6B" w14:textId="6B27EA4C" w:rsidR="00713F12" w:rsidRPr="004E6C7E" w:rsidRDefault="00B71C8D">
            <w:pPr>
              <w:rPr>
                <w:sz w:val="24"/>
                <w:szCs w:val="24"/>
                <w:lang w:val="en-US"/>
              </w:rPr>
            </w:pPr>
            <w:r w:rsidRPr="004E6C7E">
              <w:rPr>
                <w:rFonts w:cs="Arial"/>
                <w:sz w:val="24"/>
                <w:szCs w:val="24"/>
              </w:rPr>
              <w:t>Background &amp; Context</w:t>
            </w:r>
          </w:p>
        </w:tc>
        <w:tc>
          <w:tcPr>
            <w:tcW w:w="5706" w:type="dxa"/>
          </w:tcPr>
          <w:p w14:paraId="58E1C61F" w14:textId="77777777" w:rsidR="00B66E60" w:rsidRDefault="00B66E60" w:rsidP="00B66E60">
            <w:pPr>
              <w:pStyle w:val="NormalWeb"/>
              <w:rPr>
                <w:color w:val="000000"/>
              </w:rPr>
            </w:pPr>
            <w:r>
              <w:rPr>
                <w:color w:val="000000"/>
              </w:rPr>
              <w:t>Educational provision for learners with</w:t>
            </w:r>
            <w:r>
              <w:rPr>
                <w:rStyle w:val="apple-converted-space"/>
                <w:color w:val="000000"/>
              </w:rPr>
              <w:t> </w:t>
            </w:r>
            <w:r>
              <w:rPr>
                <w:rStyle w:val="Strong"/>
                <w:color w:val="000000"/>
              </w:rPr>
              <w:t>Additional Learning Needs (ALN)</w:t>
            </w:r>
            <w:r>
              <w:rPr>
                <w:rStyle w:val="apple-converted-space"/>
                <w:color w:val="000000"/>
              </w:rPr>
              <w:t> </w:t>
            </w:r>
            <w:r>
              <w:rPr>
                <w:color w:val="000000"/>
              </w:rPr>
              <w:t>in Wales has undergone significant reform following the introduction of the</w:t>
            </w:r>
            <w:r>
              <w:rPr>
                <w:rStyle w:val="apple-converted-space"/>
                <w:color w:val="000000"/>
              </w:rPr>
              <w:t> </w:t>
            </w:r>
            <w:r>
              <w:rPr>
                <w:rStyle w:val="Emphasis"/>
                <w:color w:val="000000"/>
              </w:rPr>
              <w:t>Additional Learning Needs Code for Wales</w:t>
            </w:r>
            <w:r>
              <w:rPr>
                <w:rStyle w:val="apple-converted-space"/>
                <w:color w:val="000000"/>
              </w:rPr>
              <w:t> </w:t>
            </w:r>
            <w:r>
              <w:rPr>
                <w:color w:val="000000"/>
              </w:rPr>
              <w:t>(Welsh Government, 2021). This reform represents a substantial shift from the former Special Educational Needs (SEN) system towards a more inclusive, learner-centred framework intended to promote equity and consistency across educational settings. The ALN reform places increased emphasis on inclusive practice, collaboration, and early identification, with teachers positioned at the centre of policy implementation (Estyn, 2023).</w:t>
            </w:r>
          </w:p>
          <w:p w14:paraId="687A80F4" w14:textId="77777777" w:rsidR="00B66E60" w:rsidRDefault="00B66E60" w:rsidP="00B66E60">
            <w:pPr>
              <w:pStyle w:val="NormalWeb"/>
              <w:rPr>
                <w:color w:val="000000"/>
              </w:rPr>
            </w:pPr>
            <w:r>
              <w:rPr>
                <w:color w:val="000000"/>
              </w:rPr>
              <w:t xml:space="preserve">Historically, inclusive education policy has highlighted the importance of early identification and timely intervention in addressing barriers to learning (Florian and Beaton, 2018). Teachers therefore play a critical role </w:t>
            </w:r>
            <w:r>
              <w:rPr>
                <w:color w:val="000000"/>
              </w:rPr>
              <w:lastRenderedPageBreak/>
              <w:t>in translating inclusive policy into practice, particularly within school settings where they are responsible for identifying learners’ needs, adapting teaching strategies, and working collaboratively with parents and external professionals. The ALN Code introduces new expectations for teachers, including greater involvement in person-centred planning and contributions to Individual Development Plans (IDPs), which has implications for professional roles, workload, and preparedness (Welsh Government, 2021).</w:t>
            </w:r>
          </w:p>
          <w:p w14:paraId="3EB20DD9" w14:textId="77777777" w:rsidR="00B66E60" w:rsidRDefault="00B66E60" w:rsidP="00B66E60">
            <w:pPr>
              <w:pStyle w:val="NormalWeb"/>
              <w:rPr>
                <w:color w:val="000000"/>
              </w:rPr>
            </w:pPr>
            <w:r>
              <w:rPr>
                <w:color w:val="000000"/>
              </w:rPr>
              <w:t>The significance of this research lies in its focus on how policy reform is experienced at the level of everyday professional practice. Although the ALN Code aims to improve outcomes for learners with additional learning needs, research suggests that the success of inclusive reforms depends largely on teachers’ confidence, preparedness, and access to appropriate professional support (Connolly, Healy and Daly, 2022). Without adequate training and guidance, policy reforms may be implemented inconsistently, potentially limiting their intended impact (Norwich, 2019).</w:t>
            </w:r>
          </w:p>
          <w:p w14:paraId="4FCA0550" w14:textId="77777777" w:rsidR="00B66E60" w:rsidRDefault="00B66E60" w:rsidP="00B66E60">
            <w:pPr>
              <w:pStyle w:val="NormalWeb"/>
              <w:rPr>
                <w:color w:val="000000"/>
              </w:rPr>
            </w:pPr>
            <w:r>
              <w:rPr>
                <w:color w:val="000000"/>
              </w:rPr>
              <w:t xml:space="preserve">Existing literature demonstrates broad agreement that inclusive education is underpinned by principles of equity and participation; however, there is debate regarding how effectively such principles are enacted in practice (Slee, 2018). Studies indicate that teachers may experience tension between inclusive policy expectations and classroom realities, particularly in relation to workload pressures and limited access to specialist support (Griffiths, Parsons and Evans, 2021). These challenges highlight the importance of examining teachers’ perspectives </w:t>
            </w:r>
            <w:proofErr w:type="gramStart"/>
            <w:r>
              <w:rPr>
                <w:color w:val="000000"/>
              </w:rPr>
              <w:t>in order to</w:t>
            </w:r>
            <w:proofErr w:type="gramEnd"/>
            <w:r>
              <w:rPr>
                <w:color w:val="000000"/>
              </w:rPr>
              <w:t xml:space="preserve"> understand how inclusive policy is interpreted and enacted.</w:t>
            </w:r>
          </w:p>
          <w:p w14:paraId="0AEEC8FB" w14:textId="41F33008" w:rsidR="00B11DA1" w:rsidRPr="00B11DA1" w:rsidRDefault="00B66E60" w:rsidP="00B66E60">
            <w:pPr>
              <w:pStyle w:val="NormalWeb"/>
              <w:rPr>
                <w:color w:val="000000"/>
              </w:rPr>
            </w:pPr>
            <w:r>
              <w:rPr>
                <w:color w:val="000000"/>
              </w:rPr>
              <w:t>While a growing body of research has explored inclusive education and additional learning needs more broadly, there remains limited empirical research focusing specifically on teachers’ perceptions of preparedness in relation to the ALN Code for Wales. Much of the existing literature addresses policy development or system-level change, rather than the lived experiences of practitioners working within schools (Smith and Adams, 2020). This proposed study seeks to address this gap by exploring teachers’ perceptions of preparedness, challenges, and professional practice in implementing the ALN Code, thereby contributing to a more nuanced understanding of policy enactment in educational contexts.</w:t>
            </w:r>
          </w:p>
        </w:tc>
        <w:tc>
          <w:tcPr>
            <w:tcW w:w="1470" w:type="dxa"/>
          </w:tcPr>
          <w:p w14:paraId="05A10600" w14:textId="3B8C2188" w:rsidR="00713F12" w:rsidRDefault="00B71C8D">
            <w:pPr>
              <w:rPr>
                <w:lang w:val="en-US"/>
              </w:rPr>
            </w:pPr>
            <w:r>
              <w:rPr>
                <w:lang w:val="en-US"/>
              </w:rPr>
              <w:lastRenderedPageBreak/>
              <w:t>500</w:t>
            </w:r>
          </w:p>
        </w:tc>
      </w:tr>
      <w:tr w:rsidR="00061091" w14:paraId="0CF6CAD0" w14:textId="77777777" w:rsidTr="00A4706D">
        <w:tc>
          <w:tcPr>
            <w:tcW w:w="1840" w:type="dxa"/>
          </w:tcPr>
          <w:p w14:paraId="18D92F1B" w14:textId="29EE0692" w:rsidR="00713F12" w:rsidRPr="004E6C7E" w:rsidRDefault="00B71C8D">
            <w:pPr>
              <w:rPr>
                <w:sz w:val="24"/>
                <w:szCs w:val="24"/>
                <w:lang w:val="en-US"/>
              </w:rPr>
            </w:pPr>
            <w:r w:rsidRPr="004E6C7E">
              <w:rPr>
                <w:rFonts w:cs="Arial"/>
                <w:sz w:val="24"/>
                <w:szCs w:val="24"/>
              </w:rPr>
              <w:lastRenderedPageBreak/>
              <w:t>Aims and Objectives</w:t>
            </w:r>
          </w:p>
        </w:tc>
        <w:tc>
          <w:tcPr>
            <w:tcW w:w="5706" w:type="dxa"/>
          </w:tcPr>
          <w:p w14:paraId="4959DB19" w14:textId="77777777" w:rsidR="00B11DA1" w:rsidRDefault="00B11DA1" w:rsidP="00B11DA1">
            <w:pPr>
              <w:pStyle w:val="NormalWeb"/>
              <w:rPr>
                <w:color w:val="000000"/>
              </w:rPr>
            </w:pPr>
            <w:r>
              <w:rPr>
                <w:color w:val="000000"/>
              </w:rPr>
              <w:t>The overall aim of this proposed study is to explore teachers’ perceptions of their preparedness and professional practice in relation to the implementation of the Additional Learning Needs (ALN) Code for Wales. By focusing on teachers’ experiences, the research seeks to gain insight into how national policy reform is understood and enacted within school settings.</w:t>
            </w:r>
          </w:p>
          <w:p w14:paraId="17371DBC" w14:textId="77777777" w:rsidR="00B11DA1" w:rsidRDefault="00B11DA1" w:rsidP="00B11DA1">
            <w:pPr>
              <w:pStyle w:val="NormalWeb"/>
              <w:rPr>
                <w:color w:val="000000"/>
              </w:rPr>
            </w:pPr>
            <w:r>
              <w:rPr>
                <w:color w:val="000000"/>
              </w:rPr>
              <w:t>This study aims to contribute to the existing literature on inclusive education and policy implementation by addressing a gap in empirical research that foregrounds teachers’ perspectives. While previous research highlights the importance of teacher preparedness, training, and professional support in promoting inclusive practice, there is limited evidence examining how these factors are perceived by teachers specifically within the context of the ALN reform in Wales. This research therefore seeks to move beyond policy analysis by exploring how teachers interpret policy expectations and translate them into everyday professional practice.</w:t>
            </w:r>
          </w:p>
          <w:p w14:paraId="387C6BFF" w14:textId="77777777" w:rsidR="00B11DA1" w:rsidRDefault="00B11DA1" w:rsidP="00B11DA1">
            <w:pPr>
              <w:pStyle w:val="NormalWeb"/>
              <w:rPr>
                <w:color w:val="000000"/>
              </w:rPr>
            </w:pPr>
            <w:r>
              <w:rPr>
                <w:color w:val="000000"/>
              </w:rPr>
              <w:t>The objectives of the proposed research are as follows:</w:t>
            </w:r>
          </w:p>
          <w:p w14:paraId="63FAB73F" w14:textId="77777777" w:rsidR="00B66E60" w:rsidRDefault="00B66E60" w:rsidP="00B66E60">
            <w:pPr>
              <w:pStyle w:val="Heading3"/>
              <w:rPr>
                <w:color w:val="000000"/>
              </w:rPr>
            </w:pPr>
            <w:r>
              <w:rPr>
                <w:color w:val="000000"/>
              </w:rPr>
              <w:t>Aim</w:t>
            </w:r>
          </w:p>
          <w:p w14:paraId="2454CD98" w14:textId="77777777" w:rsidR="00B66E60" w:rsidRDefault="00B66E60" w:rsidP="00B66E60">
            <w:pPr>
              <w:pStyle w:val="NormalWeb"/>
              <w:rPr>
                <w:color w:val="000000"/>
              </w:rPr>
            </w:pPr>
            <w:r>
              <w:rPr>
                <w:color w:val="000000"/>
              </w:rPr>
              <w:t>The overall aim of this study is to explore teachers’ perceptions of preparedness and professional practice in relation to the implementation of the Additional Learning Needs (ALN) Code for Wales.</w:t>
            </w:r>
          </w:p>
          <w:p w14:paraId="646014A9" w14:textId="77777777" w:rsidR="00B66E60" w:rsidRDefault="00B66E60" w:rsidP="00B66E60">
            <w:pPr>
              <w:pStyle w:val="Heading3"/>
              <w:rPr>
                <w:color w:val="000000"/>
              </w:rPr>
            </w:pPr>
            <w:r>
              <w:rPr>
                <w:color w:val="000000"/>
              </w:rPr>
              <w:t>Objectives</w:t>
            </w:r>
          </w:p>
          <w:p w14:paraId="55058C6E" w14:textId="77777777" w:rsidR="00B66E60" w:rsidRPr="00B66E60" w:rsidRDefault="00B66E60" w:rsidP="00B66E60">
            <w:pPr>
              <w:pStyle w:val="NormalWeb"/>
              <w:numPr>
                <w:ilvl w:val="0"/>
                <w:numId w:val="16"/>
              </w:numPr>
              <w:rPr>
                <w:b/>
                <w:bCs/>
                <w:color w:val="000000"/>
              </w:rPr>
            </w:pPr>
            <w:r w:rsidRPr="00B66E60">
              <w:rPr>
                <w:rStyle w:val="Strong"/>
                <w:b w:val="0"/>
                <w:bCs w:val="0"/>
                <w:color w:val="000000"/>
              </w:rPr>
              <w:t>To explore how teachers perceive their preparedness to implement the ALN Code for Wales in their professional practice.</w:t>
            </w:r>
          </w:p>
          <w:p w14:paraId="50E94D86" w14:textId="77777777" w:rsidR="00B66E60" w:rsidRDefault="00B66E60" w:rsidP="00B66E60">
            <w:pPr>
              <w:pStyle w:val="NormalWeb"/>
              <w:numPr>
                <w:ilvl w:val="0"/>
                <w:numId w:val="16"/>
              </w:numPr>
              <w:rPr>
                <w:color w:val="000000"/>
              </w:rPr>
            </w:pPr>
            <w:r>
              <w:rPr>
                <w:color w:val="000000"/>
              </w:rPr>
              <w:t>To identify the challenges and barriers teachers experience when implementing the ALN Code in school settings.</w:t>
            </w:r>
          </w:p>
          <w:p w14:paraId="214FE74C" w14:textId="77777777" w:rsidR="00B66E60" w:rsidRDefault="00B66E60" w:rsidP="00B66E60">
            <w:pPr>
              <w:pStyle w:val="NormalWeb"/>
              <w:numPr>
                <w:ilvl w:val="0"/>
                <w:numId w:val="16"/>
              </w:numPr>
              <w:rPr>
                <w:color w:val="000000"/>
              </w:rPr>
            </w:pPr>
            <w:r>
              <w:rPr>
                <w:color w:val="000000"/>
              </w:rPr>
              <w:t>To explore the forms of professional training and support teachers perceive as most effective in supporting ALN implementation.</w:t>
            </w:r>
          </w:p>
          <w:p w14:paraId="11690B61" w14:textId="77777777" w:rsidR="00B66E60" w:rsidRDefault="00B66E60" w:rsidP="00B66E60">
            <w:pPr>
              <w:pStyle w:val="NormalWeb"/>
              <w:numPr>
                <w:ilvl w:val="0"/>
                <w:numId w:val="16"/>
              </w:numPr>
              <w:rPr>
                <w:color w:val="000000"/>
              </w:rPr>
            </w:pPr>
            <w:r>
              <w:rPr>
                <w:color w:val="000000"/>
              </w:rPr>
              <w:t>To investigate how teachers interpret and enact the principles of the ALN Code within their everyday teaching practice.</w:t>
            </w:r>
          </w:p>
          <w:p w14:paraId="4DD67483" w14:textId="77777777" w:rsidR="00B11DA1" w:rsidRDefault="00B11DA1" w:rsidP="00B11DA1">
            <w:pPr>
              <w:pStyle w:val="NormalWeb"/>
              <w:rPr>
                <w:color w:val="000000"/>
              </w:rPr>
            </w:pPr>
            <w:r>
              <w:rPr>
                <w:color w:val="000000"/>
              </w:rPr>
              <w:t xml:space="preserve">By addressing these objectives, the study aims to enhance understanding of the relationship between policy intentions and classroom practice. The findings may offer valuable insights for policymakers, school leaders, and teacher educators by highlighting areas </w:t>
            </w:r>
            <w:proofErr w:type="gramStart"/>
            <w:r>
              <w:rPr>
                <w:color w:val="000000"/>
              </w:rPr>
              <w:lastRenderedPageBreak/>
              <w:t>where</w:t>
            </w:r>
            <w:proofErr w:type="gramEnd"/>
            <w:r>
              <w:rPr>
                <w:color w:val="000000"/>
              </w:rPr>
              <w:t xml:space="preserve"> additional guidance, training, or structural support may be required. Furthermore, the research has the potential to inform future professional development initiatives and contribute to ongoing discussions surrounding inclusive education and policy enactment in Wales.</w:t>
            </w:r>
          </w:p>
          <w:p w14:paraId="5EF0E2FE" w14:textId="155DC4F6" w:rsidR="00807A24" w:rsidRPr="004E6C7E" w:rsidRDefault="00807A24" w:rsidP="00807A24">
            <w:pPr>
              <w:adjustRightInd w:val="0"/>
              <w:contextualSpacing/>
            </w:pPr>
          </w:p>
        </w:tc>
        <w:tc>
          <w:tcPr>
            <w:tcW w:w="1470" w:type="dxa"/>
          </w:tcPr>
          <w:p w14:paraId="5A410F5A" w14:textId="6F80007E" w:rsidR="00713F12" w:rsidRDefault="00B71C8D">
            <w:pPr>
              <w:rPr>
                <w:lang w:val="en-US"/>
              </w:rPr>
            </w:pPr>
            <w:r w:rsidRPr="00A830D5">
              <w:rPr>
                <w:rFonts w:cs="Arial"/>
              </w:rPr>
              <w:lastRenderedPageBreak/>
              <w:t>250 – 500</w:t>
            </w:r>
          </w:p>
        </w:tc>
      </w:tr>
      <w:tr w:rsidR="00B13219" w14:paraId="2DC0E817" w14:textId="77777777" w:rsidTr="00A4706D">
        <w:tc>
          <w:tcPr>
            <w:tcW w:w="1840" w:type="dxa"/>
          </w:tcPr>
          <w:p w14:paraId="1431185C" w14:textId="1DB1A12E" w:rsidR="00B13219" w:rsidRPr="004E6C7E" w:rsidRDefault="00B13219">
            <w:pPr>
              <w:rPr>
                <w:rFonts w:cs="Arial"/>
                <w:sz w:val="24"/>
                <w:szCs w:val="24"/>
              </w:rPr>
            </w:pPr>
            <w:r>
              <w:rPr>
                <w:rFonts w:cs="Arial"/>
                <w:sz w:val="24"/>
                <w:szCs w:val="24"/>
              </w:rPr>
              <w:t>Proposed Plan of Work</w:t>
            </w:r>
          </w:p>
        </w:tc>
        <w:tc>
          <w:tcPr>
            <w:tcW w:w="5706" w:type="dxa"/>
          </w:tcPr>
          <w:p w14:paraId="39E5BE42" w14:textId="77777777" w:rsidR="00B11DA1" w:rsidRDefault="00B11DA1" w:rsidP="00B11DA1">
            <w:pPr>
              <w:pStyle w:val="Heading2"/>
              <w:rPr>
                <w:color w:val="000000"/>
              </w:rPr>
            </w:pPr>
            <w:r>
              <w:rPr>
                <w:color w:val="000000"/>
              </w:rPr>
              <w:t>Proposed Plan of 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30"/>
              <w:gridCol w:w="2904"/>
              <w:gridCol w:w="1256"/>
            </w:tblGrid>
            <w:tr w:rsidR="00B11DA1" w14:paraId="4AAA2E2A" w14:textId="77777777">
              <w:trPr>
                <w:tblHeader/>
                <w:tblCellSpacing w:w="15" w:type="dxa"/>
              </w:trPr>
              <w:tc>
                <w:tcPr>
                  <w:tcW w:w="0" w:type="auto"/>
                  <w:vAlign w:val="center"/>
                  <w:hideMark/>
                </w:tcPr>
                <w:p w14:paraId="3DC0C0AB" w14:textId="77777777" w:rsidR="00B11DA1" w:rsidRDefault="00B11DA1" w:rsidP="00B11DA1">
                  <w:pPr>
                    <w:jc w:val="center"/>
                    <w:rPr>
                      <w:b/>
                      <w:bCs/>
                    </w:rPr>
                  </w:pPr>
                  <w:r>
                    <w:rPr>
                      <w:b/>
                      <w:bCs/>
                    </w:rPr>
                    <w:t>Stage</w:t>
                  </w:r>
                </w:p>
              </w:tc>
              <w:tc>
                <w:tcPr>
                  <w:tcW w:w="0" w:type="auto"/>
                  <w:vAlign w:val="center"/>
                  <w:hideMark/>
                </w:tcPr>
                <w:p w14:paraId="26AC4008" w14:textId="77777777" w:rsidR="00B11DA1" w:rsidRDefault="00B11DA1" w:rsidP="00B11DA1">
                  <w:pPr>
                    <w:jc w:val="center"/>
                    <w:rPr>
                      <w:b/>
                      <w:bCs/>
                    </w:rPr>
                  </w:pPr>
                  <w:r>
                    <w:rPr>
                      <w:b/>
                      <w:bCs/>
                    </w:rPr>
                    <w:t>Activity</w:t>
                  </w:r>
                </w:p>
              </w:tc>
              <w:tc>
                <w:tcPr>
                  <w:tcW w:w="0" w:type="auto"/>
                  <w:vAlign w:val="center"/>
                  <w:hideMark/>
                </w:tcPr>
                <w:p w14:paraId="39213990" w14:textId="77777777" w:rsidR="00B11DA1" w:rsidRDefault="00B11DA1" w:rsidP="00B11DA1">
                  <w:pPr>
                    <w:jc w:val="center"/>
                    <w:rPr>
                      <w:b/>
                      <w:bCs/>
                    </w:rPr>
                  </w:pPr>
                  <w:r>
                    <w:rPr>
                      <w:b/>
                      <w:bCs/>
                    </w:rPr>
                    <w:t>Timeframe</w:t>
                  </w:r>
                </w:p>
              </w:tc>
            </w:tr>
            <w:tr w:rsidR="00B11DA1" w14:paraId="781B5DC7" w14:textId="77777777">
              <w:trPr>
                <w:tblCellSpacing w:w="15" w:type="dxa"/>
              </w:trPr>
              <w:tc>
                <w:tcPr>
                  <w:tcW w:w="0" w:type="auto"/>
                  <w:vAlign w:val="center"/>
                  <w:hideMark/>
                </w:tcPr>
                <w:p w14:paraId="7DB9EDD3" w14:textId="77777777" w:rsidR="00B11DA1" w:rsidRDefault="00B11DA1" w:rsidP="00B11DA1">
                  <w:r>
                    <w:t>Literature review</w:t>
                  </w:r>
                </w:p>
              </w:tc>
              <w:tc>
                <w:tcPr>
                  <w:tcW w:w="0" w:type="auto"/>
                  <w:vAlign w:val="center"/>
                  <w:hideMark/>
                </w:tcPr>
                <w:p w14:paraId="60E5BF6C" w14:textId="77777777" w:rsidR="00B11DA1" w:rsidRDefault="00B11DA1" w:rsidP="00B11DA1">
                  <w:r>
                    <w:t>Review literature on ALN policy, inclusive education, and teacher preparedness</w:t>
                  </w:r>
                </w:p>
              </w:tc>
              <w:tc>
                <w:tcPr>
                  <w:tcW w:w="0" w:type="auto"/>
                  <w:vAlign w:val="center"/>
                  <w:hideMark/>
                </w:tcPr>
                <w:p w14:paraId="68ED712B" w14:textId="77777777" w:rsidR="00B11DA1" w:rsidRDefault="00B11DA1" w:rsidP="00B11DA1">
                  <w:r>
                    <w:t>April–May</w:t>
                  </w:r>
                </w:p>
              </w:tc>
            </w:tr>
            <w:tr w:rsidR="00B11DA1" w14:paraId="4DE1261F" w14:textId="77777777">
              <w:trPr>
                <w:tblCellSpacing w:w="15" w:type="dxa"/>
              </w:trPr>
              <w:tc>
                <w:tcPr>
                  <w:tcW w:w="0" w:type="auto"/>
                  <w:vAlign w:val="center"/>
                  <w:hideMark/>
                </w:tcPr>
                <w:p w14:paraId="4CE98F5B" w14:textId="77777777" w:rsidR="00B11DA1" w:rsidRDefault="00B11DA1" w:rsidP="00B11DA1">
                  <w:r>
                    <w:t>Research design</w:t>
                  </w:r>
                </w:p>
              </w:tc>
              <w:tc>
                <w:tcPr>
                  <w:tcW w:w="0" w:type="auto"/>
                  <w:vAlign w:val="center"/>
                  <w:hideMark/>
                </w:tcPr>
                <w:p w14:paraId="372D7DD6" w14:textId="77777777" w:rsidR="00B11DA1" w:rsidRDefault="00B11DA1" w:rsidP="00B11DA1">
                  <w:r>
                    <w:t>Finalise interview questions and research design</w:t>
                  </w:r>
                </w:p>
              </w:tc>
              <w:tc>
                <w:tcPr>
                  <w:tcW w:w="0" w:type="auto"/>
                  <w:vAlign w:val="center"/>
                  <w:hideMark/>
                </w:tcPr>
                <w:p w14:paraId="6741442B" w14:textId="77777777" w:rsidR="00B11DA1" w:rsidRDefault="00B11DA1" w:rsidP="00B11DA1">
                  <w:r>
                    <w:t>May</w:t>
                  </w:r>
                </w:p>
              </w:tc>
            </w:tr>
            <w:tr w:rsidR="00B11DA1" w14:paraId="51BF726F" w14:textId="77777777">
              <w:trPr>
                <w:tblCellSpacing w:w="15" w:type="dxa"/>
              </w:trPr>
              <w:tc>
                <w:tcPr>
                  <w:tcW w:w="0" w:type="auto"/>
                  <w:vAlign w:val="center"/>
                  <w:hideMark/>
                </w:tcPr>
                <w:p w14:paraId="518060CE" w14:textId="77777777" w:rsidR="00B11DA1" w:rsidRDefault="00B11DA1" w:rsidP="00B11DA1">
                  <w:r>
                    <w:t>Ethical approval</w:t>
                  </w:r>
                </w:p>
              </w:tc>
              <w:tc>
                <w:tcPr>
                  <w:tcW w:w="0" w:type="auto"/>
                  <w:vAlign w:val="center"/>
                  <w:hideMark/>
                </w:tcPr>
                <w:p w14:paraId="450EAE1B" w14:textId="77777777" w:rsidR="00B11DA1" w:rsidRDefault="00B11DA1" w:rsidP="00B11DA1">
                  <w:r>
                    <w:t>Prepare and submit ethics documentation</w:t>
                  </w:r>
                </w:p>
              </w:tc>
              <w:tc>
                <w:tcPr>
                  <w:tcW w:w="0" w:type="auto"/>
                  <w:vAlign w:val="center"/>
                  <w:hideMark/>
                </w:tcPr>
                <w:p w14:paraId="5F3A1188" w14:textId="77777777" w:rsidR="00B11DA1" w:rsidRDefault="00B11DA1" w:rsidP="00B11DA1">
                  <w:r>
                    <w:t>May–June</w:t>
                  </w:r>
                </w:p>
              </w:tc>
            </w:tr>
            <w:tr w:rsidR="00B11DA1" w14:paraId="755C2D50" w14:textId="77777777">
              <w:trPr>
                <w:tblCellSpacing w:w="15" w:type="dxa"/>
              </w:trPr>
              <w:tc>
                <w:tcPr>
                  <w:tcW w:w="0" w:type="auto"/>
                  <w:vAlign w:val="center"/>
                  <w:hideMark/>
                </w:tcPr>
                <w:p w14:paraId="3895F8F9" w14:textId="77777777" w:rsidR="00B11DA1" w:rsidRDefault="00B11DA1" w:rsidP="00B11DA1">
                  <w:r>
                    <w:t>Recruitment</w:t>
                  </w:r>
                </w:p>
              </w:tc>
              <w:tc>
                <w:tcPr>
                  <w:tcW w:w="0" w:type="auto"/>
                  <w:vAlign w:val="center"/>
                  <w:hideMark/>
                </w:tcPr>
                <w:p w14:paraId="6C7D2A77" w14:textId="77777777" w:rsidR="00B11DA1" w:rsidRDefault="00B11DA1" w:rsidP="00B11DA1">
                  <w:r>
                    <w:t>Recruit participants through schools and professional networks</w:t>
                  </w:r>
                </w:p>
              </w:tc>
              <w:tc>
                <w:tcPr>
                  <w:tcW w:w="0" w:type="auto"/>
                  <w:vAlign w:val="center"/>
                  <w:hideMark/>
                </w:tcPr>
                <w:p w14:paraId="18D31869" w14:textId="77777777" w:rsidR="00B11DA1" w:rsidRDefault="00B11DA1" w:rsidP="00B11DA1">
                  <w:r>
                    <w:t>June</w:t>
                  </w:r>
                </w:p>
              </w:tc>
            </w:tr>
            <w:tr w:rsidR="00B11DA1" w14:paraId="27A4707F" w14:textId="77777777">
              <w:trPr>
                <w:tblCellSpacing w:w="15" w:type="dxa"/>
              </w:trPr>
              <w:tc>
                <w:tcPr>
                  <w:tcW w:w="0" w:type="auto"/>
                  <w:vAlign w:val="center"/>
                  <w:hideMark/>
                </w:tcPr>
                <w:p w14:paraId="6C43469A" w14:textId="77777777" w:rsidR="00B11DA1" w:rsidRDefault="00B11DA1" w:rsidP="00B11DA1">
                  <w:r>
                    <w:t>Data collection</w:t>
                  </w:r>
                </w:p>
              </w:tc>
              <w:tc>
                <w:tcPr>
                  <w:tcW w:w="0" w:type="auto"/>
                  <w:vAlign w:val="center"/>
                  <w:hideMark/>
                </w:tcPr>
                <w:p w14:paraId="6BF87B67" w14:textId="77777777" w:rsidR="00B11DA1" w:rsidRDefault="00B11DA1" w:rsidP="00B11DA1">
                  <w:r>
                    <w:t>Conduct semi-structured interviews</w:t>
                  </w:r>
                </w:p>
              </w:tc>
              <w:tc>
                <w:tcPr>
                  <w:tcW w:w="0" w:type="auto"/>
                  <w:vAlign w:val="center"/>
                  <w:hideMark/>
                </w:tcPr>
                <w:p w14:paraId="36A30931" w14:textId="77777777" w:rsidR="00B11DA1" w:rsidRDefault="00B11DA1" w:rsidP="00B11DA1">
                  <w:r>
                    <w:t>July</w:t>
                  </w:r>
                </w:p>
              </w:tc>
            </w:tr>
            <w:tr w:rsidR="00B11DA1" w14:paraId="10502A56" w14:textId="77777777">
              <w:trPr>
                <w:tblCellSpacing w:w="15" w:type="dxa"/>
              </w:trPr>
              <w:tc>
                <w:tcPr>
                  <w:tcW w:w="0" w:type="auto"/>
                  <w:vAlign w:val="center"/>
                  <w:hideMark/>
                </w:tcPr>
                <w:p w14:paraId="6A7C8DDA" w14:textId="77777777" w:rsidR="00B11DA1" w:rsidRDefault="00B11DA1" w:rsidP="00B11DA1">
                  <w:r>
                    <w:t>Transcription</w:t>
                  </w:r>
                </w:p>
              </w:tc>
              <w:tc>
                <w:tcPr>
                  <w:tcW w:w="0" w:type="auto"/>
                  <w:vAlign w:val="center"/>
                  <w:hideMark/>
                </w:tcPr>
                <w:p w14:paraId="475ADC9B" w14:textId="77777777" w:rsidR="00B11DA1" w:rsidRDefault="00B11DA1" w:rsidP="00B11DA1">
                  <w:r>
                    <w:t>Transcribe and anonymise interview data</w:t>
                  </w:r>
                </w:p>
              </w:tc>
              <w:tc>
                <w:tcPr>
                  <w:tcW w:w="0" w:type="auto"/>
                  <w:vAlign w:val="center"/>
                  <w:hideMark/>
                </w:tcPr>
                <w:p w14:paraId="03CDFC2E" w14:textId="77777777" w:rsidR="00B11DA1" w:rsidRDefault="00B11DA1" w:rsidP="00B11DA1">
                  <w:r>
                    <w:t>July</w:t>
                  </w:r>
                </w:p>
              </w:tc>
            </w:tr>
            <w:tr w:rsidR="00B11DA1" w14:paraId="6DD90603" w14:textId="77777777">
              <w:trPr>
                <w:tblCellSpacing w:w="15" w:type="dxa"/>
              </w:trPr>
              <w:tc>
                <w:tcPr>
                  <w:tcW w:w="0" w:type="auto"/>
                  <w:vAlign w:val="center"/>
                  <w:hideMark/>
                </w:tcPr>
                <w:p w14:paraId="6E74CC81" w14:textId="77777777" w:rsidR="00B11DA1" w:rsidRDefault="00B11DA1" w:rsidP="00B11DA1">
                  <w:r>
                    <w:t>Data analysis</w:t>
                  </w:r>
                </w:p>
              </w:tc>
              <w:tc>
                <w:tcPr>
                  <w:tcW w:w="0" w:type="auto"/>
                  <w:vAlign w:val="center"/>
                  <w:hideMark/>
                </w:tcPr>
                <w:p w14:paraId="11D65199" w14:textId="77777777" w:rsidR="00B11DA1" w:rsidRDefault="00B11DA1" w:rsidP="00B11DA1">
                  <w:r>
                    <w:t>Conduct thematic analysis</w:t>
                  </w:r>
                </w:p>
              </w:tc>
              <w:tc>
                <w:tcPr>
                  <w:tcW w:w="0" w:type="auto"/>
                  <w:vAlign w:val="center"/>
                  <w:hideMark/>
                </w:tcPr>
                <w:p w14:paraId="6605213D" w14:textId="77777777" w:rsidR="00B11DA1" w:rsidRDefault="00B11DA1" w:rsidP="00B11DA1">
                  <w:r>
                    <w:t>August</w:t>
                  </w:r>
                </w:p>
              </w:tc>
            </w:tr>
            <w:tr w:rsidR="00B11DA1" w14:paraId="38184ED5" w14:textId="77777777">
              <w:trPr>
                <w:tblCellSpacing w:w="15" w:type="dxa"/>
              </w:trPr>
              <w:tc>
                <w:tcPr>
                  <w:tcW w:w="0" w:type="auto"/>
                  <w:vAlign w:val="center"/>
                  <w:hideMark/>
                </w:tcPr>
                <w:p w14:paraId="39C88DA9" w14:textId="77777777" w:rsidR="00B11DA1" w:rsidRDefault="00B11DA1" w:rsidP="00B11DA1">
                  <w:r>
                    <w:t>Writing up</w:t>
                  </w:r>
                </w:p>
              </w:tc>
              <w:tc>
                <w:tcPr>
                  <w:tcW w:w="0" w:type="auto"/>
                  <w:vAlign w:val="center"/>
                  <w:hideMark/>
                </w:tcPr>
                <w:p w14:paraId="5DEF6DE0" w14:textId="77777777" w:rsidR="00B11DA1" w:rsidRDefault="00B11DA1" w:rsidP="00B11DA1">
                  <w:r>
                    <w:t>Write findings, discussion, and conclusion</w:t>
                  </w:r>
                </w:p>
              </w:tc>
              <w:tc>
                <w:tcPr>
                  <w:tcW w:w="0" w:type="auto"/>
                  <w:vAlign w:val="center"/>
                  <w:hideMark/>
                </w:tcPr>
                <w:p w14:paraId="45571047" w14:textId="77777777" w:rsidR="00B11DA1" w:rsidRDefault="00B11DA1" w:rsidP="00B11DA1">
                  <w:r>
                    <w:t>August–September</w:t>
                  </w:r>
                </w:p>
              </w:tc>
            </w:tr>
            <w:tr w:rsidR="00B11DA1" w14:paraId="52B553DC" w14:textId="77777777">
              <w:trPr>
                <w:tblCellSpacing w:w="15" w:type="dxa"/>
              </w:trPr>
              <w:tc>
                <w:tcPr>
                  <w:tcW w:w="0" w:type="auto"/>
                  <w:vAlign w:val="center"/>
                  <w:hideMark/>
                </w:tcPr>
                <w:p w14:paraId="17950F75" w14:textId="77777777" w:rsidR="00B11DA1" w:rsidRDefault="00B11DA1" w:rsidP="00B11DA1">
                  <w:r>
                    <w:t>Final review</w:t>
                  </w:r>
                </w:p>
              </w:tc>
              <w:tc>
                <w:tcPr>
                  <w:tcW w:w="0" w:type="auto"/>
                  <w:vAlign w:val="center"/>
                  <w:hideMark/>
                </w:tcPr>
                <w:p w14:paraId="4C7EB952" w14:textId="77777777" w:rsidR="00B11DA1" w:rsidRDefault="00B11DA1" w:rsidP="00B11DA1">
                  <w:r>
                    <w:t>Edit and proofread</w:t>
                  </w:r>
                </w:p>
              </w:tc>
              <w:tc>
                <w:tcPr>
                  <w:tcW w:w="0" w:type="auto"/>
                  <w:vAlign w:val="center"/>
                  <w:hideMark/>
                </w:tcPr>
                <w:p w14:paraId="34985302" w14:textId="77777777" w:rsidR="00B11DA1" w:rsidRDefault="00B11DA1" w:rsidP="00B11DA1">
                  <w:r>
                    <w:t>September</w:t>
                  </w:r>
                </w:p>
              </w:tc>
            </w:tr>
          </w:tbl>
          <w:p w14:paraId="3A803CB1" w14:textId="055DE5E7" w:rsidR="00B13219" w:rsidRPr="00E71F25" w:rsidRDefault="00B13219" w:rsidP="000D38D7">
            <w:pPr>
              <w:rPr>
                <w:rFonts w:cs="Arial"/>
                <w:color w:val="000000" w:themeColor="text1"/>
                <w:sz w:val="24"/>
                <w:szCs w:val="24"/>
              </w:rPr>
            </w:pPr>
          </w:p>
        </w:tc>
        <w:tc>
          <w:tcPr>
            <w:tcW w:w="1470" w:type="dxa"/>
          </w:tcPr>
          <w:p w14:paraId="64A51FC6" w14:textId="2EE2E16E" w:rsidR="00B13219" w:rsidRPr="00A830D5" w:rsidRDefault="00C76C2C">
            <w:pPr>
              <w:rPr>
                <w:rFonts w:cs="Arial"/>
              </w:rPr>
            </w:pPr>
            <w:r>
              <w:rPr>
                <w:rFonts w:cs="Arial"/>
              </w:rPr>
              <w:t>No specified wordcount</w:t>
            </w:r>
          </w:p>
        </w:tc>
      </w:tr>
      <w:tr w:rsidR="00DF7E40" w14:paraId="770ADA94" w14:textId="77777777" w:rsidTr="00A4706D">
        <w:tc>
          <w:tcPr>
            <w:tcW w:w="1840" w:type="dxa"/>
          </w:tcPr>
          <w:p w14:paraId="41484119" w14:textId="45B6B1C0" w:rsidR="00DF7E40" w:rsidRPr="004E6C7E" w:rsidRDefault="00B71C8D">
            <w:pPr>
              <w:rPr>
                <w:sz w:val="24"/>
                <w:szCs w:val="24"/>
                <w:lang w:val="en-US"/>
              </w:rPr>
            </w:pPr>
            <w:r w:rsidRPr="004E6C7E">
              <w:rPr>
                <w:rFonts w:cs="Arial"/>
                <w:sz w:val="24"/>
                <w:szCs w:val="24"/>
              </w:rPr>
              <w:t>Proposed methodology</w:t>
            </w:r>
          </w:p>
        </w:tc>
        <w:tc>
          <w:tcPr>
            <w:tcW w:w="5706" w:type="dxa"/>
          </w:tcPr>
          <w:p w14:paraId="7E36F916" w14:textId="77777777" w:rsidR="003163F3" w:rsidRDefault="003163F3" w:rsidP="003163F3">
            <w:pPr>
              <w:pStyle w:val="NormalWeb"/>
              <w:rPr>
                <w:color w:val="000000"/>
              </w:rPr>
            </w:pPr>
            <w:r>
              <w:rPr>
                <w:color w:val="000000"/>
              </w:rPr>
              <w:t>This proposed study will adopt a</w:t>
            </w:r>
            <w:r>
              <w:rPr>
                <w:rStyle w:val="apple-converted-space"/>
                <w:color w:val="000000"/>
              </w:rPr>
              <w:t> </w:t>
            </w:r>
            <w:r>
              <w:rPr>
                <w:rStyle w:val="Strong"/>
                <w:color w:val="000000"/>
              </w:rPr>
              <w:t>qualitative research approach</w:t>
            </w:r>
            <w:r>
              <w:rPr>
                <w:rStyle w:val="apple-converted-space"/>
                <w:color w:val="000000"/>
              </w:rPr>
              <w:t> </w:t>
            </w:r>
            <w:proofErr w:type="gramStart"/>
            <w:r>
              <w:rPr>
                <w:color w:val="000000"/>
              </w:rPr>
              <w:t>in order to</w:t>
            </w:r>
            <w:proofErr w:type="gramEnd"/>
            <w:r>
              <w:rPr>
                <w:color w:val="000000"/>
              </w:rPr>
              <w:t xml:space="preserve"> explore teachers’ perceptions of preparedness and professional practice in relation to the implementation of the</w:t>
            </w:r>
            <w:r>
              <w:rPr>
                <w:rStyle w:val="apple-converted-space"/>
                <w:color w:val="000000"/>
              </w:rPr>
              <w:t> </w:t>
            </w:r>
            <w:r>
              <w:rPr>
                <w:rStyle w:val="Strong"/>
                <w:color w:val="000000"/>
              </w:rPr>
              <w:t>Additional Learning Needs (ALN) Code for Wales</w:t>
            </w:r>
            <w:r>
              <w:rPr>
                <w:color w:val="000000"/>
              </w:rPr>
              <w:t xml:space="preserve">. Qualitative research is appropriate where the aim is to gain in-depth insight into participants’ experiences, beliefs, and interpretations, particularly in relation to professional practice and policy enactment (Bryman, 2016). Given that this study seeks to understand how teachers interpret and respond to policy requirements within their professional contexts, </w:t>
            </w:r>
            <w:r>
              <w:rPr>
                <w:color w:val="000000"/>
              </w:rPr>
              <w:lastRenderedPageBreak/>
              <w:t>a qualitative design enables rich, detailed accounts of lived experience to be captured.</w:t>
            </w:r>
          </w:p>
          <w:p w14:paraId="1DFEC59E" w14:textId="77777777" w:rsidR="003163F3" w:rsidRDefault="003163F3" w:rsidP="003163F3">
            <w:pPr>
              <w:pStyle w:val="NormalWeb"/>
              <w:rPr>
                <w:color w:val="000000"/>
              </w:rPr>
            </w:pPr>
            <w:r>
              <w:rPr>
                <w:color w:val="000000"/>
              </w:rPr>
              <w:t>Data will be collected through</w:t>
            </w:r>
            <w:r>
              <w:rPr>
                <w:rStyle w:val="apple-converted-space"/>
                <w:color w:val="000000"/>
              </w:rPr>
              <w:t> </w:t>
            </w:r>
            <w:r>
              <w:rPr>
                <w:rStyle w:val="Strong"/>
                <w:color w:val="000000"/>
              </w:rPr>
              <w:t>semi-structured interviews</w:t>
            </w:r>
            <w:r>
              <w:rPr>
                <w:color w:val="000000"/>
              </w:rPr>
              <w:t xml:space="preserve">, which allow for flexibility while ensuring that key topics relevant to the research questions are addressed. Semi-structured interviews are widely used in educational research to explore participants’ perspectives in depth and to enable reflection on professional experiences (Cohen, Manion and Morrison, 2018). This method is therefore well suited to examining teachers’ perceptions of preparedness, challenges, and professional support in relation to ALN implementation, as it allows participants to elaborate on </w:t>
            </w:r>
            <w:proofErr w:type="gramStart"/>
            <w:r>
              <w:rPr>
                <w:color w:val="000000"/>
              </w:rPr>
              <w:t>issues</w:t>
            </w:r>
            <w:proofErr w:type="gramEnd"/>
            <w:r>
              <w:rPr>
                <w:color w:val="000000"/>
              </w:rPr>
              <w:t xml:space="preserve"> they consider most significant while maintaining consistency across interviews.</w:t>
            </w:r>
          </w:p>
          <w:p w14:paraId="51F00534" w14:textId="77777777" w:rsidR="003163F3" w:rsidRDefault="003163F3" w:rsidP="003163F3">
            <w:pPr>
              <w:pStyle w:val="NormalWeb"/>
              <w:rPr>
                <w:color w:val="000000"/>
              </w:rPr>
            </w:pPr>
            <w:r>
              <w:rPr>
                <w:color w:val="000000"/>
              </w:rPr>
              <w:t>A</w:t>
            </w:r>
            <w:r>
              <w:rPr>
                <w:rStyle w:val="apple-converted-space"/>
                <w:color w:val="000000"/>
              </w:rPr>
              <w:t> </w:t>
            </w:r>
            <w:r>
              <w:rPr>
                <w:rStyle w:val="Strong"/>
                <w:color w:val="000000"/>
              </w:rPr>
              <w:t>purposive sampling strategy</w:t>
            </w:r>
            <w:r>
              <w:rPr>
                <w:rStyle w:val="apple-converted-space"/>
                <w:color w:val="000000"/>
              </w:rPr>
              <w:t> </w:t>
            </w:r>
            <w:r>
              <w:rPr>
                <w:color w:val="000000"/>
              </w:rPr>
              <w:t>will be employed to recruit participants who have direct experience of implementing the ALN Code in their professional practice. It is anticipated that between</w:t>
            </w:r>
            <w:r>
              <w:rPr>
                <w:rStyle w:val="apple-converted-space"/>
                <w:color w:val="000000"/>
              </w:rPr>
              <w:t> </w:t>
            </w:r>
            <w:r>
              <w:rPr>
                <w:rStyle w:val="Strong"/>
                <w:color w:val="000000"/>
              </w:rPr>
              <w:t>six and ten teachers</w:t>
            </w:r>
            <w:r>
              <w:rPr>
                <w:rStyle w:val="apple-converted-space"/>
                <w:color w:val="000000"/>
              </w:rPr>
              <w:t> </w:t>
            </w:r>
            <w:r>
              <w:rPr>
                <w:color w:val="000000"/>
              </w:rPr>
              <w:t xml:space="preserve">will be recruited, as this sample size is considered sufficient to generate rich qualitative data while remaining manageable within the scope of a postgraduate research project (Braun and Clarke, 2021). Participants may be drawn from a range of school contexts </w:t>
            </w:r>
            <w:proofErr w:type="gramStart"/>
            <w:r>
              <w:rPr>
                <w:color w:val="000000"/>
              </w:rPr>
              <w:t>in order to</w:t>
            </w:r>
            <w:proofErr w:type="gramEnd"/>
            <w:r>
              <w:rPr>
                <w:color w:val="000000"/>
              </w:rPr>
              <w:t xml:space="preserve"> capture diverse perspectives and to reflect variation in experience, professional roles, and access to support. Such variation may enhance the depth and credibility of the findings.</w:t>
            </w:r>
          </w:p>
          <w:p w14:paraId="00048EAF" w14:textId="77777777" w:rsidR="003163F3" w:rsidRDefault="003163F3" w:rsidP="003163F3">
            <w:pPr>
              <w:pStyle w:val="NormalWeb"/>
              <w:rPr>
                <w:color w:val="000000"/>
              </w:rPr>
            </w:pPr>
            <w:r>
              <w:rPr>
                <w:color w:val="000000"/>
              </w:rPr>
              <w:t>Ethical considerations will be addressed in accordance with established ethical guidelines for educational research, including informed consent, confidentiality, and the right to withdraw without penalty (BERA, 2024). Participants will be provided with an information sheet outlining the purpose of the study, the voluntary nature of participation, and how data will be used. All interview data will be anonymised, and pseudonyms will be used in reporting findings to protect participants’ identities. Given that participants may be professionals working within the same sector, particular care will be taken to ensure that confidentiality is maintained and that no identifiable information is disclosed.</w:t>
            </w:r>
          </w:p>
          <w:p w14:paraId="2C036F21" w14:textId="77777777" w:rsidR="00790D6C" w:rsidRDefault="003163F3" w:rsidP="003163F3">
            <w:pPr>
              <w:pStyle w:val="NormalWeb"/>
              <w:rPr>
                <w:color w:val="000000"/>
              </w:rPr>
            </w:pPr>
            <w:r>
              <w:rPr>
                <w:color w:val="000000"/>
              </w:rPr>
              <w:t>The interview data will be analysed using</w:t>
            </w:r>
            <w:r>
              <w:rPr>
                <w:rStyle w:val="apple-converted-space"/>
                <w:color w:val="000000"/>
              </w:rPr>
              <w:t> </w:t>
            </w:r>
            <w:r>
              <w:rPr>
                <w:rStyle w:val="Strong"/>
                <w:color w:val="000000"/>
              </w:rPr>
              <w:t>thematic analysis</w:t>
            </w:r>
            <w:r>
              <w:rPr>
                <w:color w:val="000000"/>
              </w:rPr>
              <w:t xml:space="preserve">, a flexible and systematic approach to identifying and interpreting patterns within qualitative data (Braun and Clarke, 2021). The analysis process will involve familiarisation with the data, initial coding, and </w:t>
            </w:r>
            <w:r>
              <w:rPr>
                <w:color w:val="000000"/>
              </w:rPr>
              <w:lastRenderedPageBreak/>
              <w:t>the development of themes that reflect teachers’ perceptions of preparedness, challenges, and professional support. Thematic analysis is appropriate for this study as it allows for both shared patterns and individual differences to be explored in relation to the research questions. This approach will enable findings to be linked directly to existing literature on inclusive education and policy implementation, thereby supporting analytical depth and coherence.</w:t>
            </w:r>
          </w:p>
          <w:p w14:paraId="7987E96E" w14:textId="77777777" w:rsidR="003163F3" w:rsidRDefault="003163F3" w:rsidP="003163F3">
            <w:pPr>
              <w:pStyle w:val="NormalWeb"/>
              <w:rPr>
                <w:color w:val="000000"/>
              </w:rPr>
            </w:pPr>
          </w:p>
          <w:p w14:paraId="0BF621C5" w14:textId="44105182" w:rsidR="003163F3" w:rsidRPr="003163F3" w:rsidRDefault="003163F3" w:rsidP="003163F3">
            <w:pPr>
              <w:pStyle w:val="NormalWeb"/>
              <w:rPr>
                <w:color w:val="000000"/>
              </w:rPr>
            </w:pPr>
          </w:p>
        </w:tc>
        <w:tc>
          <w:tcPr>
            <w:tcW w:w="1470" w:type="dxa"/>
          </w:tcPr>
          <w:p w14:paraId="7C7A3331" w14:textId="5C858E72" w:rsidR="00DF7E40" w:rsidRDefault="00B71C8D">
            <w:pPr>
              <w:rPr>
                <w:lang w:val="en-US"/>
              </w:rPr>
            </w:pPr>
            <w:r w:rsidRPr="00A830D5">
              <w:rPr>
                <w:rFonts w:cs="Arial"/>
              </w:rPr>
              <w:lastRenderedPageBreak/>
              <w:t>500</w:t>
            </w:r>
          </w:p>
        </w:tc>
      </w:tr>
      <w:tr w:rsidR="00061091" w14:paraId="25E3E3F6" w14:textId="77777777" w:rsidTr="00A4706D">
        <w:tc>
          <w:tcPr>
            <w:tcW w:w="1840" w:type="dxa"/>
          </w:tcPr>
          <w:p w14:paraId="094A6A08" w14:textId="550567A4" w:rsidR="00713F12" w:rsidRPr="004E6C7E" w:rsidRDefault="00B71C8D">
            <w:pPr>
              <w:rPr>
                <w:sz w:val="24"/>
                <w:szCs w:val="24"/>
                <w:lang w:val="en-US"/>
              </w:rPr>
            </w:pPr>
            <w:r w:rsidRPr="004E6C7E">
              <w:rPr>
                <w:rFonts w:cs="Arial"/>
                <w:sz w:val="24"/>
                <w:szCs w:val="24"/>
              </w:rPr>
              <w:lastRenderedPageBreak/>
              <w:t>Introductory bibliography</w:t>
            </w:r>
          </w:p>
        </w:tc>
        <w:tc>
          <w:tcPr>
            <w:tcW w:w="5706" w:type="dxa"/>
          </w:tcPr>
          <w:p w14:paraId="0F4EDE2D" w14:textId="77777777" w:rsidR="003B7DA2" w:rsidRDefault="003B7DA2" w:rsidP="003B7DA2">
            <w:pPr>
              <w:pStyle w:val="NormalWeb"/>
              <w:rPr>
                <w:color w:val="000000"/>
              </w:rPr>
            </w:pPr>
            <w:r>
              <w:rPr>
                <w:color w:val="000000"/>
              </w:rPr>
              <w:t>BERA (2024)</w:t>
            </w:r>
            <w:r>
              <w:rPr>
                <w:rStyle w:val="apple-converted-space"/>
                <w:color w:val="000000"/>
              </w:rPr>
              <w:t> </w:t>
            </w:r>
            <w:r>
              <w:rPr>
                <w:rStyle w:val="Emphasis"/>
                <w:color w:val="000000"/>
              </w:rPr>
              <w:t>Ethical guidelines for educational research</w:t>
            </w:r>
            <w:r>
              <w:rPr>
                <w:color w:val="000000"/>
              </w:rPr>
              <w:t xml:space="preserve">. 5th </w:t>
            </w:r>
            <w:proofErr w:type="spellStart"/>
            <w:r>
              <w:rPr>
                <w:color w:val="000000"/>
              </w:rPr>
              <w:t>edn</w:t>
            </w:r>
            <w:proofErr w:type="spellEnd"/>
            <w:r>
              <w:rPr>
                <w:color w:val="000000"/>
              </w:rPr>
              <w:t>. London: British Educational Research Association.</w:t>
            </w:r>
          </w:p>
          <w:p w14:paraId="5FAE25AF" w14:textId="77777777" w:rsidR="003B7DA2" w:rsidRDefault="003B7DA2" w:rsidP="003B7DA2">
            <w:pPr>
              <w:pStyle w:val="NormalWeb"/>
              <w:rPr>
                <w:color w:val="000000"/>
              </w:rPr>
            </w:pPr>
            <w:r>
              <w:rPr>
                <w:color w:val="000000"/>
              </w:rPr>
              <w:t>Braun, V. and Clarke, V. (2021)</w:t>
            </w:r>
            <w:r>
              <w:rPr>
                <w:rStyle w:val="apple-converted-space"/>
                <w:color w:val="000000"/>
              </w:rPr>
              <w:t> </w:t>
            </w:r>
            <w:r>
              <w:rPr>
                <w:rStyle w:val="Emphasis"/>
                <w:color w:val="000000"/>
              </w:rPr>
              <w:t>Thematic analysis: A practical guide</w:t>
            </w:r>
            <w:r>
              <w:rPr>
                <w:color w:val="000000"/>
              </w:rPr>
              <w:t>. London: SAGE.</w:t>
            </w:r>
          </w:p>
          <w:p w14:paraId="36E89EE7" w14:textId="77777777" w:rsidR="003B7DA2" w:rsidRDefault="003B7DA2" w:rsidP="003B7DA2">
            <w:pPr>
              <w:pStyle w:val="NormalWeb"/>
              <w:rPr>
                <w:color w:val="000000"/>
              </w:rPr>
            </w:pPr>
            <w:r>
              <w:rPr>
                <w:color w:val="000000"/>
              </w:rPr>
              <w:t>Bryman, A. (2016)</w:t>
            </w:r>
            <w:r>
              <w:rPr>
                <w:rStyle w:val="apple-converted-space"/>
                <w:color w:val="000000"/>
              </w:rPr>
              <w:t> </w:t>
            </w:r>
            <w:r>
              <w:rPr>
                <w:rStyle w:val="Emphasis"/>
                <w:color w:val="000000"/>
              </w:rPr>
              <w:t>Social research methods</w:t>
            </w:r>
            <w:r>
              <w:rPr>
                <w:color w:val="000000"/>
              </w:rPr>
              <w:t xml:space="preserve">. 5th </w:t>
            </w:r>
            <w:proofErr w:type="spellStart"/>
            <w:r>
              <w:rPr>
                <w:color w:val="000000"/>
              </w:rPr>
              <w:t>edn</w:t>
            </w:r>
            <w:proofErr w:type="spellEnd"/>
            <w:r>
              <w:rPr>
                <w:color w:val="000000"/>
              </w:rPr>
              <w:t>. Oxford: Oxford University Press.</w:t>
            </w:r>
          </w:p>
          <w:p w14:paraId="1524CA81" w14:textId="77777777" w:rsidR="003B7DA2" w:rsidRDefault="003B7DA2" w:rsidP="003B7DA2">
            <w:pPr>
              <w:pStyle w:val="NormalWeb"/>
              <w:rPr>
                <w:color w:val="000000"/>
              </w:rPr>
            </w:pPr>
            <w:r>
              <w:rPr>
                <w:color w:val="000000"/>
              </w:rPr>
              <w:t>Cohen, L., Manion, L. and Morrison, K. (2018)</w:t>
            </w:r>
            <w:r>
              <w:rPr>
                <w:rStyle w:val="apple-converted-space"/>
                <w:color w:val="000000"/>
              </w:rPr>
              <w:t> </w:t>
            </w:r>
            <w:r>
              <w:rPr>
                <w:rStyle w:val="Emphasis"/>
                <w:color w:val="000000"/>
              </w:rPr>
              <w:t>Research methods in education</w:t>
            </w:r>
            <w:r>
              <w:rPr>
                <w:color w:val="000000"/>
              </w:rPr>
              <w:t xml:space="preserve">. 8th </w:t>
            </w:r>
            <w:proofErr w:type="spellStart"/>
            <w:r>
              <w:rPr>
                <w:color w:val="000000"/>
              </w:rPr>
              <w:t>edn</w:t>
            </w:r>
            <w:proofErr w:type="spellEnd"/>
            <w:r>
              <w:rPr>
                <w:color w:val="000000"/>
              </w:rPr>
              <w:t>. London: Routledge.</w:t>
            </w:r>
          </w:p>
          <w:p w14:paraId="3F796E63" w14:textId="77777777" w:rsidR="003B7DA2" w:rsidRDefault="003B7DA2" w:rsidP="003B7DA2">
            <w:pPr>
              <w:pStyle w:val="NormalWeb"/>
              <w:rPr>
                <w:color w:val="000000"/>
              </w:rPr>
            </w:pPr>
            <w:r>
              <w:rPr>
                <w:color w:val="000000"/>
              </w:rPr>
              <w:t>Connolly, M., Healy, J. and Daly, P. (2022) ‘Inclusive education and teacher preparedness: challenges for policy enactment’,</w:t>
            </w:r>
            <w:r>
              <w:rPr>
                <w:rStyle w:val="apple-converted-space"/>
                <w:color w:val="000000"/>
              </w:rPr>
              <w:t> </w:t>
            </w:r>
            <w:r>
              <w:rPr>
                <w:rStyle w:val="Emphasis"/>
                <w:color w:val="000000"/>
              </w:rPr>
              <w:t>International Journal of Inclusive Education</w:t>
            </w:r>
            <w:r>
              <w:rPr>
                <w:color w:val="000000"/>
              </w:rPr>
              <w:t>, 26(9), pp. 889–904.</w:t>
            </w:r>
          </w:p>
          <w:p w14:paraId="308C964C" w14:textId="77777777" w:rsidR="003B7DA2" w:rsidRDefault="003B7DA2" w:rsidP="003B7DA2">
            <w:pPr>
              <w:pStyle w:val="NormalWeb"/>
              <w:rPr>
                <w:color w:val="000000"/>
              </w:rPr>
            </w:pPr>
            <w:r>
              <w:rPr>
                <w:color w:val="000000"/>
              </w:rPr>
              <w:t>Estyn (2023)</w:t>
            </w:r>
            <w:r>
              <w:rPr>
                <w:rStyle w:val="apple-converted-space"/>
                <w:color w:val="000000"/>
              </w:rPr>
              <w:t> </w:t>
            </w:r>
            <w:r>
              <w:rPr>
                <w:rStyle w:val="Emphasis"/>
                <w:color w:val="000000"/>
              </w:rPr>
              <w:t>Additional learning needs: Supporting learners through effective implementation</w:t>
            </w:r>
            <w:r>
              <w:rPr>
                <w:color w:val="000000"/>
              </w:rPr>
              <w:t>. Cardiff: Estyn.</w:t>
            </w:r>
          </w:p>
          <w:p w14:paraId="1C6E9C48" w14:textId="77777777" w:rsidR="003B7DA2" w:rsidRDefault="003B7DA2" w:rsidP="003B7DA2">
            <w:pPr>
              <w:pStyle w:val="NormalWeb"/>
              <w:rPr>
                <w:color w:val="000000"/>
              </w:rPr>
            </w:pPr>
            <w:r>
              <w:rPr>
                <w:color w:val="000000"/>
              </w:rPr>
              <w:t>Florian, L. (2019) ‘On the necessary co-existence of special and inclusive education’,</w:t>
            </w:r>
            <w:r>
              <w:rPr>
                <w:rStyle w:val="apple-converted-space"/>
                <w:color w:val="000000"/>
              </w:rPr>
              <w:t> </w:t>
            </w:r>
            <w:r>
              <w:rPr>
                <w:rStyle w:val="Emphasis"/>
                <w:color w:val="000000"/>
              </w:rPr>
              <w:t>International Journal of Inclusive Education</w:t>
            </w:r>
            <w:r>
              <w:rPr>
                <w:color w:val="000000"/>
              </w:rPr>
              <w:t>, 23(7–8), pp. 691–704.</w:t>
            </w:r>
          </w:p>
          <w:p w14:paraId="5A6E323F" w14:textId="77777777" w:rsidR="003B7DA2" w:rsidRDefault="003B7DA2" w:rsidP="003B7DA2">
            <w:pPr>
              <w:pStyle w:val="NormalWeb"/>
              <w:rPr>
                <w:color w:val="000000"/>
              </w:rPr>
            </w:pPr>
            <w:r>
              <w:rPr>
                <w:color w:val="000000"/>
              </w:rPr>
              <w:t>Florian, L. and Beaton, M. (2018) ‘Inclusive pedagogy in action: Getting it right for every child’,</w:t>
            </w:r>
            <w:r>
              <w:rPr>
                <w:rStyle w:val="apple-converted-space"/>
                <w:color w:val="000000"/>
              </w:rPr>
              <w:t> </w:t>
            </w:r>
            <w:r>
              <w:rPr>
                <w:rStyle w:val="Emphasis"/>
                <w:color w:val="000000"/>
              </w:rPr>
              <w:t>International Journal of Inclusive Education</w:t>
            </w:r>
            <w:r>
              <w:rPr>
                <w:color w:val="000000"/>
              </w:rPr>
              <w:t>, 22(8), pp. 870–884.</w:t>
            </w:r>
          </w:p>
          <w:p w14:paraId="508A8EA6" w14:textId="77777777" w:rsidR="003B7DA2" w:rsidRDefault="003B7DA2" w:rsidP="003B7DA2">
            <w:pPr>
              <w:pStyle w:val="NormalWeb"/>
              <w:rPr>
                <w:color w:val="000000"/>
              </w:rPr>
            </w:pPr>
            <w:r>
              <w:rPr>
                <w:color w:val="000000"/>
              </w:rPr>
              <w:t>Fullan, M. (2016)</w:t>
            </w:r>
            <w:r>
              <w:rPr>
                <w:rStyle w:val="apple-converted-space"/>
                <w:color w:val="000000"/>
              </w:rPr>
              <w:t> </w:t>
            </w:r>
            <w:r>
              <w:rPr>
                <w:rStyle w:val="Emphasis"/>
                <w:color w:val="000000"/>
              </w:rPr>
              <w:t>The new meaning of educational change</w:t>
            </w:r>
            <w:r>
              <w:rPr>
                <w:color w:val="000000"/>
              </w:rPr>
              <w:t xml:space="preserve">. 5th </w:t>
            </w:r>
            <w:proofErr w:type="spellStart"/>
            <w:r>
              <w:rPr>
                <w:color w:val="000000"/>
              </w:rPr>
              <w:t>edn</w:t>
            </w:r>
            <w:proofErr w:type="spellEnd"/>
            <w:r>
              <w:rPr>
                <w:color w:val="000000"/>
              </w:rPr>
              <w:t>. New York: Teachers College Press.</w:t>
            </w:r>
          </w:p>
          <w:p w14:paraId="6E8F687E" w14:textId="77777777" w:rsidR="003B7DA2" w:rsidRDefault="003B7DA2" w:rsidP="003B7DA2">
            <w:pPr>
              <w:pStyle w:val="NormalWeb"/>
              <w:rPr>
                <w:color w:val="000000"/>
              </w:rPr>
            </w:pPr>
            <w:r>
              <w:rPr>
                <w:color w:val="000000"/>
              </w:rPr>
              <w:t xml:space="preserve">Griffiths, D., Parsons, S. and Evans, C. (2021) ‘Teacher confidence and inclusive practice in primary </w:t>
            </w:r>
            <w:r>
              <w:rPr>
                <w:color w:val="000000"/>
              </w:rPr>
              <w:lastRenderedPageBreak/>
              <w:t>schools’,</w:t>
            </w:r>
            <w:r>
              <w:rPr>
                <w:rStyle w:val="apple-converted-space"/>
                <w:color w:val="000000"/>
              </w:rPr>
              <w:t> </w:t>
            </w:r>
            <w:r>
              <w:rPr>
                <w:rStyle w:val="Emphasis"/>
                <w:color w:val="000000"/>
              </w:rPr>
              <w:t>British Journal of Special Education</w:t>
            </w:r>
            <w:r>
              <w:rPr>
                <w:color w:val="000000"/>
              </w:rPr>
              <w:t>, 48(3), pp. 287–305.</w:t>
            </w:r>
          </w:p>
          <w:p w14:paraId="0EA8A316" w14:textId="77777777" w:rsidR="003B7DA2" w:rsidRDefault="003B7DA2" w:rsidP="003B7DA2">
            <w:pPr>
              <w:pStyle w:val="NormalWeb"/>
              <w:rPr>
                <w:color w:val="000000"/>
              </w:rPr>
            </w:pPr>
            <w:r>
              <w:rPr>
                <w:color w:val="000000"/>
              </w:rPr>
              <w:t>Miles, M.B., Huberman, A.M. and Saldaña, J. (2020)</w:t>
            </w:r>
            <w:r>
              <w:rPr>
                <w:rStyle w:val="apple-converted-space"/>
                <w:color w:val="000000"/>
              </w:rPr>
              <w:t> </w:t>
            </w:r>
            <w:r>
              <w:rPr>
                <w:rStyle w:val="Emphasis"/>
                <w:color w:val="000000"/>
              </w:rPr>
              <w:t>Qualitative data analysis: A methods sourcebook</w:t>
            </w:r>
            <w:r>
              <w:rPr>
                <w:color w:val="000000"/>
              </w:rPr>
              <w:t xml:space="preserve">. 4th </w:t>
            </w:r>
            <w:proofErr w:type="spellStart"/>
            <w:r>
              <w:rPr>
                <w:color w:val="000000"/>
              </w:rPr>
              <w:t>edn</w:t>
            </w:r>
            <w:proofErr w:type="spellEnd"/>
            <w:r>
              <w:rPr>
                <w:color w:val="000000"/>
              </w:rPr>
              <w:t>. London: SAGE.</w:t>
            </w:r>
          </w:p>
          <w:p w14:paraId="76853976" w14:textId="77777777" w:rsidR="003B7DA2" w:rsidRDefault="003B7DA2" w:rsidP="003B7DA2">
            <w:pPr>
              <w:pStyle w:val="NormalWeb"/>
              <w:rPr>
                <w:color w:val="000000"/>
              </w:rPr>
            </w:pPr>
            <w:r>
              <w:rPr>
                <w:color w:val="000000"/>
              </w:rPr>
              <w:t>Norwich, B. (2019) ‘Reconceptualising special educational needs in inclusive education’,</w:t>
            </w:r>
            <w:r>
              <w:rPr>
                <w:rStyle w:val="apple-converted-space"/>
                <w:color w:val="000000"/>
              </w:rPr>
              <w:t> </w:t>
            </w:r>
            <w:r>
              <w:rPr>
                <w:rStyle w:val="Emphasis"/>
                <w:color w:val="000000"/>
              </w:rPr>
              <w:t>British Journal of Educational Studies</w:t>
            </w:r>
            <w:r>
              <w:rPr>
                <w:color w:val="000000"/>
              </w:rPr>
              <w:t>, 67(4), pp. 403–422.</w:t>
            </w:r>
          </w:p>
          <w:p w14:paraId="6FFA6617" w14:textId="77777777" w:rsidR="003B7DA2" w:rsidRDefault="003B7DA2" w:rsidP="003B7DA2">
            <w:pPr>
              <w:pStyle w:val="NormalWeb"/>
              <w:rPr>
                <w:color w:val="000000"/>
              </w:rPr>
            </w:pPr>
            <w:r>
              <w:rPr>
                <w:color w:val="000000"/>
              </w:rPr>
              <w:t>Ravet, J. (2021)</w:t>
            </w:r>
            <w:r>
              <w:rPr>
                <w:rStyle w:val="apple-converted-space"/>
                <w:color w:val="000000"/>
              </w:rPr>
              <w:t> </w:t>
            </w:r>
            <w:r>
              <w:rPr>
                <w:rStyle w:val="Emphasis"/>
                <w:color w:val="000000"/>
              </w:rPr>
              <w:t>Inclusive education: A critical perspective</w:t>
            </w:r>
            <w:r>
              <w:rPr>
                <w:color w:val="000000"/>
              </w:rPr>
              <w:t>. London: Routledge.</w:t>
            </w:r>
          </w:p>
          <w:p w14:paraId="742B74B7" w14:textId="77777777" w:rsidR="003B7DA2" w:rsidRDefault="003B7DA2" w:rsidP="003B7DA2">
            <w:pPr>
              <w:pStyle w:val="NormalWeb"/>
              <w:rPr>
                <w:color w:val="000000"/>
              </w:rPr>
            </w:pPr>
            <w:r>
              <w:rPr>
                <w:color w:val="000000"/>
              </w:rPr>
              <w:t>Slee, R. (2018)</w:t>
            </w:r>
            <w:r>
              <w:rPr>
                <w:rStyle w:val="apple-converted-space"/>
                <w:color w:val="000000"/>
              </w:rPr>
              <w:t> </w:t>
            </w:r>
            <w:r>
              <w:rPr>
                <w:rStyle w:val="Emphasis"/>
                <w:color w:val="000000"/>
              </w:rPr>
              <w:t>Inclusive education isn’t dead, it just smells funny</w:t>
            </w:r>
            <w:r>
              <w:rPr>
                <w:color w:val="000000"/>
              </w:rPr>
              <w:t>. London: Routledge.</w:t>
            </w:r>
          </w:p>
          <w:p w14:paraId="42299421" w14:textId="77777777" w:rsidR="003B7DA2" w:rsidRDefault="003B7DA2" w:rsidP="003B7DA2">
            <w:pPr>
              <w:pStyle w:val="NormalWeb"/>
              <w:rPr>
                <w:color w:val="000000"/>
              </w:rPr>
            </w:pPr>
            <w:r>
              <w:rPr>
                <w:color w:val="000000"/>
              </w:rPr>
              <w:t>Smith, R. and Adams, P. (2020) ‘Policy enactment and teacher agency in inclusive education’,</w:t>
            </w:r>
            <w:r>
              <w:rPr>
                <w:rStyle w:val="apple-converted-space"/>
                <w:color w:val="000000"/>
              </w:rPr>
              <w:t> </w:t>
            </w:r>
            <w:r>
              <w:rPr>
                <w:rStyle w:val="Emphasis"/>
                <w:color w:val="000000"/>
              </w:rPr>
              <w:t>Educational Review</w:t>
            </w:r>
            <w:r>
              <w:rPr>
                <w:color w:val="000000"/>
              </w:rPr>
              <w:t>, 72(5), pp. 602–619.</w:t>
            </w:r>
          </w:p>
          <w:p w14:paraId="5024955F" w14:textId="77777777" w:rsidR="003B7DA2" w:rsidRDefault="003B7DA2" w:rsidP="003B7DA2">
            <w:pPr>
              <w:pStyle w:val="NormalWeb"/>
              <w:rPr>
                <w:color w:val="000000"/>
              </w:rPr>
            </w:pPr>
            <w:r>
              <w:rPr>
                <w:color w:val="000000"/>
              </w:rPr>
              <w:t>Thomas, G. (2013) ‘A review of thinking and research about inclusive education policy, with suggestions for a new kind of inclusive thinking’,</w:t>
            </w:r>
            <w:r>
              <w:rPr>
                <w:rStyle w:val="apple-converted-space"/>
                <w:color w:val="000000"/>
              </w:rPr>
              <w:t> </w:t>
            </w:r>
            <w:r>
              <w:rPr>
                <w:rStyle w:val="Emphasis"/>
                <w:color w:val="000000"/>
              </w:rPr>
              <w:t>British Educational Research Journal</w:t>
            </w:r>
            <w:r>
              <w:rPr>
                <w:color w:val="000000"/>
              </w:rPr>
              <w:t>, 39(3), pp. 473–490.</w:t>
            </w:r>
          </w:p>
          <w:p w14:paraId="2683401F" w14:textId="77777777" w:rsidR="003B7DA2" w:rsidRDefault="003B7DA2" w:rsidP="003B7DA2">
            <w:pPr>
              <w:pStyle w:val="NormalWeb"/>
              <w:rPr>
                <w:color w:val="000000"/>
              </w:rPr>
            </w:pPr>
            <w:r>
              <w:rPr>
                <w:color w:val="000000"/>
              </w:rPr>
              <w:t>UNESCO (2020)</w:t>
            </w:r>
            <w:r>
              <w:rPr>
                <w:rStyle w:val="apple-converted-space"/>
                <w:color w:val="000000"/>
              </w:rPr>
              <w:t> </w:t>
            </w:r>
            <w:r>
              <w:rPr>
                <w:rStyle w:val="Emphasis"/>
                <w:color w:val="000000"/>
              </w:rPr>
              <w:t>Inclusion and education: All means all</w:t>
            </w:r>
            <w:r>
              <w:rPr>
                <w:color w:val="000000"/>
              </w:rPr>
              <w:t>. Paris: UNESCO.</w:t>
            </w:r>
          </w:p>
          <w:p w14:paraId="143F9A3D" w14:textId="77777777" w:rsidR="003B7DA2" w:rsidRDefault="003B7DA2" w:rsidP="003B7DA2">
            <w:pPr>
              <w:pStyle w:val="NormalWeb"/>
              <w:rPr>
                <w:color w:val="000000"/>
              </w:rPr>
            </w:pPr>
            <w:r>
              <w:rPr>
                <w:color w:val="000000"/>
              </w:rPr>
              <w:t>Welsh Government (2018)</w:t>
            </w:r>
            <w:r>
              <w:rPr>
                <w:rStyle w:val="apple-converted-space"/>
                <w:color w:val="000000"/>
              </w:rPr>
              <w:t> </w:t>
            </w:r>
            <w:r>
              <w:rPr>
                <w:rStyle w:val="Emphasis"/>
                <w:color w:val="000000"/>
              </w:rPr>
              <w:t>Additional Learning Needs and Education Tribunal (Wales) Act 2018</w:t>
            </w:r>
            <w:r>
              <w:rPr>
                <w:color w:val="000000"/>
              </w:rPr>
              <w:t>. Cardiff: Welsh Government.</w:t>
            </w:r>
          </w:p>
          <w:p w14:paraId="670CD9BE" w14:textId="77777777" w:rsidR="003B7DA2" w:rsidRDefault="003B7DA2" w:rsidP="003B7DA2">
            <w:pPr>
              <w:pStyle w:val="NormalWeb"/>
              <w:rPr>
                <w:color w:val="000000"/>
              </w:rPr>
            </w:pPr>
            <w:r>
              <w:rPr>
                <w:color w:val="000000"/>
              </w:rPr>
              <w:t>Welsh Government (2021)</w:t>
            </w:r>
            <w:r>
              <w:rPr>
                <w:rStyle w:val="apple-converted-space"/>
                <w:color w:val="000000"/>
              </w:rPr>
              <w:t> </w:t>
            </w:r>
            <w:r>
              <w:rPr>
                <w:rStyle w:val="Emphasis"/>
                <w:color w:val="000000"/>
              </w:rPr>
              <w:t>Additional Learning Needs Code for Wales</w:t>
            </w:r>
            <w:r>
              <w:rPr>
                <w:color w:val="000000"/>
              </w:rPr>
              <w:t>. Cardiff: Welsh Government.</w:t>
            </w:r>
          </w:p>
          <w:p w14:paraId="730A4814" w14:textId="77777777" w:rsidR="003B7DA2" w:rsidRDefault="003B7DA2" w:rsidP="003B7DA2">
            <w:pPr>
              <w:pStyle w:val="NormalWeb"/>
              <w:rPr>
                <w:color w:val="000000"/>
              </w:rPr>
            </w:pPr>
            <w:r>
              <w:rPr>
                <w:color w:val="000000"/>
              </w:rPr>
              <w:t>Welsh Government (2023)</w:t>
            </w:r>
            <w:r>
              <w:rPr>
                <w:rStyle w:val="apple-converted-space"/>
                <w:color w:val="000000"/>
              </w:rPr>
              <w:t> </w:t>
            </w:r>
            <w:r>
              <w:rPr>
                <w:rStyle w:val="Emphasis"/>
                <w:color w:val="000000"/>
              </w:rPr>
              <w:t>Implementing the ALN system: Guidance for schools</w:t>
            </w:r>
            <w:r>
              <w:rPr>
                <w:color w:val="000000"/>
              </w:rPr>
              <w:t>. Cardiff: Welsh Government.</w:t>
            </w:r>
          </w:p>
          <w:p w14:paraId="06D269A9" w14:textId="3AFDF45B" w:rsidR="00713F12" w:rsidRPr="00181594" w:rsidRDefault="00713F12" w:rsidP="00693E09">
            <w:pPr>
              <w:pStyle w:val="NormalWeb"/>
              <w:rPr>
                <w:rFonts w:cs="Arial"/>
              </w:rPr>
            </w:pPr>
          </w:p>
        </w:tc>
        <w:tc>
          <w:tcPr>
            <w:tcW w:w="1470" w:type="dxa"/>
          </w:tcPr>
          <w:p w14:paraId="512C2713" w14:textId="6728DB4E" w:rsidR="00713F12" w:rsidRDefault="00713F12">
            <w:pPr>
              <w:rPr>
                <w:lang w:val="en-US"/>
              </w:rPr>
            </w:pPr>
          </w:p>
        </w:tc>
      </w:tr>
    </w:tbl>
    <w:p w14:paraId="43E5ACDB" w14:textId="77777777" w:rsidR="001054AE" w:rsidRDefault="001054AE">
      <w:pPr>
        <w:rPr>
          <w:lang w:val="en-US"/>
        </w:rPr>
      </w:pPr>
    </w:p>
    <w:p w14:paraId="65EB4745" w14:textId="4BB2CE87" w:rsidR="00704D7D" w:rsidRPr="00A1784E" w:rsidRDefault="00704D7D">
      <w:pPr>
        <w:rPr>
          <w:b/>
          <w:bCs/>
          <w:sz w:val="24"/>
          <w:szCs w:val="24"/>
        </w:rPr>
      </w:pPr>
      <w:r w:rsidRPr="00A1784E">
        <w:rPr>
          <w:b/>
          <w:bCs/>
          <w:sz w:val="24"/>
          <w:szCs w:val="24"/>
        </w:rPr>
        <w:br w:type="page"/>
      </w:r>
    </w:p>
    <w:p w14:paraId="3AA4E829" w14:textId="77777777" w:rsidR="00330069" w:rsidRDefault="00330069">
      <w:pPr>
        <w:rPr>
          <w:lang w:val="en-US"/>
        </w:rPr>
      </w:pPr>
    </w:p>
    <w:p w14:paraId="1E703031" w14:textId="77777777" w:rsidR="000053FA" w:rsidRDefault="000053FA">
      <w:pPr>
        <w:rPr>
          <w:b/>
          <w:bCs/>
          <w:sz w:val="24"/>
          <w:szCs w:val="24"/>
        </w:rPr>
      </w:pPr>
    </w:p>
    <w:p w14:paraId="155C1E39" w14:textId="77777777" w:rsidR="000053FA" w:rsidRDefault="000053FA">
      <w:pPr>
        <w:rPr>
          <w:b/>
          <w:bCs/>
          <w:sz w:val="28"/>
          <w:szCs w:val="28"/>
        </w:rPr>
      </w:pPr>
      <w:r>
        <w:rPr>
          <w:b/>
          <w:bCs/>
          <w:sz w:val="28"/>
          <w:szCs w:val="28"/>
        </w:rPr>
        <w:br w:type="page"/>
      </w:r>
    </w:p>
    <w:p w14:paraId="1C9AB5DA" w14:textId="16845627" w:rsidR="000053FA" w:rsidRPr="00972376" w:rsidRDefault="000053FA">
      <w:pPr>
        <w:rPr>
          <w:b/>
          <w:bCs/>
          <w:sz w:val="28"/>
          <w:szCs w:val="28"/>
        </w:rPr>
      </w:pPr>
    </w:p>
    <w:sectPr w:rsidR="000053FA" w:rsidRPr="009723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FDD1B" w14:textId="77777777" w:rsidR="000E38F6" w:rsidRDefault="000E38F6" w:rsidP="00493374">
      <w:pPr>
        <w:spacing w:after="0" w:line="240" w:lineRule="auto"/>
      </w:pPr>
      <w:r>
        <w:separator/>
      </w:r>
    </w:p>
  </w:endnote>
  <w:endnote w:type="continuationSeparator" w:id="0">
    <w:p w14:paraId="2BD440B8" w14:textId="77777777" w:rsidR="000E38F6" w:rsidRDefault="000E38F6" w:rsidP="00493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1EE9E" w14:textId="77777777" w:rsidR="000E38F6" w:rsidRDefault="000E38F6" w:rsidP="00493374">
      <w:pPr>
        <w:spacing w:after="0" w:line="240" w:lineRule="auto"/>
      </w:pPr>
      <w:r>
        <w:separator/>
      </w:r>
    </w:p>
  </w:footnote>
  <w:footnote w:type="continuationSeparator" w:id="0">
    <w:p w14:paraId="4B496FF6" w14:textId="77777777" w:rsidR="000E38F6" w:rsidRDefault="000E38F6" w:rsidP="004933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A62C5"/>
    <w:multiLevelType w:val="hybridMultilevel"/>
    <w:tmpl w:val="79E8527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148B4"/>
    <w:multiLevelType w:val="multilevel"/>
    <w:tmpl w:val="BCF0F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CB0C79"/>
    <w:multiLevelType w:val="hybridMultilevel"/>
    <w:tmpl w:val="3F3C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77B8D"/>
    <w:multiLevelType w:val="hybridMultilevel"/>
    <w:tmpl w:val="3B5CB898"/>
    <w:lvl w:ilvl="0" w:tplc="3B3E2224">
      <w:numFmt w:val="bullet"/>
      <w:lvlText w:val="•"/>
      <w:lvlJc w:val="left"/>
      <w:pPr>
        <w:ind w:left="1538" w:hanging="337"/>
      </w:pPr>
      <w:rPr>
        <w:rFonts w:ascii="Arial" w:eastAsia="Arial" w:hAnsi="Arial" w:cs="Arial" w:hint="default"/>
        <w:color w:val="030303"/>
        <w:w w:val="108"/>
        <w:sz w:val="19"/>
        <w:szCs w:val="19"/>
      </w:rPr>
    </w:lvl>
    <w:lvl w:ilvl="1" w:tplc="09A2CAEC">
      <w:numFmt w:val="bullet"/>
      <w:lvlText w:val="•"/>
      <w:lvlJc w:val="left"/>
      <w:pPr>
        <w:ind w:left="2488" w:hanging="337"/>
      </w:pPr>
      <w:rPr>
        <w:rFonts w:hint="default"/>
      </w:rPr>
    </w:lvl>
    <w:lvl w:ilvl="2" w:tplc="72E67FBE">
      <w:numFmt w:val="bullet"/>
      <w:lvlText w:val="•"/>
      <w:lvlJc w:val="left"/>
      <w:pPr>
        <w:ind w:left="3437" w:hanging="337"/>
      </w:pPr>
      <w:rPr>
        <w:rFonts w:hint="default"/>
      </w:rPr>
    </w:lvl>
    <w:lvl w:ilvl="3" w:tplc="2B5E31CE">
      <w:numFmt w:val="bullet"/>
      <w:lvlText w:val="•"/>
      <w:lvlJc w:val="left"/>
      <w:pPr>
        <w:ind w:left="4385" w:hanging="337"/>
      </w:pPr>
      <w:rPr>
        <w:rFonts w:hint="default"/>
      </w:rPr>
    </w:lvl>
    <w:lvl w:ilvl="4" w:tplc="FD425270">
      <w:numFmt w:val="bullet"/>
      <w:lvlText w:val="•"/>
      <w:lvlJc w:val="left"/>
      <w:pPr>
        <w:ind w:left="5334" w:hanging="337"/>
      </w:pPr>
      <w:rPr>
        <w:rFonts w:hint="default"/>
      </w:rPr>
    </w:lvl>
    <w:lvl w:ilvl="5" w:tplc="20C8DFE2">
      <w:numFmt w:val="bullet"/>
      <w:lvlText w:val="•"/>
      <w:lvlJc w:val="left"/>
      <w:pPr>
        <w:ind w:left="6283" w:hanging="337"/>
      </w:pPr>
      <w:rPr>
        <w:rFonts w:hint="default"/>
      </w:rPr>
    </w:lvl>
    <w:lvl w:ilvl="6" w:tplc="6B004C6A">
      <w:numFmt w:val="bullet"/>
      <w:lvlText w:val="•"/>
      <w:lvlJc w:val="left"/>
      <w:pPr>
        <w:ind w:left="7231" w:hanging="337"/>
      </w:pPr>
      <w:rPr>
        <w:rFonts w:hint="default"/>
      </w:rPr>
    </w:lvl>
    <w:lvl w:ilvl="7" w:tplc="F5485680">
      <w:numFmt w:val="bullet"/>
      <w:lvlText w:val="•"/>
      <w:lvlJc w:val="left"/>
      <w:pPr>
        <w:ind w:left="8180" w:hanging="337"/>
      </w:pPr>
      <w:rPr>
        <w:rFonts w:hint="default"/>
      </w:rPr>
    </w:lvl>
    <w:lvl w:ilvl="8" w:tplc="CB562DA4">
      <w:numFmt w:val="bullet"/>
      <w:lvlText w:val="•"/>
      <w:lvlJc w:val="left"/>
      <w:pPr>
        <w:ind w:left="9129" w:hanging="337"/>
      </w:pPr>
      <w:rPr>
        <w:rFonts w:hint="default"/>
      </w:rPr>
    </w:lvl>
  </w:abstractNum>
  <w:abstractNum w:abstractNumId="5"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53739A"/>
    <w:multiLevelType w:val="hybridMultilevel"/>
    <w:tmpl w:val="4560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A71F63"/>
    <w:multiLevelType w:val="multilevel"/>
    <w:tmpl w:val="C630A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C675F8"/>
    <w:multiLevelType w:val="hybridMultilevel"/>
    <w:tmpl w:val="FD48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1E4F22"/>
    <w:multiLevelType w:val="hybridMultilevel"/>
    <w:tmpl w:val="1FC6366E"/>
    <w:lvl w:ilvl="0" w:tplc="820448A8">
      <w:numFmt w:val="bullet"/>
      <w:lvlText w:val="•"/>
      <w:lvlJc w:val="left"/>
      <w:pPr>
        <w:ind w:left="1565" w:hanging="369"/>
      </w:pPr>
      <w:rPr>
        <w:rFonts w:ascii="Times New Roman" w:eastAsia="Times New Roman" w:hAnsi="Times New Roman" w:cs="Times New Roman" w:hint="default"/>
        <w:color w:val="030303"/>
        <w:w w:val="100"/>
        <w:sz w:val="20"/>
        <w:szCs w:val="20"/>
      </w:rPr>
    </w:lvl>
    <w:lvl w:ilvl="1" w:tplc="AC105BA4">
      <w:numFmt w:val="bullet"/>
      <w:lvlText w:val="•"/>
      <w:lvlJc w:val="left"/>
      <w:pPr>
        <w:ind w:left="2506" w:hanging="369"/>
      </w:pPr>
      <w:rPr>
        <w:rFonts w:hint="default"/>
      </w:rPr>
    </w:lvl>
    <w:lvl w:ilvl="2" w:tplc="26DAEEA6">
      <w:numFmt w:val="bullet"/>
      <w:lvlText w:val="•"/>
      <w:lvlJc w:val="left"/>
      <w:pPr>
        <w:ind w:left="3453" w:hanging="369"/>
      </w:pPr>
      <w:rPr>
        <w:rFonts w:hint="default"/>
      </w:rPr>
    </w:lvl>
    <w:lvl w:ilvl="3" w:tplc="0958B14E">
      <w:numFmt w:val="bullet"/>
      <w:lvlText w:val="•"/>
      <w:lvlJc w:val="left"/>
      <w:pPr>
        <w:ind w:left="4399" w:hanging="369"/>
      </w:pPr>
      <w:rPr>
        <w:rFonts w:hint="default"/>
      </w:rPr>
    </w:lvl>
    <w:lvl w:ilvl="4" w:tplc="75163FD6">
      <w:numFmt w:val="bullet"/>
      <w:lvlText w:val="•"/>
      <w:lvlJc w:val="left"/>
      <w:pPr>
        <w:ind w:left="5346" w:hanging="369"/>
      </w:pPr>
      <w:rPr>
        <w:rFonts w:hint="default"/>
      </w:rPr>
    </w:lvl>
    <w:lvl w:ilvl="5" w:tplc="445E5A64">
      <w:numFmt w:val="bullet"/>
      <w:lvlText w:val="•"/>
      <w:lvlJc w:val="left"/>
      <w:pPr>
        <w:ind w:left="6293" w:hanging="369"/>
      </w:pPr>
      <w:rPr>
        <w:rFonts w:hint="default"/>
      </w:rPr>
    </w:lvl>
    <w:lvl w:ilvl="6" w:tplc="3B6037C4">
      <w:numFmt w:val="bullet"/>
      <w:lvlText w:val="•"/>
      <w:lvlJc w:val="left"/>
      <w:pPr>
        <w:ind w:left="7239" w:hanging="369"/>
      </w:pPr>
      <w:rPr>
        <w:rFonts w:hint="default"/>
      </w:rPr>
    </w:lvl>
    <w:lvl w:ilvl="7" w:tplc="E1B0A8DC">
      <w:numFmt w:val="bullet"/>
      <w:lvlText w:val="•"/>
      <w:lvlJc w:val="left"/>
      <w:pPr>
        <w:ind w:left="8186" w:hanging="369"/>
      </w:pPr>
      <w:rPr>
        <w:rFonts w:hint="default"/>
      </w:rPr>
    </w:lvl>
    <w:lvl w:ilvl="8" w:tplc="784ED006">
      <w:numFmt w:val="bullet"/>
      <w:lvlText w:val="•"/>
      <w:lvlJc w:val="left"/>
      <w:pPr>
        <w:ind w:left="9133" w:hanging="369"/>
      </w:pPr>
      <w:rPr>
        <w:rFonts w:hint="default"/>
      </w:rPr>
    </w:lvl>
  </w:abstractNum>
  <w:abstractNum w:abstractNumId="10" w15:restartNumberingAfterBreak="0">
    <w:nsid w:val="490D3122"/>
    <w:multiLevelType w:val="hybridMultilevel"/>
    <w:tmpl w:val="3F0C044E"/>
    <w:lvl w:ilvl="0" w:tplc="8D66E718">
      <w:numFmt w:val="bullet"/>
      <w:lvlText w:val="•"/>
      <w:lvlJc w:val="left"/>
      <w:pPr>
        <w:ind w:left="1551" w:hanging="353"/>
      </w:pPr>
      <w:rPr>
        <w:rFonts w:ascii="Arial" w:eastAsia="Arial" w:hAnsi="Arial" w:cs="Arial" w:hint="default"/>
        <w:color w:val="030303"/>
        <w:w w:val="101"/>
        <w:sz w:val="18"/>
        <w:szCs w:val="18"/>
      </w:rPr>
    </w:lvl>
    <w:lvl w:ilvl="1" w:tplc="246A5E78">
      <w:numFmt w:val="bullet"/>
      <w:lvlText w:val="•"/>
      <w:lvlJc w:val="left"/>
      <w:pPr>
        <w:ind w:left="2506" w:hanging="353"/>
      </w:pPr>
      <w:rPr>
        <w:rFonts w:hint="default"/>
      </w:rPr>
    </w:lvl>
    <w:lvl w:ilvl="2" w:tplc="9BAC878A">
      <w:numFmt w:val="bullet"/>
      <w:lvlText w:val="•"/>
      <w:lvlJc w:val="left"/>
      <w:pPr>
        <w:ind w:left="3453" w:hanging="353"/>
      </w:pPr>
      <w:rPr>
        <w:rFonts w:hint="default"/>
      </w:rPr>
    </w:lvl>
    <w:lvl w:ilvl="3" w:tplc="3C40B39A">
      <w:numFmt w:val="bullet"/>
      <w:lvlText w:val="•"/>
      <w:lvlJc w:val="left"/>
      <w:pPr>
        <w:ind w:left="4399" w:hanging="353"/>
      </w:pPr>
      <w:rPr>
        <w:rFonts w:hint="default"/>
      </w:rPr>
    </w:lvl>
    <w:lvl w:ilvl="4" w:tplc="C6D68BAC">
      <w:numFmt w:val="bullet"/>
      <w:lvlText w:val="•"/>
      <w:lvlJc w:val="left"/>
      <w:pPr>
        <w:ind w:left="5346" w:hanging="353"/>
      </w:pPr>
      <w:rPr>
        <w:rFonts w:hint="default"/>
      </w:rPr>
    </w:lvl>
    <w:lvl w:ilvl="5" w:tplc="C66E0B0E">
      <w:numFmt w:val="bullet"/>
      <w:lvlText w:val="•"/>
      <w:lvlJc w:val="left"/>
      <w:pPr>
        <w:ind w:left="6293" w:hanging="353"/>
      </w:pPr>
      <w:rPr>
        <w:rFonts w:hint="default"/>
      </w:rPr>
    </w:lvl>
    <w:lvl w:ilvl="6" w:tplc="51B4EB56">
      <w:numFmt w:val="bullet"/>
      <w:lvlText w:val="•"/>
      <w:lvlJc w:val="left"/>
      <w:pPr>
        <w:ind w:left="7239" w:hanging="353"/>
      </w:pPr>
      <w:rPr>
        <w:rFonts w:hint="default"/>
      </w:rPr>
    </w:lvl>
    <w:lvl w:ilvl="7" w:tplc="FFD6634A">
      <w:numFmt w:val="bullet"/>
      <w:lvlText w:val="•"/>
      <w:lvlJc w:val="left"/>
      <w:pPr>
        <w:ind w:left="8186" w:hanging="353"/>
      </w:pPr>
      <w:rPr>
        <w:rFonts w:hint="default"/>
      </w:rPr>
    </w:lvl>
    <w:lvl w:ilvl="8" w:tplc="AAE6C634">
      <w:numFmt w:val="bullet"/>
      <w:lvlText w:val="•"/>
      <w:lvlJc w:val="left"/>
      <w:pPr>
        <w:ind w:left="9133" w:hanging="353"/>
      </w:pPr>
      <w:rPr>
        <w:rFonts w:hint="default"/>
      </w:rPr>
    </w:lvl>
  </w:abstractNum>
  <w:abstractNum w:abstractNumId="11" w15:restartNumberingAfterBreak="0">
    <w:nsid w:val="49561C33"/>
    <w:multiLevelType w:val="hybridMultilevel"/>
    <w:tmpl w:val="FBD00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085DBB"/>
    <w:multiLevelType w:val="multilevel"/>
    <w:tmpl w:val="1DAA5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5B679E"/>
    <w:multiLevelType w:val="multilevel"/>
    <w:tmpl w:val="E39A2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203ADD"/>
    <w:multiLevelType w:val="hybridMultilevel"/>
    <w:tmpl w:val="F5D80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334782">
    <w:abstractNumId w:val="4"/>
  </w:num>
  <w:num w:numId="2" w16cid:durableId="698119174">
    <w:abstractNumId w:val="9"/>
  </w:num>
  <w:num w:numId="3" w16cid:durableId="1225726050">
    <w:abstractNumId w:val="10"/>
  </w:num>
  <w:num w:numId="4" w16cid:durableId="1322537680">
    <w:abstractNumId w:val="8"/>
  </w:num>
  <w:num w:numId="5" w16cid:durableId="760294887">
    <w:abstractNumId w:val="3"/>
  </w:num>
  <w:num w:numId="6" w16cid:durableId="1033529984">
    <w:abstractNumId w:val="0"/>
  </w:num>
  <w:num w:numId="7" w16cid:durableId="252323844">
    <w:abstractNumId w:val="2"/>
  </w:num>
  <w:num w:numId="8" w16cid:durableId="2060742472">
    <w:abstractNumId w:val="5"/>
  </w:num>
  <w:num w:numId="9" w16cid:durableId="555892109">
    <w:abstractNumId w:val="14"/>
  </w:num>
  <w:num w:numId="10" w16cid:durableId="649789951">
    <w:abstractNumId w:val="6"/>
  </w:num>
  <w:num w:numId="11" w16cid:durableId="444882478">
    <w:abstractNumId w:val="11"/>
  </w:num>
  <w:num w:numId="12" w16cid:durableId="1591425327">
    <w:abstractNumId w:val="15"/>
  </w:num>
  <w:num w:numId="13" w16cid:durableId="1325816044">
    <w:abstractNumId w:val="1"/>
  </w:num>
  <w:num w:numId="14" w16cid:durableId="240143667">
    <w:abstractNumId w:val="7"/>
  </w:num>
  <w:num w:numId="15" w16cid:durableId="539629438">
    <w:abstractNumId w:val="13"/>
  </w:num>
  <w:num w:numId="16" w16cid:durableId="8272881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4AE"/>
    <w:rsid w:val="000053FA"/>
    <w:rsid w:val="00061091"/>
    <w:rsid w:val="00061BBC"/>
    <w:rsid w:val="00063ADC"/>
    <w:rsid w:val="000A2E17"/>
    <w:rsid w:val="000A40A0"/>
    <w:rsid w:val="000A470F"/>
    <w:rsid w:val="000A6B63"/>
    <w:rsid w:val="000C144A"/>
    <w:rsid w:val="000D38D7"/>
    <w:rsid w:val="000D5B34"/>
    <w:rsid w:val="000E38F6"/>
    <w:rsid w:val="0010406A"/>
    <w:rsid w:val="001054AE"/>
    <w:rsid w:val="00115538"/>
    <w:rsid w:val="001157CA"/>
    <w:rsid w:val="00116870"/>
    <w:rsid w:val="00136192"/>
    <w:rsid w:val="00141E0B"/>
    <w:rsid w:val="001471F7"/>
    <w:rsid w:val="00150C8D"/>
    <w:rsid w:val="001566EA"/>
    <w:rsid w:val="00181594"/>
    <w:rsid w:val="001819DF"/>
    <w:rsid w:val="001A008E"/>
    <w:rsid w:val="001B086C"/>
    <w:rsid w:val="001D7E6B"/>
    <w:rsid w:val="002076D2"/>
    <w:rsid w:val="00207DFC"/>
    <w:rsid w:val="00212026"/>
    <w:rsid w:val="002168D5"/>
    <w:rsid w:val="00262DC1"/>
    <w:rsid w:val="00264B23"/>
    <w:rsid w:val="00291EEC"/>
    <w:rsid w:val="002D65C7"/>
    <w:rsid w:val="00301906"/>
    <w:rsid w:val="00302BB1"/>
    <w:rsid w:val="003163F3"/>
    <w:rsid w:val="00330069"/>
    <w:rsid w:val="003341DF"/>
    <w:rsid w:val="00382546"/>
    <w:rsid w:val="003A709B"/>
    <w:rsid w:val="003B6023"/>
    <w:rsid w:val="003B7DA2"/>
    <w:rsid w:val="003D223A"/>
    <w:rsid w:val="003E2E65"/>
    <w:rsid w:val="004073C9"/>
    <w:rsid w:val="00417AB6"/>
    <w:rsid w:val="00460E23"/>
    <w:rsid w:val="00480755"/>
    <w:rsid w:val="00493374"/>
    <w:rsid w:val="004A16DE"/>
    <w:rsid w:val="004B6D74"/>
    <w:rsid w:val="004B75B2"/>
    <w:rsid w:val="004D474C"/>
    <w:rsid w:val="004E6C7E"/>
    <w:rsid w:val="004E738C"/>
    <w:rsid w:val="004F7250"/>
    <w:rsid w:val="00536CFB"/>
    <w:rsid w:val="00543F5E"/>
    <w:rsid w:val="00575643"/>
    <w:rsid w:val="00586ADE"/>
    <w:rsid w:val="005A24E1"/>
    <w:rsid w:val="005B783A"/>
    <w:rsid w:val="005C3EE3"/>
    <w:rsid w:val="005E43C3"/>
    <w:rsid w:val="005F42D0"/>
    <w:rsid w:val="005F7C42"/>
    <w:rsid w:val="006144B5"/>
    <w:rsid w:val="00617CC8"/>
    <w:rsid w:val="00620EA3"/>
    <w:rsid w:val="0062310A"/>
    <w:rsid w:val="006231EE"/>
    <w:rsid w:val="006270B2"/>
    <w:rsid w:val="006307AA"/>
    <w:rsid w:val="0067531D"/>
    <w:rsid w:val="00685E17"/>
    <w:rsid w:val="00693E09"/>
    <w:rsid w:val="006B52C3"/>
    <w:rsid w:val="006E6474"/>
    <w:rsid w:val="0070234F"/>
    <w:rsid w:val="00704D7D"/>
    <w:rsid w:val="00713F12"/>
    <w:rsid w:val="00725583"/>
    <w:rsid w:val="00725C0E"/>
    <w:rsid w:val="00734469"/>
    <w:rsid w:val="00743752"/>
    <w:rsid w:val="00763CAE"/>
    <w:rsid w:val="00790D6C"/>
    <w:rsid w:val="00793840"/>
    <w:rsid w:val="007950FF"/>
    <w:rsid w:val="007D3AE1"/>
    <w:rsid w:val="007E01E0"/>
    <w:rsid w:val="00803155"/>
    <w:rsid w:val="00807A24"/>
    <w:rsid w:val="0083519B"/>
    <w:rsid w:val="00840BEE"/>
    <w:rsid w:val="00842B25"/>
    <w:rsid w:val="00851EDB"/>
    <w:rsid w:val="008B3277"/>
    <w:rsid w:val="008F1086"/>
    <w:rsid w:val="008F36CC"/>
    <w:rsid w:val="009060A0"/>
    <w:rsid w:val="0091355A"/>
    <w:rsid w:val="00917008"/>
    <w:rsid w:val="00935B8D"/>
    <w:rsid w:val="009553A6"/>
    <w:rsid w:val="00972376"/>
    <w:rsid w:val="009903B9"/>
    <w:rsid w:val="009B164A"/>
    <w:rsid w:val="009B2861"/>
    <w:rsid w:val="009E5922"/>
    <w:rsid w:val="00A16C52"/>
    <w:rsid w:val="00A1784E"/>
    <w:rsid w:val="00A20444"/>
    <w:rsid w:val="00A23D6E"/>
    <w:rsid w:val="00A3059B"/>
    <w:rsid w:val="00A3067D"/>
    <w:rsid w:val="00A32330"/>
    <w:rsid w:val="00A413B2"/>
    <w:rsid w:val="00A43B0E"/>
    <w:rsid w:val="00A4706D"/>
    <w:rsid w:val="00A76A9A"/>
    <w:rsid w:val="00AA0067"/>
    <w:rsid w:val="00AD7313"/>
    <w:rsid w:val="00AE2AA9"/>
    <w:rsid w:val="00AE3307"/>
    <w:rsid w:val="00B01EF6"/>
    <w:rsid w:val="00B028A8"/>
    <w:rsid w:val="00B11DA1"/>
    <w:rsid w:val="00B13219"/>
    <w:rsid w:val="00B51B61"/>
    <w:rsid w:val="00B66E60"/>
    <w:rsid w:val="00B71C8D"/>
    <w:rsid w:val="00BA543F"/>
    <w:rsid w:val="00BE09DA"/>
    <w:rsid w:val="00BE3554"/>
    <w:rsid w:val="00C0572A"/>
    <w:rsid w:val="00C129B8"/>
    <w:rsid w:val="00C24461"/>
    <w:rsid w:val="00C34D73"/>
    <w:rsid w:val="00C358BF"/>
    <w:rsid w:val="00C368E7"/>
    <w:rsid w:val="00C4699D"/>
    <w:rsid w:val="00C52AE7"/>
    <w:rsid w:val="00C76C2C"/>
    <w:rsid w:val="00C77C54"/>
    <w:rsid w:val="00C87CB7"/>
    <w:rsid w:val="00CA1E32"/>
    <w:rsid w:val="00CB48C5"/>
    <w:rsid w:val="00CF32AC"/>
    <w:rsid w:val="00D061A4"/>
    <w:rsid w:val="00D22655"/>
    <w:rsid w:val="00D26517"/>
    <w:rsid w:val="00D73DF3"/>
    <w:rsid w:val="00D77172"/>
    <w:rsid w:val="00DB7566"/>
    <w:rsid w:val="00DC55F3"/>
    <w:rsid w:val="00DC7371"/>
    <w:rsid w:val="00DF7E40"/>
    <w:rsid w:val="00E27194"/>
    <w:rsid w:val="00E63E78"/>
    <w:rsid w:val="00E6747C"/>
    <w:rsid w:val="00E71F25"/>
    <w:rsid w:val="00E861CC"/>
    <w:rsid w:val="00EA0B9A"/>
    <w:rsid w:val="00EA15D1"/>
    <w:rsid w:val="00EA6220"/>
    <w:rsid w:val="00EC1771"/>
    <w:rsid w:val="00ED07EE"/>
    <w:rsid w:val="00EE31E5"/>
    <w:rsid w:val="00F03BB9"/>
    <w:rsid w:val="00F06292"/>
    <w:rsid w:val="00F77746"/>
    <w:rsid w:val="00F8089C"/>
    <w:rsid w:val="00F903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D1214"/>
  <w15:chartTrackingRefBased/>
  <w15:docId w15:val="{DB63D103-DE3D-4C15-844E-092164223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1"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5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255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6E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7">
    <w:name w:val="heading 7"/>
    <w:basedOn w:val="Normal"/>
    <w:link w:val="Heading7Char"/>
    <w:uiPriority w:val="1"/>
    <w:qFormat/>
    <w:rsid w:val="00330069"/>
    <w:pPr>
      <w:widowControl w:val="0"/>
      <w:autoSpaceDE w:val="0"/>
      <w:autoSpaceDN w:val="0"/>
      <w:spacing w:before="44" w:after="0" w:line="240" w:lineRule="auto"/>
      <w:ind w:left="1538" w:hanging="369"/>
      <w:outlineLvl w:val="6"/>
    </w:pPr>
    <w:rPr>
      <w:rFonts w:ascii="Times New Roman" w:eastAsia="Times New Roman" w:hAnsi="Times New Roman" w:cs="Times New Roman"/>
      <w:i/>
      <w:kern w:val="0"/>
      <w:sz w:val="20"/>
      <w:szCs w:val="2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054AE"/>
    <w:pPr>
      <w:widowControl w:val="0"/>
      <w:autoSpaceDE w:val="0"/>
      <w:autoSpaceDN w:val="0"/>
      <w:spacing w:after="0" w:line="240" w:lineRule="auto"/>
    </w:pPr>
    <w:rPr>
      <w:rFonts w:ascii="Arial" w:eastAsia="Arial" w:hAnsi="Arial" w:cs="Arial"/>
      <w:kern w:val="0"/>
      <w:sz w:val="19"/>
      <w:szCs w:val="19"/>
      <w:lang w:val="en-US" w:eastAsia="en-US"/>
      <w14:ligatures w14:val="none"/>
    </w:rPr>
  </w:style>
  <w:style w:type="character" w:customStyle="1" w:styleId="BodyTextChar">
    <w:name w:val="Body Text Char"/>
    <w:basedOn w:val="DefaultParagraphFont"/>
    <w:link w:val="BodyText"/>
    <w:uiPriority w:val="1"/>
    <w:rsid w:val="001054AE"/>
    <w:rPr>
      <w:rFonts w:ascii="Arial" w:eastAsia="Arial" w:hAnsi="Arial" w:cs="Arial"/>
      <w:kern w:val="0"/>
      <w:sz w:val="19"/>
      <w:szCs w:val="19"/>
      <w:lang w:val="en-US" w:eastAsia="en-US"/>
      <w14:ligatures w14:val="none"/>
    </w:rPr>
  </w:style>
  <w:style w:type="character" w:customStyle="1" w:styleId="Heading7Char">
    <w:name w:val="Heading 7 Char"/>
    <w:basedOn w:val="DefaultParagraphFont"/>
    <w:link w:val="Heading7"/>
    <w:uiPriority w:val="1"/>
    <w:rsid w:val="00330069"/>
    <w:rPr>
      <w:rFonts w:ascii="Times New Roman" w:eastAsia="Times New Roman" w:hAnsi="Times New Roman" w:cs="Times New Roman"/>
      <w:i/>
      <w:kern w:val="0"/>
      <w:sz w:val="20"/>
      <w:szCs w:val="20"/>
      <w:lang w:val="en-US" w:eastAsia="en-US"/>
      <w14:ligatures w14:val="none"/>
    </w:rPr>
  </w:style>
  <w:style w:type="paragraph" w:styleId="ListParagraph">
    <w:name w:val="List Paragraph"/>
    <w:basedOn w:val="Normal"/>
    <w:uiPriority w:val="99"/>
    <w:qFormat/>
    <w:rsid w:val="00330069"/>
    <w:pPr>
      <w:widowControl w:val="0"/>
      <w:autoSpaceDE w:val="0"/>
      <w:autoSpaceDN w:val="0"/>
      <w:spacing w:after="0" w:line="240" w:lineRule="auto"/>
      <w:ind w:left="1653" w:hanging="343"/>
    </w:pPr>
    <w:rPr>
      <w:rFonts w:ascii="Arial" w:eastAsia="Arial" w:hAnsi="Arial" w:cs="Arial"/>
      <w:kern w:val="0"/>
      <w:lang w:val="en-US" w:eastAsia="en-US"/>
      <w14:ligatures w14:val="none"/>
    </w:rPr>
  </w:style>
  <w:style w:type="table" w:styleId="TableGrid">
    <w:name w:val="Table Grid"/>
    <w:basedOn w:val="TableNormal"/>
    <w:rsid w:val="00713F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3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374"/>
  </w:style>
  <w:style w:type="paragraph" w:styleId="Footer">
    <w:name w:val="footer"/>
    <w:basedOn w:val="Normal"/>
    <w:link w:val="FooterChar"/>
    <w:uiPriority w:val="99"/>
    <w:unhideWhenUsed/>
    <w:rsid w:val="00493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374"/>
  </w:style>
  <w:style w:type="paragraph" w:styleId="NoSpacing">
    <w:name w:val="No Spacing"/>
    <w:uiPriority w:val="1"/>
    <w:qFormat/>
    <w:rsid w:val="00B71C8D"/>
    <w:pPr>
      <w:spacing w:after="0" w:line="240" w:lineRule="auto"/>
    </w:pPr>
  </w:style>
  <w:style w:type="character" w:customStyle="1" w:styleId="Heading1Char">
    <w:name w:val="Heading 1 Char"/>
    <w:basedOn w:val="DefaultParagraphFont"/>
    <w:link w:val="Heading1"/>
    <w:uiPriority w:val="9"/>
    <w:rsid w:val="007255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2558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255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25583"/>
    <w:rPr>
      <w:b/>
      <w:bCs/>
    </w:rPr>
  </w:style>
  <w:style w:type="character" w:customStyle="1" w:styleId="apple-converted-space">
    <w:name w:val="apple-converted-space"/>
    <w:basedOn w:val="DefaultParagraphFont"/>
    <w:rsid w:val="00116870"/>
  </w:style>
  <w:style w:type="character" w:styleId="Emphasis">
    <w:name w:val="Emphasis"/>
    <w:basedOn w:val="DefaultParagraphFont"/>
    <w:uiPriority w:val="20"/>
    <w:qFormat/>
    <w:rsid w:val="00116870"/>
    <w:rPr>
      <w:i/>
      <w:iCs/>
    </w:rPr>
  </w:style>
  <w:style w:type="character" w:customStyle="1" w:styleId="Heading3Char">
    <w:name w:val="Heading 3 Char"/>
    <w:basedOn w:val="DefaultParagraphFont"/>
    <w:link w:val="Heading3"/>
    <w:uiPriority w:val="9"/>
    <w:semiHidden/>
    <w:rsid w:val="00B66E6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10</Pages>
  <Words>1922</Words>
  <Characters>12071</Characters>
  <Application>Microsoft Office Word</Application>
  <DocSecurity>0</DocSecurity>
  <Lines>377</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Inam Alsalim (2502495)</cp:lastModifiedBy>
  <cp:revision>11</cp:revision>
  <dcterms:created xsi:type="dcterms:W3CDTF">2026-02-02T12:16:00Z</dcterms:created>
  <dcterms:modified xsi:type="dcterms:W3CDTF">2026-02-03T22:15:00Z</dcterms:modified>
</cp:coreProperties>
</file>