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F0760B" w14:textId="77777777" w:rsidR="00783B88" w:rsidRDefault="00000000">
      <w:pPr>
        <w:spacing w:before="1200"/>
        <w:jc w:val="center"/>
      </w:pPr>
      <w:r>
        <w:rPr>
          <w:b/>
          <w:bCs/>
          <w:sz w:val="32"/>
          <w:szCs w:val="32"/>
        </w:rPr>
        <w:t>Predicting and Understanding Customer Churn in Online Retail:</w:t>
      </w:r>
    </w:p>
    <w:p w14:paraId="79ED75CF" w14:textId="77777777" w:rsidR="00783B88" w:rsidRDefault="00000000">
      <w:pPr>
        <w:spacing w:after="400"/>
        <w:jc w:val="center"/>
      </w:pPr>
      <w:r>
        <w:rPr>
          <w:b/>
          <w:bCs/>
          <w:sz w:val="32"/>
          <w:szCs w:val="32"/>
        </w:rPr>
        <w:t>A Data Mining Analysis Using WEKA</w:t>
      </w:r>
    </w:p>
    <w:p w14:paraId="25CD8308" w14:textId="77777777" w:rsidR="00783B88" w:rsidRDefault="00000000">
      <w:pPr>
        <w:spacing w:after="100"/>
        <w:jc w:val="center"/>
      </w:pPr>
      <w:r>
        <w:rPr>
          <w:sz w:val="24"/>
          <w:szCs w:val="24"/>
        </w:rPr>
        <w:t>BSc Applied Computing – Data Mining (ACCA6026)</w:t>
      </w:r>
    </w:p>
    <w:p w14:paraId="5828950F" w14:textId="77777777" w:rsidR="00783B88" w:rsidRDefault="00000000">
      <w:pPr>
        <w:spacing w:after="100"/>
        <w:jc w:val="center"/>
      </w:pPr>
      <w:r>
        <w:rPr>
          <w:sz w:val="24"/>
          <w:szCs w:val="24"/>
        </w:rPr>
        <w:t>Assessment 2 – Individual Report</w:t>
      </w:r>
    </w:p>
    <w:p w14:paraId="5E10D7A5" w14:textId="77777777" w:rsidR="009D0B8F" w:rsidRDefault="00000000">
      <w:pPr>
        <w:spacing w:after="100"/>
        <w:jc w:val="center"/>
        <w:rPr>
          <w:sz w:val="24"/>
          <w:szCs w:val="24"/>
        </w:rPr>
      </w:pPr>
      <w:r>
        <w:rPr>
          <w:sz w:val="24"/>
          <w:szCs w:val="24"/>
        </w:rPr>
        <w:t>Mirela Gerasimova Balabanova-Kehayova</w:t>
      </w:r>
      <w:r w:rsidR="00AA71CC">
        <w:rPr>
          <w:sz w:val="24"/>
          <w:szCs w:val="24"/>
        </w:rPr>
        <w:t xml:space="preserve"> 2326292</w:t>
      </w:r>
    </w:p>
    <w:p w14:paraId="2C3BCFA8" w14:textId="7BFFF4AE" w:rsidR="009D0B8F" w:rsidRDefault="009D0B8F">
      <w:pPr>
        <w:spacing w:after="100"/>
        <w:jc w:val="center"/>
        <w:rPr>
          <w:sz w:val="24"/>
          <w:szCs w:val="24"/>
        </w:rPr>
      </w:pPr>
      <w:r>
        <w:rPr>
          <w:sz w:val="24"/>
          <w:szCs w:val="24"/>
        </w:rPr>
        <w:t>BSc Applied Computing Level 6</w:t>
      </w:r>
    </w:p>
    <w:p w14:paraId="7E9A5CD5" w14:textId="407161B1" w:rsidR="009A5DC7" w:rsidRDefault="009A5DC7">
      <w:pPr>
        <w:spacing w:after="100"/>
        <w:jc w:val="center"/>
        <w:rPr>
          <w:sz w:val="24"/>
          <w:szCs w:val="24"/>
        </w:rPr>
      </w:pPr>
      <w:r>
        <w:rPr>
          <w:sz w:val="24"/>
          <w:szCs w:val="24"/>
        </w:rPr>
        <w:t>University of Wales Trinity Saint David, London</w:t>
      </w:r>
    </w:p>
    <w:p w14:paraId="6DFED076" w14:textId="77777777" w:rsidR="009D0B8F" w:rsidRDefault="009D0B8F">
      <w:pPr>
        <w:spacing w:after="100"/>
        <w:jc w:val="center"/>
        <w:rPr>
          <w:sz w:val="24"/>
          <w:szCs w:val="24"/>
        </w:rPr>
      </w:pPr>
    </w:p>
    <w:p w14:paraId="2D4104C6" w14:textId="77777777" w:rsidR="009D0B8F" w:rsidRDefault="009D0B8F">
      <w:pPr>
        <w:spacing w:after="100"/>
        <w:jc w:val="center"/>
      </w:pPr>
    </w:p>
    <w:sdt>
      <w:sdtPr>
        <w:rPr>
          <w:rFonts w:ascii="Times New Roman" w:eastAsia="Times New Roman" w:hAnsi="Times New Roman" w:cs="Times New Roman"/>
          <w:color w:val="auto"/>
          <w:sz w:val="20"/>
          <w:szCs w:val="20"/>
          <w:lang w:val="en-GB" w:eastAsia="en-GB"/>
        </w:rPr>
        <w:id w:val="-1056698174"/>
        <w:docPartObj>
          <w:docPartGallery w:val="Table of Contents"/>
          <w:docPartUnique/>
        </w:docPartObj>
      </w:sdtPr>
      <w:sdtEndPr>
        <w:rPr>
          <w:b/>
          <w:bCs/>
          <w:noProof/>
        </w:rPr>
      </w:sdtEndPr>
      <w:sdtContent>
        <w:p w14:paraId="472DCA34" w14:textId="588FA127" w:rsidR="009D0B8F" w:rsidRDefault="009D0B8F">
          <w:pPr>
            <w:pStyle w:val="TOCHeading"/>
          </w:pPr>
          <w:r>
            <w:t>Contents</w:t>
          </w:r>
        </w:p>
        <w:p w14:paraId="7EBE8DC8" w14:textId="04C003EB" w:rsidR="009D0B8F" w:rsidRDefault="009D0B8F">
          <w:pPr>
            <w:pStyle w:val="TOC1"/>
            <w:tabs>
              <w:tab w:val="right" w:leader="dot" w:pos="9016"/>
            </w:tabs>
            <w:rPr>
              <w:rFonts w:asciiTheme="minorHAnsi" w:eastAsiaTheme="minorEastAsia" w:hAnsiTheme="minorHAnsi" w:cstheme="minorBidi"/>
              <w:noProof/>
              <w:kern w:val="2"/>
              <w:sz w:val="22"/>
              <w:szCs w:val="22"/>
              <w14:ligatures w14:val="standardContextual"/>
            </w:rPr>
          </w:pPr>
          <w:r>
            <w:fldChar w:fldCharType="begin"/>
          </w:r>
          <w:r>
            <w:instrText xml:space="preserve"> TOC \o "1-3" \h \z \u </w:instrText>
          </w:r>
          <w:r>
            <w:fldChar w:fldCharType="separate"/>
          </w:r>
          <w:hyperlink w:anchor="_Toc235979972" w:history="1">
            <w:r w:rsidRPr="00C473FF">
              <w:rPr>
                <w:rStyle w:val="Hyperlink"/>
                <w:b/>
                <w:bCs/>
                <w:noProof/>
              </w:rPr>
              <w:t>1.1  Purpose and Practice of Data Mining</w:t>
            </w:r>
            <w:r>
              <w:rPr>
                <w:noProof/>
                <w:webHidden/>
              </w:rPr>
              <w:tab/>
            </w:r>
            <w:r>
              <w:rPr>
                <w:noProof/>
                <w:webHidden/>
              </w:rPr>
              <w:fldChar w:fldCharType="begin"/>
            </w:r>
            <w:r>
              <w:rPr>
                <w:noProof/>
                <w:webHidden/>
              </w:rPr>
              <w:instrText xml:space="preserve"> PAGEREF _Toc235979972 \h </w:instrText>
            </w:r>
            <w:r>
              <w:rPr>
                <w:noProof/>
                <w:webHidden/>
              </w:rPr>
            </w:r>
            <w:r>
              <w:rPr>
                <w:noProof/>
                <w:webHidden/>
              </w:rPr>
              <w:fldChar w:fldCharType="separate"/>
            </w:r>
            <w:r>
              <w:rPr>
                <w:noProof/>
                <w:webHidden/>
              </w:rPr>
              <w:t>2</w:t>
            </w:r>
            <w:r>
              <w:rPr>
                <w:noProof/>
                <w:webHidden/>
              </w:rPr>
              <w:fldChar w:fldCharType="end"/>
            </w:r>
          </w:hyperlink>
        </w:p>
        <w:p w14:paraId="6F5239F3" w14:textId="016CF420" w:rsidR="009D0B8F" w:rsidRDefault="00000000">
          <w:pPr>
            <w:pStyle w:val="TOC1"/>
            <w:tabs>
              <w:tab w:val="right" w:leader="dot" w:pos="9016"/>
            </w:tabs>
            <w:rPr>
              <w:rFonts w:asciiTheme="minorHAnsi" w:eastAsiaTheme="minorEastAsia" w:hAnsiTheme="minorHAnsi" w:cstheme="minorBidi"/>
              <w:noProof/>
              <w:kern w:val="2"/>
              <w:sz w:val="22"/>
              <w:szCs w:val="22"/>
              <w14:ligatures w14:val="standardContextual"/>
            </w:rPr>
          </w:pPr>
          <w:hyperlink w:anchor="_Toc235979973" w:history="1">
            <w:r w:rsidR="009D0B8F" w:rsidRPr="00C473FF">
              <w:rPr>
                <w:rStyle w:val="Hyperlink"/>
                <w:b/>
                <w:bCs/>
                <w:noProof/>
              </w:rPr>
              <w:t>1.2  Dataset Description and Exploration</w:t>
            </w:r>
            <w:r w:rsidR="009D0B8F">
              <w:rPr>
                <w:noProof/>
                <w:webHidden/>
              </w:rPr>
              <w:tab/>
            </w:r>
            <w:r w:rsidR="009D0B8F">
              <w:rPr>
                <w:noProof/>
                <w:webHidden/>
              </w:rPr>
              <w:fldChar w:fldCharType="begin"/>
            </w:r>
            <w:r w:rsidR="009D0B8F">
              <w:rPr>
                <w:noProof/>
                <w:webHidden/>
              </w:rPr>
              <w:instrText xml:space="preserve"> PAGEREF _Toc235979973 \h </w:instrText>
            </w:r>
            <w:r w:rsidR="009D0B8F">
              <w:rPr>
                <w:noProof/>
                <w:webHidden/>
              </w:rPr>
            </w:r>
            <w:r w:rsidR="009D0B8F">
              <w:rPr>
                <w:noProof/>
                <w:webHidden/>
              </w:rPr>
              <w:fldChar w:fldCharType="separate"/>
            </w:r>
            <w:r w:rsidR="009D0B8F">
              <w:rPr>
                <w:noProof/>
                <w:webHidden/>
              </w:rPr>
              <w:t>2</w:t>
            </w:r>
            <w:r w:rsidR="009D0B8F">
              <w:rPr>
                <w:noProof/>
                <w:webHidden/>
              </w:rPr>
              <w:fldChar w:fldCharType="end"/>
            </w:r>
          </w:hyperlink>
        </w:p>
        <w:p w14:paraId="408608B4" w14:textId="038A8717" w:rsidR="009D0B8F" w:rsidRDefault="00000000">
          <w:pPr>
            <w:pStyle w:val="TOC1"/>
            <w:tabs>
              <w:tab w:val="right" w:leader="dot" w:pos="9016"/>
            </w:tabs>
            <w:rPr>
              <w:rFonts w:asciiTheme="minorHAnsi" w:eastAsiaTheme="minorEastAsia" w:hAnsiTheme="minorHAnsi" w:cstheme="minorBidi"/>
              <w:noProof/>
              <w:kern w:val="2"/>
              <w:sz w:val="22"/>
              <w:szCs w:val="22"/>
              <w14:ligatures w14:val="standardContextual"/>
            </w:rPr>
          </w:pPr>
          <w:hyperlink w:anchor="_Toc235979974" w:history="1">
            <w:r w:rsidR="009D0B8F" w:rsidRPr="00C473FF">
              <w:rPr>
                <w:rStyle w:val="Hyperlink"/>
                <w:b/>
                <w:bCs/>
                <w:noProof/>
              </w:rPr>
              <w:t>1.3  Data Pre-processing and Post-processing</w:t>
            </w:r>
            <w:r w:rsidR="009D0B8F">
              <w:rPr>
                <w:noProof/>
                <w:webHidden/>
              </w:rPr>
              <w:tab/>
            </w:r>
            <w:r w:rsidR="009D0B8F">
              <w:rPr>
                <w:noProof/>
                <w:webHidden/>
              </w:rPr>
              <w:fldChar w:fldCharType="begin"/>
            </w:r>
            <w:r w:rsidR="009D0B8F">
              <w:rPr>
                <w:noProof/>
                <w:webHidden/>
              </w:rPr>
              <w:instrText xml:space="preserve"> PAGEREF _Toc235979974 \h </w:instrText>
            </w:r>
            <w:r w:rsidR="009D0B8F">
              <w:rPr>
                <w:noProof/>
                <w:webHidden/>
              </w:rPr>
            </w:r>
            <w:r w:rsidR="009D0B8F">
              <w:rPr>
                <w:noProof/>
                <w:webHidden/>
              </w:rPr>
              <w:fldChar w:fldCharType="separate"/>
            </w:r>
            <w:r w:rsidR="009D0B8F">
              <w:rPr>
                <w:noProof/>
                <w:webHidden/>
              </w:rPr>
              <w:t>4</w:t>
            </w:r>
            <w:r w:rsidR="009D0B8F">
              <w:rPr>
                <w:noProof/>
                <w:webHidden/>
              </w:rPr>
              <w:fldChar w:fldCharType="end"/>
            </w:r>
          </w:hyperlink>
        </w:p>
        <w:p w14:paraId="7108AABE" w14:textId="1D90E07E" w:rsidR="009D0B8F" w:rsidRDefault="00000000">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235979975" w:history="1">
            <w:r w:rsidR="009D0B8F" w:rsidRPr="00C473FF">
              <w:rPr>
                <w:rStyle w:val="Hyperlink"/>
                <w:b/>
                <w:bCs/>
                <w:noProof/>
              </w:rPr>
              <w:t>Removing non-predictive identifiers</w:t>
            </w:r>
            <w:r w:rsidR="009D0B8F">
              <w:rPr>
                <w:noProof/>
                <w:webHidden/>
              </w:rPr>
              <w:tab/>
            </w:r>
            <w:r w:rsidR="009D0B8F">
              <w:rPr>
                <w:noProof/>
                <w:webHidden/>
              </w:rPr>
              <w:fldChar w:fldCharType="begin"/>
            </w:r>
            <w:r w:rsidR="009D0B8F">
              <w:rPr>
                <w:noProof/>
                <w:webHidden/>
              </w:rPr>
              <w:instrText xml:space="preserve"> PAGEREF _Toc235979975 \h </w:instrText>
            </w:r>
            <w:r w:rsidR="009D0B8F">
              <w:rPr>
                <w:noProof/>
                <w:webHidden/>
              </w:rPr>
            </w:r>
            <w:r w:rsidR="009D0B8F">
              <w:rPr>
                <w:noProof/>
                <w:webHidden/>
              </w:rPr>
              <w:fldChar w:fldCharType="separate"/>
            </w:r>
            <w:r w:rsidR="009D0B8F">
              <w:rPr>
                <w:noProof/>
                <w:webHidden/>
              </w:rPr>
              <w:t>4</w:t>
            </w:r>
            <w:r w:rsidR="009D0B8F">
              <w:rPr>
                <w:noProof/>
                <w:webHidden/>
              </w:rPr>
              <w:fldChar w:fldCharType="end"/>
            </w:r>
          </w:hyperlink>
        </w:p>
        <w:p w14:paraId="748B348E" w14:textId="7BAF9766" w:rsidR="009D0B8F" w:rsidRDefault="00000000">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235979976" w:history="1">
            <w:r w:rsidR="009D0B8F" w:rsidRPr="00C473FF">
              <w:rPr>
                <w:rStyle w:val="Hyperlink"/>
                <w:b/>
                <w:bCs/>
                <w:noProof/>
              </w:rPr>
              <w:t>Handling missing values</w:t>
            </w:r>
            <w:r w:rsidR="009D0B8F">
              <w:rPr>
                <w:noProof/>
                <w:webHidden/>
              </w:rPr>
              <w:tab/>
            </w:r>
            <w:r w:rsidR="009D0B8F">
              <w:rPr>
                <w:noProof/>
                <w:webHidden/>
              </w:rPr>
              <w:fldChar w:fldCharType="begin"/>
            </w:r>
            <w:r w:rsidR="009D0B8F">
              <w:rPr>
                <w:noProof/>
                <w:webHidden/>
              </w:rPr>
              <w:instrText xml:space="preserve"> PAGEREF _Toc235979976 \h </w:instrText>
            </w:r>
            <w:r w:rsidR="009D0B8F">
              <w:rPr>
                <w:noProof/>
                <w:webHidden/>
              </w:rPr>
            </w:r>
            <w:r w:rsidR="009D0B8F">
              <w:rPr>
                <w:noProof/>
                <w:webHidden/>
              </w:rPr>
              <w:fldChar w:fldCharType="separate"/>
            </w:r>
            <w:r w:rsidR="009D0B8F">
              <w:rPr>
                <w:noProof/>
                <w:webHidden/>
              </w:rPr>
              <w:t>5</w:t>
            </w:r>
            <w:r w:rsidR="009D0B8F">
              <w:rPr>
                <w:noProof/>
                <w:webHidden/>
              </w:rPr>
              <w:fldChar w:fldCharType="end"/>
            </w:r>
          </w:hyperlink>
        </w:p>
        <w:p w14:paraId="1B6C1D68" w14:textId="2AA9259E" w:rsidR="009D0B8F" w:rsidRDefault="00000000">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235979977" w:history="1">
            <w:r w:rsidR="009D0B8F" w:rsidRPr="00C473FF">
              <w:rPr>
                <w:rStyle w:val="Hyperlink"/>
                <w:b/>
                <w:bCs/>
                <w:noProof/>
              </w:rPr>
              <w:t>Encoding categorical variables</w:t>
            </w:r>
            <w:r w:rsidR="009D0B8F">
              <w:rPr>
                <w:noProof/>
                <w:webHidden/>
              </w:rPr>
              <w:tab/>
            </w:r>
            <w:r w:rsidR="009D0B8F">
              <w:rPr>
                <w:noProof/>
                <w:webHidden/>
              </w:rPr>
              <w:fldChar w:fldCharType="begin"/>
            </w:r>
            <w:r w:rsidR="009D0B8F">
              <w:rPr>
                <w:noProof/>
                <w:webHidden/>
              </w:rPr>
              <w:instrText xml:space="preserve"> PAGEREF _Toc235979977 \h </w:instrText>
            </w:r>
            <w:r w:rsidR="009D0B8F">
              <w:rPr>
                <w:noProof/>
                <w:webHidden/>
              </w:rPr>
            </w:r>
            <w:r w:rsidR="009D0B8F">
              <w:rPr>
                <w:noProof/>
                <w:webHidden/>
              </w:rPr>
              <w:fldChar w:fldCharType="separate"/>
            </w:r>
            <w:r w:rsidR="009D0B8F">
              <w:rPr>
                <w:noProof/>
                <w:webHidden/>
              </w:rPr>
              <w:t>5</w:t>
            </w:r>
            <w:r w:rsidR="009D0B8F">
              <w:rPr>
                <w:noProof/>
                <w:webHidden/>
              </w:rPr>
              <w:fldChar w:fldCharType="end"/>
            </w:r>
          </w:hyperlink>
        </w:p>
        <w:p w14:paraId="1DB0CEF6" w14:textId="30389C0C" w:rsidR="009D0B8F" w:rsidRDefault="00000000">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235979978" w:history="1">
            <w:r w:rsidR="009D0B8F" w:rsidRPr="00C473FF">
              <w:rPr>
                <w:rStyle w:val="Hyperlink"/>
                <w:b/>
                <w:bCs/>
                <w:noProof/>
              </w:rPr>
              <w:t>Balancing the dataset</w:t>
            </w:r>
            <w:r w:rsidR="009D0B8F">
              <w:rPr>
                <w:noProof/>
                <w:webHidden/>
              </w:rPr>
              <w:tab/>
            </w:r>
            <w:r w:rsidR="009D0B8F">
              <w:rPr>
                <w:noProof/>
                <w:webHidden/>
              </w:rPr>
              <w:fldChar w:fldCharType="begin"/>
            </w:r>
            <w:r w:rsidR="009D0B8F">
              <w:rPr>
                <w:noProof/>
                <w:webHidden/>
              </w:rPr>
              <w:instrText xml:space="preserve"> PAGEREF _Toc235979978 \h </w:instrText>
            </w:r>
            <w:r w:rsidR="009D0B8F">
              <w:rPr>
                <w:noProof/>
                <w:webHidden/>
              </w:rPr>
            </w:r>
            <w:r w:rsidR="009D0B8F">
              <w:rPr>
                <w:noProof/>
                <w:webHidden/>
              </w:rPr>
              <w:fldChar w:fldCharType="separate"/>
            </w:r>
            <w:r w:rsidR="009D0B8F">
              <w:rPr>
                <w:noProof/>
                <w:webHidden/>
              </w:rPr>
              <w:t>5</w:t>
            </w:r>
            <w:r w:rsidR="009D0B8F">
              <w:rPr>
                <w:noProof/>
                <w:webHidden/>
              </w:rPr>
              <w:fldChar w:fldCharType="end"/>
            </w:r>
          </w:hyperlink>
        </w:p>
        <w:p w14:paraId="23008557" w14:textId="75FC0045" w:rsidR="009D0B8F" w:rsidRDefault="00000000">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235979979" w:history="1">
            <w:r w:rsidR="009D0B8F" w:rsidRPr="00C473FF">
              <w:rPr>
                <w:rStyle w:val="Hyperlink"/>
                <w:b/>
                <w:bCs/>
                <w:noProof/>
              </w:rPr>
              <w:t>Feature selection and post-processing</w:t>
            </w:r>
            <w:r w:rsidR="009D0B8F">
              <w:rPr>
                <w:noProof/>
                <w:webHidden/>
              </w:rPr>
              <w:tab/>
            </w:r>
            <w:r w:rsidR="009D0B8F">
              <w:rPr>
                <w:noProof/>
                <w:webHidden/>
              </w:rPr>
              <w:fldChar w:fldCharType="begin"/>
            </w:r>
            <w:r w:rsidR="009D0B8F">
              <w:rPr>
                <w:noProof/>
                <w:webHidden/>
              </w:rPr>
              <w:instrText xml:space="preserve"> PAGEREF _Toc235979979 \h </w:instrText>
            </w:r>
            <w:r w:rsidR="009D0B8F">
              <w:rPr>
                <w:noProof/>
                <w:webHidden/>
              </w:rPr>
            </w:r>
            <w:r w:rsidR="009D0B8F">
              <w:rPr>
                <w:noProof/>
                <w:webHidden/>
              </w:rPr>
              <w:fldChar w:fldCharType="separate"/>
            </w:r>
            <w:r w:rsidR="009D0B8F">
              <w:rPr>
                <w:noProof/>
                <w:webHidden/>
              </w:rPr>
              <w:t>5</w:t>
            </w:r>
            <w:r w:rsidR="009D0B8F">
              <w:rPr>
                <w:noProof/>
                <w:webHidden/>
              </w:rPr>
              <w:fldChar w:fldCharType="end"/>
            </w:r>
          </w:hyperlink>
        </w:p>
        <w:p w14:paraId="66082981" w14:textId="60C9D9A9" w:rsidR="009D0B8F" w:rsidRDefault="00000000">
          <w:pPr>
            <w:pStyle w:val="TOC1"/>
            <w:tabs>
              <w:tab w:val="right" w:leader="dot" w:pos="9016"/>
            </w:tabs>
            <w:rPr>
              <w:rFonts w:asciiTheme="minorHAnsi" w:eastAsiaTheme="minorEastAsia" w:hAnsiTheme="minorHAnsi" w:cstheme="minorBidi"/>
              <w:noProof/>
              <w:kern w:val="2"/>
              <w:sz w:val="22"/>
              <w:szCs w:val="22"/>
              <w14:ligatures w14:val="standardContextual"/>
            </w:rPr>
          </w:pPr>
          <w:hyperlink w:anchor="_Toc235979980" w:history="1">
            <w:r w:rsidR="009D0B8F" w:rsidRPr="00C473FF">
              <w:rPr>
                <w:rStyle w:val="Hyperlink"/>
                <w:b/>
                <w:bCs/>
                <w:noProof/>
              </w:rPr>
              <w:t>1.4  Sample Runs and Analysis Methods</w:t>
            </w:r>
            <w:r w:rsidR="009D0B8F">
              <w:rPr>
                <w:noProof/>
                <w:webHidden/>
              </w:rPr>
              <w:tab/>
            </w:r>
            <w:r w:rsidR="009D0B8F">
              <w:rPr>
                <w:noProof/>
                <w:webHidden/>
              </w:rPr>
              <w:fldChar w:fldCharType="begin"/>
            </w:r>
            <w:r w:rsidR="009D0B8F">
              <w:rPr>
                <w:noProof/>
                <w:webHidden/>
              </w:rPr>
              <w:instrText xml:space="preserve"> PAGEREF _Toc235979980 \h </w:instrText>
            </w:r>
            <w:r w:rsidR="009D0B8F">
              <w:rPr>
                <w:noProof/>
                <w:webHidden/>
              </w:rPr>
            </w:r>
            <w:r w:rsidR="009D0B8F">
              <w:rPr>
                <w:noProof/>
                <w:webHidden/>
              </w:rPr>
              <w:fldChar w:fldCharType="separate"/>
            </w:r>
            <w:r w:rsidR="009D0B8F">
              <w:rPr>
                <w:noProof/>
                <w:webHidden/>
              </w:rPr>
              <w:t>5</w:t>
            </w:r>
            <w:r w:rsidR="009D0B8F">
              <w:rPr>
                <w:noProof/>
                <w:webHidden/>
              </w:rPr>
              <w:fldChar w:fldCharType="end"/>
            </w:r>
          </w:hyperlink>
        </w:p>
        <w:p w14:paraId="622D1DF7" w14:textId="651AE6B6" w:rsidR="009D0B8F" w:rsidRDefault="00000000">
          <w:pPr>
            <w:pStyle w:val="TOC1"/>
            <w:tabs>
              <w:tab w:val="right" w:leader="dot" w:pos="9016"/>
            </w:tabs>
            <w:rPr>
              <w:rFonts w:asciiTheme="minorHAnsi" w:eastAsiaTheme="minorEastAsia" w:hAnsiTheme="minorHAnsi" w:cstheme="minorBidi"/>
              <w:noProof/>
              <w:kern w:val="2"/>
              <w:sz w:val="22"/>
              <w:szCs w:val="22"/>
              <w14:ligatures w14:val="standardContextual"/>
            </w:rPr>
          </w:pPr>
          <w:hyperlink w:anchor="_Toc235979981" w:history="1">
            <w:r w:rsidR="009D0B8F" w:rsidRPr="00C473FF">
              <w:rPr>
                <w:rStyle w:val="Hyperlink"/>
                <w:b/>
                <w:bCs/>
                <w:noProof/>
              </w:rPr>
              <w:t>1.5  Business Recommendations</w:t>
            </w:r>
            <w:r w:rsidR="009D0B8F">
              <w:rPr>
                <w:noProof/>
                <w:webHidden/>
              </w:rPr>
              <w:tab/>
            </w:r>
            <w:r w:rsidR="009D0B8F">
              <w:rPr>
                <w:noProof/>
                <w:webHidden/>
              </w:rPr>
              <w:fldChar w:fldCharType="begin"/>
            </w:r>
            <w:r w:rsidR="009D0B8F">
              <w:rPr>
                <w:noProof/>
                <w:webHidden/>
              </w:rPr>
              <w:instrText xml:space="preserve"> PAGEREF _Toc235979981 \h </w:instrText>
            </w:r>
            <w:r w:rsidR="009D0B8F">
              <w:rPr>
                <w:noProof/>
                <w:webHidden/>
              </w:rPr>
            </w:r>
            <w:r w:rsidR="009D0B8F">
              <w:rPr>
                <w:noProof/>
                <w:webHidden/>
              </w:rPr>
              <w:fldChar w:fldCharType="separate"/>
            </w:r>
            <w:r w:rsidR="009D0B8F">
              <w:rPr>
                <w:noProof/>
                <w:webHidden/>
              </w:rPr>
              <w:t>8</w:t>
            </w:r>
            <w:r w:rsidR="009D0B8F">
              <w:rPr>
                <w:noProof/>
                <w:webHidden/>
              </w:rPr>
              <w:fldChar w:fldCharType="end"/>
            </w:r>
          </w:hyperlink>
        </w:p>
        <w:p w14:paraId="77E38057" w14:textId="16F8D5CC" w:rsidR="009D0B8F" w:rsidRDefault="00000000">
          <w:pPr>
            <w:pStyle w:val="TOC1"/>
            <w:tabs>
              <w:tab w:val="right" w:leader="dot" w:pos="9016"/>
            </w:tabs>
            <w:rPr>
              <w:rFonts w:asciiTheme="minorHAnsi" w:eastAsiaTheme="minorEastAsia" w:hAnsiTheme="minorHAnsi" w:cstheme="minorBidi"/>
              <w:noProof/>
              <w:kern w:val="2"/>
              <w:sz w:val="22"/>
              <w:szCs w:val="22"/>
              <w14:ligatures w14:val="standardContextual"/>
            </w:rPr>
          </w:pPr>
          <w:hyperlink w:anchor="_Toc235979982" w:history="1">
            <w:r w:rsidR="009D0B8F" w:rsidRPr="00C473FF">
              <w:rPr>
                <w:rStyle w:val="Hyperlink"/>
                <w:b/>
                <w:bCs/>
                <w:noProof/>
              </w:rPr>
              <w:t>1.6  Reflective Commentary</w:t>
            </w:r>
            <w:r w:rsidR="009D0B8F">
              <w:rPr>
                <w:noProof/>
                <w:webHidden/>
              </w:rPr>
              <w:tab/>
            </w:r>
            <w:r w:rsidR="009D0B8F">
              <w:rPr>
                <w:noProof/>
                <w:webHidden/>
              </w:rPr>
              <w:fldChar w:fldCharType="begin"/>
            </w:r>
            <w:r w:rsidR="009D0B8F">
              <w:rPr>
                <w:noProof/>
                <w:webHidden/>
              </w:rPr>
              <w:instrText xml:space="preserve"> PAGEREF _Toc235979982 \h </w:instrText>
            </w:r>
            <w:r w:rsidR="009D0B8F">
              <w:rPr>
                <w:noProof/>
                <w:webHidden/>
              </w:rPr>
            </w:r>
            <w:r w:rsidR="009D0B8F">
              <w:rPr>
                <w:noProof/>
                <w:webHidden/>
              </w:rPr>
              <w:fldChar w:fldCharType="separate"/>
            </w:r>
            <w:r w:rsidR="009D0B8F">
              <w:rPr>
                <w:noProof/>
                <w:webHidden/>
              </w:rPr>
              <w:t>9</w:t>
            </w:r>
            <w:r w:rsidR="009D0B8F">
              <w:rPr>
                <w:noProof/>
                <w:webHidden/>
              </w:rPr>
              <w:fldChar w:fldCharType="end"/>
            </w:r>
          </w:hyperlink>
        </w:p>
        <w:p w14:paraId="6DBF9438" w14:textId="1B438657" w:rsidR="009D0B8F" w:rsidRDefault="00000000">
          <w:pPr>
            <w:pStyle w:val="TOC1"/>
            <w:tabs>
              <w:tab w:val="right" w:leader="dot" w:pos="9016"/>
            </w:tabs>
            <w:rPr>
              <w:rFonts w:asciiTheme="minorHAnsi" w:eastAsiaTheme="minorEastAsia" w:hAnsiTheme="minorHAnsi" w:cstheme="minorBidi"/>
              <w:noProof/>
              <w:kern w:val="2"/>
              <w:sz w:val="22"/>
              <w:szCs w:val="22"/>
              <w14:ligatures w14:val="standardContextual"/>
            </w:rPr>
          </w:pPr>
          <w:hyperlink w:anchor="_Toc235979983" w:history="1">
            <w:r w:rsidR="009D0B8F" w:rsidRPr="00C473FF">
              <w:rPr>
                <w:rStyle w:val="Hyperlink"/>
                <w:b/>
                <w:bCs/>
                <w:noProof/>
              </w:rPr>
              <w:t>Appendix A — Supplementary Figures</w:t>
            </w:r>
            <w:r w:rsidR="009D0B8F">
              <w:rPr>
                <w:noProof/>
                <w:webHidden/>
              </w:rPr>
              <w:tab/>
            </w:r>
            <w:r w:rsidR="009D0B8F">
              <w:rPr>
                <w:noProof/>
                <w:webHidden/>
              </w:rPr>
              <w:fldChar w:fldCharType="begin"/>
            </w:r>
            <w:r w:rsidR="009D0B8F">
              <w:rPr>
                <w:noProof/>
                <w:webHidden/>
              </w:rPr>
              <w:instrText xml:space="preserve"> PAGEREF _Toc235979983 \h </w:instrText>
            </w:r>
            <w:r w:rsidR="009D0B8F">
              <w:rPr>
                <w:noProof/>
                <w:webHidden/>
              </w:rPr>
            </w:r>
            <w:r w:rsidR="009D0B8F">
              <w:rPr>
                <w:noProof/>
                <w:webHidden/>
              </w:rPr>
              <w:fldChar w:fldCharType="separate"/>
            </w:r>
            <w:r w:rsidR="009D0B8F">
              <w:rPr>
                <w:noProof/>
                <w:webHidden/>
              </w:rPr>
              <w:t>10</w:t>
            </w:r>
            <w:r w:rsidR="009D0B8F">
              <w:rPr>
                <w:noProof/>
                <w:webHidden/>
              </w:rPr>
              <w:fldChar w:fldCharType="end"/>
            </w:r>
          </w:hyperlink>
        </w:p>
        <w:p w14:paraId="69A62A0B" w14:textId="403232C3" w:rsidR="009D0B8F" w:rsidRDefault="00000000">
          <w:pPr>
            <w:pStyle w:val="TOC1"/>
            <w:tabs>
              <w:tab w:val="right" w:leader="dot" w:pos="9016"/>
            </w:tabs>
            <w:rPr>
              <w:rFonts w:asciiTheme="minorHAnsi" w:eastAsiaTheme="minorEastAsia" w:hAnsiTheme="minorHAnsi" w:cstheme="minorBidi"/>
              <w:noProof/>
              <w:kern w:val="2"/>
              <w:sz w:val="22"/>
              <w:szCs w:val="22"/>
              <w14:ligatures w14:val="standardContextual"/>
            </w:rPr>
          </w:pPr>
          <w:hyperlink w:anchor="_Toc235979984" w:history="1">
            <w:r w:rsidR="009D0B8F" w:rsidRPr="00C473FF">
              <w:rPr>
                <w:rStyle w:val="Hyperlink"/>
                <w:b/>
                <w:bCs/>
                <w:noProof/>
              </w:rPr>
              <w:t>References</w:t>
            </w:r>
            <w:r w:rsidR="009D0B8F">
              <w:rPr>
                <w:noProof/>
                <w:webHidden/>
              </w:rPr>
              <w:tab/>
            </w:r>
            <w:r w:rsidR="009D0B8F">
              <w:rPr>
                <w:noProof/>
                <w:webHidden/>
              </w:rPr>
              <w:fldChar w:fldCharType="begin"/>
            </w:r>
            <w:r w:rsidR="009D0B8F">
              <w:rPr>
                <w:noProof/>
                <w:webHidden/>
              </w:rPr>
              <w:instrText xml:space="preserve"> PAGEREF _Toc235979984 \h </w:instrText>
            </w:r>
            <w:r w:rsidR="009D0B8F">
              <w:rPr>
                <w:noProof/>
                <w:webHidden/>
              </w:rPr>
            </w:r>
            <w:r w:rsidR="009D0B8F">
              <w:rPr>
                <w:noProof/>
                <w:webHidden/>
              </w:rPr>
              <w:fldChar w:fldCharType="separate"/>
            </w:r>
            <w:r w:rsidR="009D0B8F">
              <w:rPr>
                <w:noProof/>
                <w:webHidden/>
              </w:rPr>
              <w:t>12</w:t>
            </w:r>
            <w:r w:rsidR="009D0B8F">
              <w:rPr>
                <w:noProof/>
                <w:webHidden/>
              </w:rPr>
              <w:fldChar w:fldCharType="end"/>
            </w:r>
          </w:hyperlink>
        </w:p>
        <w:p w14:paraId="42B310FF" w14:textId="26A7D206" w:rsidR="009D0B8F" w:rsidRDefault="009D0B8F">
          <w:r>
            <w:rPr>
              <w:b/>
              <w:bCs/>
              <w:noProof/>
            </w:rPr>
            <w:fldChar w:fldCharType="end"/>
          </w:r>
        </w:p>
      </w:sdtContent>
    </w:sdt>
    <w:p w14:paraId="27EB4169" w14:textId="2FCCC791" w:rsidR="00783B88" w:rsidRDefault="00783B88">
      <w:pPr>
        <w:spacing w:after="100"/>
        <w:jc w:val="center"/>
      </w:pPr>
    </w:p>
    <w:p w14:paraId="2FC2972B" w14:textId="77777777" w:rsidR="00783B88" w:rsidRDefault="00000000">
      <w:r>
        <w:br w:type="page"/>
      </w:r>
    </w:p>
    <w:p w14:paraId="572E17A0" w14:textId="77777777" w:rsidR="00783B88" w:rsidRDefault="00000000">
      <w:pPr>
        <w:pStyle w:val="Heading1"/>
        <w:spacing w:before="300" w:after="120"/>
      </w:pPr>
      <w:bookmarkStart w:id="0" w:name="_Toc235979972"/>
      <w:r>
        <w:rPr>
          <w:b/>
          <w:bCs/>
        </w:rPr>
        <w:lastRenderedPageBreak/>
        <w:t>1.1  Purpose and Practice of Data Mining</w:t>
      </w:r>
      <w:bookmarkEnd w:id="0"/>
    </w:p>
    <w:p w14:paraId="1E4D2826" w14:textId="77777777" w:rsidR="00783B88" w:rsidRDefault="00000000">
      <w:pPr>
        <w:spacing w:after="160" w:line="276" w:lineRule="auto"/>
        <w:jc w:val="both"/>
      </w:pPr>
      <w:r>
        <w:t>Data mining sits inside the wider Knowledge Discovery in Databases process, and refers specifically to the step where valid, previously unknown, and genuinely useful patterns are pulled out of large datasets. In practice, this work is usually structured around CRISP-DM, a six-stage methodology running from Business Understanding, through Data Understanding and Data Preparation, into Modelling and Evaluation, and finally Deployment [1]. This report follows that same structure: it starts by framing the business problem — reducing customer attrition — before exploring and preparing the Online Retail Customer Churn dataset, building models in WEKA, and finally judging those outputs against the original business objective rather than treating evaluation as a separate, standalone step.</w:t>
      </w:r>
    </w:p>
    <w:p w14:paraId="1109F72D" w14:textId="77777777" w:rsidR="00783B88" w:rsidRDefault="00000000">
      <w:pPr>
        <w:spacing w:after="160" w:line="276" w:lineRule="auto"/>
        <w:jc w:val="both"/>
      </w:pPr>
      <w:r>
        <w:t>This report covers two applications of data mining that complement each other in a retail or e-commerce setting. The first is churn prediction, treated here as a supervised classification problem: predicting how likely a particular customer is to leave. This matters commercially since retaining an existing customer is widely held to be cheaper than acquiring a new one, meaning even a small gain in identifying at-risk customers early could pay for itself [3]. The second application, customer segmentation, is unsupervised rather than supervised: customers are grouped according to shared behaviour patterns so that marketing and retention resources can be targeted at particular groups instead of spread thinly across everyone [7]. Together the two techniques reinforce one another — classification flags individual-level risk, while clustering reveals the broader structure of the customer base in which that risk sits — and both feed into retail decision-making.</w:t>
      </w:r>
    </w:p>
    <w:p w14:paraId="465C23C2" w14:textId="77777777" w:rsidR="00783B88" w:rsidRDefault="00000000">
      <w:pPr>
        <w:pStyle w:val="Heading1"/>
        <w:spacing w:before="300" w:after="120"/>
      </w:pPr>
      <w:bookmarkStart w:id="1" w:name="_Toc235979973"/>
      <w:r>
        <w:rPr>
          <w:b/>
          <w:bCs/>
        </w:rPr>
        <w:t>1.2  Dataset Description and Exploration</w:t>
      </w:r>
      <w:bookmarkEnd w:id="1"/>
    </w:p>
    <w:p w14:paraId="57D49BF9" w14:textId="77777777" w:rsidR="00783B88" w:rsidRDefault="00000000">
      <w:pPr>
        <w:spacing w:after="160" w:line="276" w:lineRule="auto"/>
        <w:jc w:val="both"/>
      </w:pPr>
      <w:r>
        <w:t>The dataset used throughout this assessment is the Online Retail Customer Churn Dataset: 1,000 customer records across 15 fields. Customer_ID is one of those fields but functions only as a unique row identifier rather than a predictor. The other 13 fall into four groups: demographics (Age, Gender), spending and account activity (Annual_Income, Total_Spend, Years_as_Customer, Num_of_Purchases, Average_Transaction_Amount, Num_of_Returns), the service relationship (Num_of_Support_Contacts, Satisfaction_Score, Last_Purchase_Days_Ago), and marketing engagement (Email_Opt_In, Promotion_Response), with Target_Churn providing the binary label to predict. Since Customer_ID holds no behavioural information, it was removed prior to modelling (Section 1.3), leaving the 13 predictors plus the class attribute for analysis (Fig. 1, Fig. 2).</w:t>
      </w:r>
    </w:p>
    <w:p w14:paraId="127078C6" w14:textId="77777777" w:rsidR="00783B88" w:rsidRDefault="00000000">
      <w:pPr>
        <w:spacing w:before="200" w:after="80"/>
        <w:jc w:val="center"/>
      </w:pPr>
      <w:r>
        <w:rPr>
          <w:noProof/>
        </w:rPr>
        <w:drawing>
          <wp:inline distT="0" distB="0" distL="0" distR="0" wp14:anchorId="52621D9D" wp14:editId="1916ED66">
            <wp:extent cx="4191000" cy="23622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8"/>
                    <a:srcRect/>
                    <a:stretch>
                      <a:fillRect/>
                    </a:stretch>
                  </pic:blipFill>
                  <pic:spPr bwMode="auto">
                    <a:xfrm>
                      <a:off x="0" y="0"/>
                      <a:ext cx="4191000" cy="2362200"/>
                    </a:xfrm>
                    <a:prstGeom prst="rect">
                      <a:avLst/>
                    </a:prstGeom>
                  </pic:spPr>
                </pic:pic>
              </a:graphicData>
            </a:graphic>
          </wp:inline>
        </w:drawing>
      </w:r>
    </w:p>
    <w:p w14:paraId="7FD60B2F" w14:textId="77777777" w:rsidR="00783B88" w:rsidRDefault="00000000">
      <w:pPr>
        <w:spacing w:after="200"/>
        <w:jc w:val="center"/>
      </w:pPr>
      <w:r>
        <w:rPr>
          <w:i/>
          <w:iCs/>
        </w:rPr>
        <w:t>Fig. 1. Original 15-attribute relation as loaded into WEKA — 1,000 instances, 0% missing values.</w:t>
      </w:r>
    </w:p>
    <w:p w14:paraId="5178004F" w14:textId="77777777" w:rsidR="00783B88" w:rsidRDefault="00000000">
      <w:pPr>
        <w:spacing w:before="200" w:after="80"/>
        <w:jc w:val="center"/>
      </w:pPr>
      <w:r>
        <w:rPr>
          <w:noProof/>
        </w:rPr>
        <w:lastRenderedPageBreak/>
        <w:drawing>
          <wp:inline distT="0" distB="0" distL="0" distR="0" wp14:anchorId="1F9E21F9" wp14:editId="1089FE9D">
            <wp:extent cx="4191000" cy="2362200"/>
            <wp:effectExtent l="0" t="0" r="0" b="0"/>
            <wp:docPr id="2055937498" name="Picture 20559374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9"/>
                    <a:srcRect/>
                    <a:stretch>
                      <a:fillRect/>
                    </a:stretch>
                  </pic:blipFill>
                  <pic:spPr bwMode="auto">
                    <a:xfrm>
                      <a:off x="0" y="0"/>
                      <a:ext cx="4191000" cy="2362200"/>
                    </a:xfrm>
                    <a:prstGeom prst="rect">
                      <a:avLst/>
                    </a:prstGeom>
                  </pic:spPr>
                </pic:pic>
              </a:graphicData>
            </a:graphic>
          </wp:inline>
        </w:drawing>
      </w:r>
    </w:p>
    <w:p w14:paraId="03B0C8D2" w14:textId="77777777" w:rsidR="00783B88" w:rsidRDefault="00000000">
      <w:pPr>
        <w:spacing w:after="200"/>
        <w:jc w:val="center"/>
      </w:pPr>
      <w:r>
        <w:rPr>
          <w:i/>
          <w:iCs/>
        </w:rPr>
        <w:t>Fig. 2. Relation after removing Customer_ID — 14 attributes remain (13 predictors + Target_Churn); Age selected (min 18, max 69, mean 43.27).</w:t>
      </w:r>
    </w:p>
    <w:p w14:paraId="3014C5E8" w14:textId="77777777" w:rsidR="00783B88" w:rsidRDefault="00000000">
      <w:pPr>
        <w:spacing w:after="160" w:line="276" w:lineRule="auto"/>
        <w:jc w:val="both"/>
      </w:pPr>
      <w:r>
        <w:t>Both the original and the reduced relation are complete, with no missing values in either (Figs. 1–2). Age ranges from 18 to 69 (mean 43.27, SD 15.24); Annual_Income runs from £20.01k to £199.73k, reading the units as thousands of pounds in line with the dataset's own scale; Total_Spend spans £108.94 to £9,999.64; and Years_as_Customer falls between 1 and 19. Churners make up a slight majority over retained customers — 526 (52.6%) versus 474 (47.4%), as Fig. 3 shows — close enough to an even split that rebalancing was not judged necessary on this basis alone.</w:t>
      </w:r>
    </w:p>
    <w:p w14:paraId="27F90FCD" w14:textId="77777777" w:rsidR="00783B88" w:rsidRDefault="00000000">
      <w:pPr>
        <w:spacing w:before="200" w:after="80"/>
        <w:jc w:val="center"/>
      </w:pPr>
      <w:r>
        <w:rPr>
          <w:noProof/>
        </w:rPr>
        <w:drawing>
          <wp:inline distT="0" distB="0" distL="0" distR="0" wp14:anchorId="18F98682" wp14:editId="37A9E8EB">
            <wp:extent cx="3810000" cy="1790700"/>
            <wp:effectExtent l="0" t="0" r="0" b="0"/>
            <wp:docPr id="1836066013" name="Picture 18360660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0"/>
                    <a:srcRect/>
                    <a:stretch>
                      <a:fillRect/>
                    </a:stretch>
                  </pic:blipFill>
                  <pic:spPr bwMode="auto">
                    <a:xfrm>
                      <a:off x="0" y="0"/>
                      <a:ext cx="3810000" cy="1790700"/>
                    </a:xfrm>
                    <a:prstGeom prst="rect">
                      <a:avLst/>
                    </a:prstGeom>
                  </pic:spPr>
                </pic:pic>
              </a:graphicData>
            </a:graphic>
          </wp:inline>
        </w:drawing>
      </w:r>
    </w:p>
    <w:p w14:paraId="18DFFFFF" w14:textId="77777777" w:rsidR="00783B88" w:rsidRDefault="00000000">
      <w:pPr>
        <w:spacing w:after="200"/>
        <w:jc w:val="center"/>
      </w:pPr>
      <w:r>
        <w:rPr>
          <w:i/>
          <w:iCs/>
        </w:rPr>
        <w:t>Fig. 3. Target_Churn distribution — No Churn = 474 (47.4%), Churn = 526 (52.6%).</w:t>
      </w:r>
    </w:p>
    <w:p w14:paraId="646C88EA" w14:textId="77777777" w:rsidR="00783B88" w:rsidRDefault="00000000">
      <w:pPr>
        <w:spacing w:after="160" w:line="276" w:lineRule="auto"/>
        <w:jc w:val="both"/>
      </w:pPr>
      <w:r>
        <w:t>An initial visual inspection using WEKA's class-coloured "Visualize All" panel (Fig. 4) shows that, across all 13 predictors, the two classes stay mixed together at roughly similar proportions along every attribute's range — no single attribute shows a clear cut-point separating one class from the other. This is an early signal that no individual attribute, on its own, cleanly distinguishes churners from non-churners.</w:t>
      </w:r>
    </w:p>
    <w:p w14:paraId="32CD6A73" w14:textId="77777777" w:rsidR="00783B88" w:rsidRDefault="00000000">
      <w:pPr>
        <w:spacing w:before="200" w:after="80"/>
        <w:jc w:val="center"/>
      </w:pPr>
      <w:r>
        <w:rPr>
          <w:noProof/>
        </w:rPr>
        <w:lastRenderedPageBreak/>
        <w:drawing>
          <wp:inline distT="0" distB="0" distL="0" distR="0" wp14:anchorId="0C5941FC" wp14:editId="57452661">
            <wp:extent cx="4191000" cy="2362200"/>
            <wp:effectExtent l="0" t="0" r="0" b="0"/>
            <wp:docPr id="1500061368" name="Picture 15000613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1"/>
                    <a:srcRect/>
                    <a:stretch>
                      <a:fillRect/>
                    </a:stretch>
                  </pic:blipFill>
                  <pic:spPr bwMode="auto">
                    <a:xfrm>
                      <a:off x="0" y="0"/>
                      <a:ext cx="4191000" cy="2362200"/>
                    </a:xfrm>
                    <a:prstGeom prst="rect">
                      <a:avLst/>
                    </a:prstGeom>
                  </pic:spPr>
                </pic:pic>
              </a:graphicData>
            </a:graphic>
          </wp:inline>
        </w:drawing>
      </w:r>
    </w:p>
    <w:p w14:paraId="0D7997C5" w14:textId="77777777" w:rsidR="00783B88" w:rsidRDefault="00000000">
      <w:pPr>
        <w:spacing w:after="200"/>
        <w:jc w:val="center"/>
      </w:pPr>
      <w:r>
        <w:rPr>
          <w:i/>
          <w:iCs/>
        </w:rPr>
        <w:t>Fig. 4. WEKA "Visualize All" panel — class-coloured histograms for all attributes.</w:t>
      </w:r>
    </w:p>
    <w:p w14:paraId="0CC019D1" w14:textId="77777777" w:rsidR="00783B88" w:rsidRDefault="00000000">
      <w:pPr>
        <w:spacing w:after="160" w:line="276" w:lineRule="auto"/>
        <w:jc w:val="both"/>
      </w:pPr>
      <w:r>
        <w:t xml:space="preserve">Comparing class means in Tableau confirms the same pattern: the gap between churned and retained customers stays under 5% on every measure looked at, and on some </w:t>
      </w:r>
      <w:proofErr w:type="gramStart"/>
      <w:r>
        <w:t>measures</w:t>
      </w:r>
      <w:proofErr w:type="gramEnd"/>
      <w:r>
        <w:t xml:space="preserve"> it even points the wrong way. Average income is slightly higher among retained customers (£113.98k versus £110.14k for churners, Fig. 5), while satisfaction score actually comes out marginally higher for churners rather than lower (3.00 against 2.94, Fig. 6) — the opposite of the usual assumption that dissatisfaction drives attrition. Section 1.4 shows that this weak separation carries straight through into the classification results.</w:t>
      </w:r>
    </w:p>
    <w:p w14:paraId="40AB11B6" w14:textId="77777777" w:rsidR="00783B88" w:rsidRDefault="00000000">
      <w:pPr>
        <w:spacing w:before="200" w:after="80"/>
        <w:jc w:val="center"/>
      </w:pPr>
      <w:r>
        <w:rPr>
          <w:noProof/>
        </w:rPr>
        <w:drawing>
          <wp:inline distT="0" distB="0" distL="0" distR="0" wp14:anchorId="12DE3C2B" wp14:editId="72B70ACB">
            <wp:extent cx="3810000" cy="1790700"/>
            <wp:effectExtent l="0" t="0" r="0" b="0"/>
            <wp:docPr id="119456199" name="Picture 1194561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2"/>
                    <a:srcRect/>
                    <a:stretch>
                      <a:fillRect/>
                    </a:stretch>
                  </pic:blipFill>
                  <pic:spPr bwMode="auto">
                    <a:xfrm>
                      <a:off x="0" y="0"/>
                      <a:ext cx="3810000" cy="1790700"/>
                    </a:xfrm>
                    <a:prstGeom prst="rect">
                      <a:avLst/>
                    </a:prstGeom>
                  </pic:spPr>
                </pic:pic>
              </a:graphicData>
            </a:graphic>
          </wp:inline>
        </w:drawing>
      </w:r>
    </w:p>
    <w:p w14:paraId="7DD34217" w14:textId="77777777" w:rsidR="00783B88" w:rsidRDefault="00000000">
      <w:pPr>
        <w:spacing w:after="200"/>
        <w:jc w:val="center"/>
      </w:pPr>
      <w:r>
        <w:rPr>
          <w:i/>
          <w:iCs/>
        </w:rPr>
        <w:t>Fig. 5. Average annual income by churn status.</w:t>
      </w:r>
    </w:p>
    <w:p w14:paraId="2C9B576E" w14:textId="77777777" w:rsidR="00783B88" w:rsidRDefault="00000000">
      <w:pPr>
        <w:spacing w:before="200" w:after="80"/>
        <w:jc w:val="center"/>
      </w:pPr>
      <w:r>
        <w:rPr>
          <w:noProof/>
        </w:rPr>
        <w:drawing>
          <wp:inline distT="0" distB="0" distL="0" distR="0" wp14:anchorId="73261164" wp14:editId="16762F14">
            <wp:extent cx="3810000" cy="1790700"/>
            <wp:effectExtent l="0" t="0" r="0" b="0"/>
            <wp:docPr id="1658660451" name="Picture 16586604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3"/>
                    <a:srcRect/>
                    <a:stretch>
                      <a:fillRect/>
                    </a:stretch>
                  </pic:blipFill>
                  <pic:spPr bwMode="auto">
                    <a:xfrm>
                      <a:off x="0" y="0"/>
                      <a:ext cx="3810000" cy="1790700"/>
                    </a:xfrm>
                    <a:prstGeom prst="rect">
                      <a:avLst/>
                    </a:prstGeom>
                  </pic:spPr>
                </pic:pic>
              </a:graphicData>
            </a:graphic>
          </wp:inline>
        </w:drawing>
      </w:r>
    </w:p>
    <w:p w14:paraId="5E75E02A" w14:textId="77777777" w:rsidR="00783B88" w:rsidRDefault="00000000">
      <w:pPr>
        <w:spacing w:after="200"/>
        <w:jc w:val="center"/>
      </w:pPr>
      <w:r>
        <w:rPr>
          <w:i/>
          <w:iCs/>
        </w:rPr>
        <w:t>Fig. 6. Average satisfaction score by churn status. Four further Tableau comparisons (spend, tenure, purchases, support contacts) are provided in Appendix A and show the same near-parity pattern.</w:t>
      </w:r>
    </w:p>
    <w:p w14:paraId="6B2596DA" w14:textId="77777777" w:rsidR="00783B88" w:rsidRDefault="00000000">
      <w:pPr>
        <w:pStyle w:val="Heading1"/>
        <w:spacing w:before="300" w:after="120"/>
      </w:pPr>
      <w:bookmarkStart w:id="2" w:name="_Toc235979974"/>
      <w:r>
        <w:rPr>
          <w:b/>
          <w:bCs/>
        </w:rPr>
        <w:t>1.3  Data Pre-processing and Post-processing</w:t>
      </w:r>
      <w:bookmarkEnd w:id="2"/>
    </w:p>
    <w:p w14:paraId="1C19231B" w14:textId="77777777" w:rsidR="00783B88" w:rsidRDefault="00000000">
      <w:pPr>
        <w:pStyle w:val="Heading2"/>
        <w:spacing w:before="200" w:after="100"/>
      </w:pPr>
      <w:bookmarkStart w:id="3" w:name="_Toc235979975"/>
      <w:r>
        <w:rPr>
          <w:b/>
          <w:bCs/>
        </w:rPr>
        <w:t>Removing non-predictive identifiers</w:t>
      </w:r>
      <w:bookmarkEnd w:id="3"/>
    </w:p>
    <w:p w14:paraId="0B648AAB" w14:textId="77777777" w:rsidR="00783B88" w:rsidRDefault="00000000">
      <w:pPr>
        <w:spacing w:after="160" w:line="276" w:lineRule="auto"/>
        <w:jc w:val="both"/>
      </w:pPr>
      <w:r>
        <w:lastRenderedPageBreak/>
        <w:t>Customer_ID does nothing more than number the 1,000 rows and carries no behavioural signal, so it was removed with WEKA's Remove filter before training any model, leaving 13 predictors plus Target_Churn. Keeping an identifier like this in the dataset risks a tree-based learner latching onto it as a spurious, perfectly discriminating split rather than treating it as a meaningless field.</w:t>
      </w:r>
    </w:p>
    <w:p w14:paraId="2B287D04" w14:textId="77777777" w:rsidR="00783B88" w:rsidRDefault="00000000">
      <w:pPr>
        <w:pStyle w:val="Heading2"/>
        <w:spacing w:before="200" w:after="100"/>
      </w:pPr>
      <w:bookmarkStart w:id="4" w:name="_Toc235979976"/>
      <w:r>
        <w:rPr>
          <w:b/>
          <w:bCs/>
        </w:rPr>
        <w:t>Handling missing values</w:t>
      </w:r>
      <w:bookmarkEnd w:id="4"/>
    </w:p>
    <w:p w14:paraId="4B50D373" w14:textId="77777777" w:rsidR="00783B88" w:rsidRDefault="00000000">
      <w:pPr>
        <w:spacing w:after="160" w:line="276" w:lineRule="auto"/>
        <w:jc w:val="both"/>
      </w:pPr>
      <w:r>
        <w:t>No attribute in the dataset has missing values (Figs. 1–2), so imputation was never required. SimpleKMeans nonetheless reports "missing values globally replaced with mean/mode" in its output regardless — that message is just the algorithm's default behaviour firing automatically, and would only be relevant if the data had actually contained gaps.</w:t>
      </w:r>
    </w:p>
    <w:p w14:paraId="76CCCA2D" w14:textId="77777777" w:rsidR="00783B88" w:rsidRDefault="00000000">
      <w:pPr>
        <w:pStyle w:val="Heading2"/>
        <w:spacing w:before="200" w:after="100"/>
      </w:pPr>
      <w:bookmarkStart w:id="5" w:name="_Toc235979977"/>
      <w:r>
        <w:rPr>
          <w:b/>
          <w:bCs/>
        </w:rPr>
        <w:t>Encoding categorical variables</w:t>
      </w:r>
      <w:bookmarkEnd w:id="5"/>
    </w:p>
    <w:p w14:paraId="297513AA" w14:textId="77777777" w:rsidR="00783B88" w:rsidRDefault="00000000">
      <w:pPr>
        <w:spacing w:after="160" w:line="276" w:lineRule="auto"/>
        <w:jc w:val="both"/>
      </w:pPr>
      <w:r>
        <w:t>Gender, Email_Opt_In, and Promotion_Response are the three nominal (rather than numeric) attributes in the dataset. WEKA's ARFF format handles nominal values natively, so J48, Random Forest, and Naïve Bayes can all split or condition on these fields with no conversion needed [2]. Logistic Regression is the one exception, since it requires numeric inputs; WEKA converts these internally via a NominalToBinary transform, visible in the coefficient table as dummy variables like Gender=Other and Promotion_Response=Responded. As a result, none of the five algorithms needed any manual encoding work.</w:t>
      </w:r>
    </w:p>
    <w:p w14:paraId="0B802938" w14:textId="77777777" w:rsidR="00783B88" w:rsidRDefault="00000000">
      <w:pPr>
        <w:pStyle w:val="Heading2"/>
        <w:spacing w:before="200" w:after="100"/>
      </w:pPr>
      <w:bookmarkStart w:id="6" w:name="_Toc235979978"/>
      <w:r>
        <w:rPr>
          <w:b/>
          <w:bCs/>
        </w:rPr>
        <w:t>Balancing the dataset</w:t>
      </w:r>
      <w:bookmarkEnd w:id="6"/>
    </w:p>
    <w:p w14:paraId="4EB9EF42" w14:textId="77777777" w:rsidR="00783B88" w:rsidRDefault="00000000">
      <w:pPr>
        <w:spacing w:after="160" w:line="276" w:lineRule="auto"/>
        <w:jc w:val="both"/>
      </w:pPr>
      <w:r>
        <w:t>At 52.6% churners against 47.4% retained (Fig. 3), the class split is close enough to balanced that a rebalancing step was not considered necessary. Had the minority share dropped below roughly 40%, the Synthetic Minority Over-sampling Technique (SMOTE) would have been the more suitable response — it generates new minority-class instances by interpolating between an existing case and its nearest minority neighbours, rather than just duplicating existing rows [4]. Leaving it out here was a deliberate decision based on this particular class split, not an oversight.</w:t>
      </w:r>
    </w:p>
    <w:p w14:paraId="4E1C8D5E" w14:textId="77777777" w:rsidR="00783B88" w:rsidRDefault="00000000">
      <w:pPr>
        <w:pStyle w:val="Heading2"/>
        <w:spacing w:before="200" w:after="100"/>
      </w:pPr>
      <w:bookmarkStart w:id="7" w:name="_Toc235979979"/>
      <w:r>
        <w:rPr>
          <w:b/>
          <w:bCs/>
        </w:rPr>
        <w:t>Feature selection and post-processing</w:t>
      </w:r>
      <w:bookmarkEnd w:id="7"/>
    </w:p>
    <w:p w14:paraId="3868398C" w14:textId="77777777" w:rsidR="00783B88" w:rsidRDefault="00000000">
      <w:pPr>
        <w:spacing w:after="160" w:line="276" w:lineRule="auto"/>
        <w:jc w:val="both"/>
      </w:pPr>
      <w:r>
        <w:t>All 13 predictors were kept for the comparison in Section 1.4, on the reasoning that testing algorithms against the complete feature set establishes a fair baseline before any reduction is applied on top of it; no attribute-ranking technique such as Information Gain or Correlation-based Feature Selection was used at this stage, a gap picked up again as a limitation in Section 1.6. For post-processing, the same stratified 10-fold cross-validation was applied consistently across all five classifiers, and rather than relying on accuracy alone, Kappa, per-class Precision/Recall/F-Measure, and ROC Area were considered alongside it — necessary given that a 52.6% majority class can make a model barely better than guessing look artificially strong if judged on accuracy alone [8].</w:t>
      </w:r>
    </w:p>
    <w:p w14:paraId="11748701" w14:textId="77777777" w:rsidR="00783B88" w:rsidRDefault="00000000">
      <w:pPr>
        <w:spacing w:after="160" w:line="276" w:lineRule="auto"/>
        <w:jc w:val="both"/>
      </w:pPr>
      <w:r>
        <w:t>One important caveat applies to the clustering work: Target_Churn was not excluded through WEKA's Ignore attributes option before running SimpleKMeans, so it appears as its own centroid row in Fig. 11. Because the class label was therefore part of the distance calculation, the link between cluster membership and churn status discussed in Section 1.4 should not be read as fully independent, unsupervised evidence — it is more accurately a descriptive segmentation than proof that behaviour alone separates churners from non-churners.</w:t>
      </w:r>
    </w:p>
    <w:p w14:paraId="3E6BEE5B" w14:textId="77777777" w:rsidR="00783B88" w:rsidRDefault="00000000">
      <w:pPr>
        <w:pStyle w:val="Heading1"/>
        <w:spacing w:before="300" w:after="120"/>
      </w:pPr>
      <w:bookmarkStart w:id="8" w:name="_Toc235979980"/>
      <w:r>
        <w:rPr>
          <w:b/>
          <w:bCs/>
        </w:rPr>
        <w:t>1.4  Sample Runs and Analysis Methods</w:t>
      </w:r>
      <w:bookmarkEnd w:id="8"/>
    </w:p>
    <w:p w14:paraId="4DA3ED5A" w14:textId="77777777" w:rsidR="00783B88" w:rsidRDefault="00000000">
      <w:pPr>
        <w:spacing w:after="160" w:line="276" w:lineRule="auto"/>
        <w:jc w:val="both"/>
      </w:pPr>
      <w:r>
        <w:t xml:space="preserve">In total, six models were built in WEKA — five classifiers covering churn prediction, plus one clustering algorithm for segmentation — each included for a specific reason. ZeroR provides a sanity-check baseline, always predicting the majority class, which sets the accuracy floor (52.6%) that every other model must clear to count as useful [2] (Fig. 7). J48 (C4.5) was chosen because its output takes the form of if–then rules that a non-technical reader can follow [5] (Fig. 8). Random Forest (100 trees) was included as an ensemble approach, on the reasoning that averaging across many trees should reduce the overfitting a single tree tends to suffer from [5] (Fig. 9). Logistic Regression supplies a linear benchmark with easily interpreted coefficients, and is commonly seen in </w:t>
      </w:r>
      <w:r>
        <w:lastRenderedPageBreak/>
        <w:t>churn-prediction literature [3] (Fig. 10). Naïve Bayes was added as a fast probabilistic baseline, resting on the (admittedly strong) assumption that predictors are conditionally independent given the class [6] (Appendix A, Fig. A5). Finally, SimpleKMeans (k = 3, Euclidean distance) was used for the segmentation task, following the common practice of pairing clustering with RFM-style variables [7] (Fig. 11).</w:t>
      </w:r>
    </w:p>
    <w:p w14:paraId="24D57CCC" w14:textId="77777777" w:rsidR="00783B88" w:rsidRDefault="00000000">
      <w:pPr>
        <w:spacing w:before="200" w:after="80"/>
        <w:jc w:val="center"/>
      </w:pPr>
      <w:r>
        <w:rPr>
          <w:noProof/>
        </w:rPr>
        <w:drawing>
          <wp:inline distT="0" distB="0" distL="0" distR="0" wp14:anchorId="4EF8CE95" wp14:editId="3A1A0C6F">
            <wp:extent cx="4191000" cy="2362200"/>
            <wp:effectExtent l="0" t="0" r="0" b="0"/>
            <wp:docPr id="1677935110" name="Picture 16779351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4"/>
                    <a:srcRect/>
                    <a:stretch>
                      <a:fillRect/>
                    </a:stretch>
                  </pic:blipFill>
                  <pic:spPr bwMode="auto">
                    <a:xfrm>
                      <a:off x="0" y="0"/>
                      <a:ext cx="4191000" cy="2362200"/>
                    </a:xfrm>
                    <a:prstGeom prst="rect">
                      <a:avLst/>
                    </a:prstGeom>
                  </pic:spPr>
                </pic:pic>
              </a:graphicData>
            </a:graphic>
          </wp:inline>
        </w:drawing>
      </w:r>
    </w:p>
    <w:p w14:paraId="2D21758D" w14:textId="77777777" w:rsidR="00783B88" w:rsidRDefault="00000000">
      <w:pPr>
        <w:spacing w:after="200"/>
        <w:jc w:val="center"/>
      </w:pPr>
      <w:r>
        <w:rPr>
          <w:i/>
          <w:iCs/>
        </w:rPr>
        <w:t>Fig. 7. ZeroR baseline — 52.6% accuracy, Kappa 0.000 (the accuracy floor).</w:t>
      </w:r>
    </w:p>
    <w:p w14:paraId="77A77B16" w14:textId="77777777" w:rsidR="00783B88" w:rsidRDefault="00000000">
      <w:pPr>
        <w:spacing w:before="200" w:after="80"/>
        <w:jc w:val="center"/>
      </w:pPr>
      <w:r>
        <w:rPr>
          <w:noProof/>
        </w:rPr>
        <w:drawing>
          <wp:inline distT="0" distB="0" distL="0" distR="0" wp14:anchorId="145BE428" wp14:editId="244C803D">
            <wp:extent cx="4191000" cy="2362200"/>
            <wp:effectExtent l="0" t="0" r="0" b="0"/>
            <wp:docPr id="1839434454" name="Picture 18394344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5"/>
                    <a:srcRect/>
                    <a:stretch>
                      <a:fillRect/>
                    </a:stretch>
                  </pic:blipFill>
                  <pic:spPr bwMode="auto">
                    <a:xfrm>
                      <a:off x="0" y="0"/>
                      <a:ext cx="4191000" cy="2362200"/>
                    </a:xfrm>
                    <a:prstGeom prst="rect">
                      <a:avLst/>
                    </a:prstGeom>
                  </pic:spPr>
                </pic:pic>
              </a:graphicData>
            </a:graphic>
          </wp:inline>
        </w:drawing>
      </w:r>
    </w:p>
    <w:p w14:paraId="6F29E52A" w14:textId="77777777" w:rsidR="00783B88" w:rsidRDefault="00000000">
      <w:pPr>
        <w:spacing w:after="200"/>
        <w:jc w:val="center"/>
      </w:pPr>
      <w:r>
        <w:rPr>
          <w:i/>
          <w:iCs/>
        </w:rPr>
        <w:t>Fig. 8. J48 — 148-leaf tree, 50.3% accuracy, Kappa 0.001.</w:t>
      </w:r>
    </w:p>
    <w:p w14:paraId="354964EF" w14:textId="77777777" w:rsidR="00783B88" w:rsidRDefault="00000000">
      <w:pPr>
        <w:spacing w:before="200" w:after="80"/>
        <w:jc w:val="center"/>
      </w:pPr>
      <w:r>
        <w:rPr>
          <w:noProof/>
        </w:rPr>
        <w:drawing>
          <wp:inline distT="0" distB="0" distL="0" distR="0" wp14:anchorId="25E0765C" wp14:editId="2F2964DD">
            <wp:extent cx="4191000" cy="2362200"/>
            <wp:effectExtent l="0" t="0" r="0" b="0"/>
            <wp:docPr id="1497454805" name="Picture 14974548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6"/>
                    <a:srcRect/>
                    <a:stretch>
                      <a:fillRect/>
                    </a:stretch>
                  </pic:blipFill>
                  <pic:spPr bwMode="auto">
                    <a:xfrm>
                      <a:off x="0" y="0"/>
                      <a:ext cx="4191000" cy="2362200"/>
                    </a:xfrm>
                    <a:prstGeom prst="rect">
                      <a:avLst/>
                    </a:prstGeom>
                  </pic:spPr>
                </pic:pic>
              </a:graphicData>
            </a:graphic>
          </wp:inline>
        </w:drawing>
      </w:r>
    </w:p>
    <w:p w14:paraId="5BB1F539" w14:textId="77777777" w:rsidR="00783B88" w:rsidRDefault="00000000">
      <w:pPr>
        <w:spacing w:after="200"/>
        <w:jc w:val="center"/>
      </w:pPr>
      <w:r>
        <w:rPr>
          <w:i/>
          <w:iCs/>
        </w:rPr>
        <w:t>Fig. 9. Random Forest (100 trees) — 51.3% accuracy, Kappa 0.013 (best of the trained models).</w:t>
      </w:r>
    </w:p>
    <w:p w14:paraId="551961B9" w14:textId="77777777" w:rsidR="00783B88" w:rsidRDefault="00000000">
      <w:pPr>
        <w:spacing w:before="200" w:after="80"/>
        <w:jc w:val="center"/>
      </w:pPr>
      <w:r>
        <w:rPr>
          <w:noProof/>
        </w:rPr>
        <w:lastRenderedPageBreak/>
        <w:drawing>
          <wp:inline distT="0" distB="0" distL="0" distR="0" wp14:anchorId="620F4A06" wp14:editId="7F97BCEA">
            <wp:extent cx="4191000" cy="2362200"/>
            <wp:effectExtent l="0" t="0" r="0" b="0"/>
            <wp:docPr id="237807909" name="Picture 2378079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7"/>
                    <a:srcRect/>
                    <a:stretch>
                      <a:fillRect/>
                    </a:stretch>
                  </pic:blipFill>
                  <pic:spPr bwMode="auto">
                    <a:xfrm>
                      <a:off x="0" y="0"/>
                      <a:ext cx="4191000" cy="2362200"/>
                    </a:xfrm>
                    <a:prstGeom prst="rect">
                      <a:avLst/>
                    </a:prstGeom>
                  </pic:spPr>
                </pic:pic>
              </a:graphicData>
            </a:graphic>
          </wp:inline>
        </w:drawing>
      </w:r>
    </w:p>
    <w:p w14:paraId="49C6E420" w14:textId="77777777" w:rsidR="00783B88" w:rsidRDefault="00000000">
      <w:pPr>
        <w:spacing w:after="200"/>
        <w:jc w:val="center"/>
      </w:pPr>
      <w:r>
        <w:rPr>
          <w:i/>
          <w:iCs/>
        </w:rPr>
        <w:t>Fig. 10. Logistic Regression — odds-ratio coefficients (all ≈0.92–1.09) and 46.9% accuracy, Kappa −0.083.</w:t>
      </w:r>
    </w:p>
    <w:p w14:paraId="6E2A8B5F" w14:textId="77777777" w:rsidR="00783B88" w:rsidRDefault="00000000">
      <w:pPr>
        <w:spacing w:after="160" w:line="276" w:lineRule="auto"/>
        <w:jc w:val="both"/>
      </w:pPr>
      <w:r>
        <w:t xml:space="preserve">Every classifier ran under the same stratified 10-fold cross-validation setup, on the 1,000-instance dataset with </w:t>
      </w:r>
      <w:r>
        <w:rPr>
          <w:i/>
          <w:iCs/>
        </w:rPr>
        <w:t>Customer_ID</w:t>
      </w:r>
      <w:r>
        <w:t xml:space="preserve"> already removed. Table I brings the five sets of results together for comparison.</w:t>
      </w:r>
    </w:p>
    <w:p w14:paraId="71319CFE" w14:textId="77777777" w:rsidR="00783B88" w:rsidRDefault="00000000">
      <w:pPr>
        <w:spacing w:before="100" w:after="80"/>
        <w:jc w:val="center"/>
      </w:pPr>
      <w:r>
        <w:rPr>
          <w:b/>
          <w:bCs/>
        </w:rPr>
        <w:t>TABLE I</w:t>
      </w:r>
    </w:p>
    <w:p w14:paraId="1760A241" w14:textId="77777777" w:rsidR="00783B88" w:rsidRDefault="00000000">
      <w:pPr>
        <w:spacing w:after="200"/>
        <w:jc w:val="center"/>
      </w:pPr>
      <w:r>
        <w:rPr>
          <w:i/>
          <w:iCs/>
        </w:rPr>
        <w:t>Cross-validated accuracy, Kappa and related metrics for the five classifiers</w:t>
      </w:r>
    </w:p>
    <w:tbl>
      <w:tblPr>
        <w:tblW w:w="103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400"/>
        <w:gridCol w:w="1500"/>
        <w:gridCol w:w="1200"/>
        <w:gridCol w:w="1300"/>
        <w:gridCol w:w="1200"/>
        <w:gridCol w:w="1400"/>
        <w:gridCol w:w="1300"/>
      </w:tblGrid>
      <w:tr w:rsidR="00783B88" w14:paraId="095FBCD6" w14:textId="77777777">
        <w:trPr>
          <w:tblHeader/>
        </w:trPr>
        <w:tc>
          <w:tcPr>
            <w:tcW w:w="2400" w:type="dxa"/>
            <w:shd w:val="clear" w:color="auto" w:fill="1F3864"/>
            <w:tcMar>
              <w:top w:w="80" w:type="dxa"/>
              <w:left w:w="100" w:type="dxa"/>
              <w:bottom w:w="80" w:type="dxa"/>
              <w:right w:w="100" w:type="dxa"/>
            </w:tcMar>
          </w:tcPr>
          <w:p w14:paraId="713D5354" w14:textId="77777777" w:rsidR="00783B88" w:rsidRDefault="00000000">
            <w:pPr>
              <w:jc w:val="center"/>
            </w:pPr>
            <w:r>
              <w:rPr>
                <w:b/>
                <w:bCs/>
                <w:color w:val="FFFFFF"/>
              </w:rPr>
              <w:t>Classifier</w:t>
            </w:r>
          </w:p>
        </w:tc>
        <w:tc>
          <w:tcPr>
            <w:tcW w:w="1500" w:type="dxa"/>
            <w:shd w:val="clear" w:color="auto" w:fill="1F3864"/>
            <w:tcMar>
              <w:top w:w="80" w:type="dxa"/>
              <w:left w:w="100" w:type="dxa"/>
              <w:bottom w:w="80" w:type="dxa"/>
              <w:right w:w="100" w:type="dxa"/>
            </w:tcMar>
          </w:tcPr>
          <w:p w14:paraId="58B2B4CD" w14:textId="77777777" w:rsidR="00783B88" w:rsidRDefault="00000000">
            <w:pPr>
              <w:jc w:val="center"/>
            </w:pPr>
            <w:r>
              <w:rPr>
                <w:b/>
                <w:bCs/>
                <w:color w:val="FFFFFF"/>
              </w:rPr>
              <w:t>Accuracy (%)</w:t>
            </w:r>
          </w:p>
        </w:tc>
        <w:tc>
          <w:tcPr>
            <w:tcW w:w="1200" w:type="dxa"/>
            <w:shd w:val="clear" w:color="auto" w:fill="1F3864"/>
            <w:tcMar>
              <w:top w:w="80" w:type="dxa"/>
              <w:left w:w="100" w:type="dxa"/>
              <w:bottom w:w="80" w:type="dxa"/>
              <w:right w:w="100" w:type="dxa"/>
            </w:tcMar>
          </w:tcPr>
          <w:p w14:paraId="5ACEFCE7" w14:textId="77777777" w:rsidR="00783B88" w:rsidRDefault="00000000">
            <w:pPr>
              <w:jc w:val="center"/>
            </w:pPr>
            <w:r>
              <w:rPr>
                <w:b/>
                <w:bCs/>
                <w:color w:val="FFFFFF"/>
              </w:rPr>
              <w:t>Kappa</w:t>
            </w:r>
          </w:p>
        </w:tc>
        <w:tc>
          <w:tcPr>
            <w:tcW w:w="1300" w:type="dxa"/>
            <w:shd w:val="clear" w:color="auto" w:fill="1F3864"/>
            <w:tcMar>
              <w:top w:w="80" w:type="dxa"/>
              <w:left w:w="100" w:type="dxa"/>
              <w:bottom w:w="80" w:type="dxa"/>
              <w:right w:w="100" w:type="dxa"/>
            </w:tcMar>
          </w:tcPr>
          <w:p w14:paraId="51C9215A" w14:textId="77777777" w:rsidR="00783B88" w:rsidRDefault="00000000">
            <w:pPr>
              <w:jc w:val="center"/>
            </w:pPr>
            <w:r>
              <w:rPr>
                <w:b/>
                <w:bCs/>
                <w:color w:val="FFFFFF"/>
              </w:rPr>
              <w:t>Precision</w:t>
            </w:r>
          </w:p>
        </w:tc>
        <w:tc>
          <w:tcPr>
            <w:tcW w:w="1200" w:type="dxa"/>
            <w:shd w:val="clear" w:color="auto" w:fill="1F3864"/>
            <w:tcMar>
              <w:top w:w="80" w:type="dxa"/>
              <w:left w:w="100" w:type="dxa"/>
              <w:bottom w:w="80" w:type="dxa"/>
              <w:right w:w="100" w:type="dxa"/>
            </w:tcMar>
          </w:tcPr>
          <w:p w14:paraId="2C116811" w14:textId="77777777" w:rsidR="00783B88" w:rsidRDefault="00000000">
            <w:pPr>
              <w:jc w:val="center"/>
            </w:pPr>
            <w:r>
              <w:rPr>
                <w:b/>
                <w:bCs/>
                <w:color w:val="FFFFFF"/>
              </w:rPr>
              <w:t>Recall</w:t>
            </w:r>
          </w:p>
        </w:tc>
        <w:tc>
          <w:tcPr>
            <w:tcW w:w="1400" w:type="dxa"/>
            <w:shd w:val="clear" w:color="auto" w:fill="1F3864"/>
            <w:tcMar>
              <w:top w:w="80" w:type="dxa"/>
              <w:left w:w="100" w:type="dxa"/>
              <w:bottom w:w="80" w:type="dxa"/>
              <w:right w:w="100" w:type="dxa"/>
            </w:tcMar>
          </w:tcPr>
          <w:p w14:paraId="32D21D02" w14:textId="77777777" w:rsidR="00783B88" w:rsidRDefault="00000000">
            <w:pPr>
              <w:jc w:val="center"/>
            </w:pPr>
            <w:r>
              <w:rPr>
                <w:b/>
                <w:bCs/>
                <w:color w:val="FFFFFF"/>
              </w:rPr>
              <w:t>F-Measure</w:t>
            </w:r>
          </w:p>
        </w:tc>
        <w:tc>
          <w:tcPr>
            <w:tcW w:w="1300" w:type="dxa"/>
            <w:shd w:val="clear" w:color="auto" w:fill="1F3864"/>
            <w:tcMar>
              <w:top w:w="80" w:type="dxa"/>
              <w:left w:w="100" w:type="dxa"/>
              <w:bottom w:w="80" w:type="dxa"/>
              <w:right w:w="100" w:type="dxa"/>
            </w:tcMar>
          </w:tcPr>
          <w:p w14:paraId="41AF9E7B" w14:textId="77777777" w:rsidR="00783B88" w:rsidRDefault="00000000">
            <w:pPr>
              <w:jc w:val="center"/>
            </w:pPr>
            <w:r>
              <w:rPr>
                <w:b/>
                <w:bCs/>
                <w:color w:val="FFFFFF"/>
              </w:rPr>
              <w:t>ROC Area</w:t>
            </w:r>
          </w:p>
        </w:tc>
      </w:tr>
      <w:tr w:rsidR="00783B88" w14:paraId="2901C153" w14:textId="77777777">
        <w:tc>
          <w:tcPr>
            <w:tcW w:w="2400" w:type="dxa"/>
            <w:tcMar>
              <w:top w:w="80" w:type="dxa"/>
              <w:left w:w="100" w:type="dxa"/>
              <w:bottom w:w="80" w:type="dxa"/>
              <w:right w:w="100" w:type="dxa"/>
            </w:tcMar>
          </w:tcPr>
          <w:p w14:paraId="38DC23A7" w14:textId="77777777" w:rsidR="00783B88" w:rsidRDefault="00000000">
            <w:pPr>
              <w:jc w:val="center"/>
            </w:pPr>
            <w:r>
              <w:t>ZeroR (baseline)</w:t>
            </w:r>
          </w:p>
        </w:tc>
        <w:tc>
          <w:tcPr>
            <w:tcW w:w="1500" w:type="dxa"/>
            <w:tcMar>
              <w:top w:w="80" w:type="dxa"/>
              <w:left w:w="100" w:type="dxa"/>
              <w:bottom w:w="80" w:type="dxa"/>
              <w:right w:w="100" w:type="dxa"/>
            </w:tcMar>
          </w:tcPr>
          <w:p w14:paraId="70508333" w14:textId="77777777" w:rsidR="00783B88" w:rsidRDefault="00000000">
            <w:pPr>
              <w:jc w:val="center"/>
            </w:pPr>
            <w:r>
              <w:t>52.6</w:t>
            </w:r>
          </w:p>
        </w:tc>
        <w:tc>
          <w:tcPr>
            <w:tcW w:w="1200" w:type="dxa"/>
            <w:tcMar>
              <w:top w:w="80" w:type="dxa"/>
              <w:left w:w="100" w:type="dxa"/>
              <w:bottom w:w="80" w:type="dxa"/>
              <w:right w:w="100" w:type="dxa"/>
            </w:tcMar>
          </w:tcPr>
          <w:p w14:paraId="5BC62AF2" w14:textId="77777777" w:rsidR="00783B88" w:rsidRDefault="00000000">
            <w:pPr>
              <w:jc w:val="center"/>
            </w:pPr>
            <w:r>
              <w:t>0.000</w:t>
            </w:r>
          </w:p>
        </w:tc>
        <w:tc>
          <w:tcPr>
            <w:tcW w:w="1300" w:type="dxa"/>
            <w:tcMar>
              <w:top w:w="80" w:type="dxa"/>
              <w:left w:w="100" w:type="dxa"/>
              <w:bottom w:w="80" w:type="dxa"/>
              <w:right w:w="100" w:type="dxa"/>
            </w:tcMar>
          </w:tcPr>
          <w:p w14:paraId="5C6A63A6" w14:textId="77777777" w:rsidR="00783B88" w:rsidRDefault="00000000">
            <w:pPr>
              <w:jc w:val="center"/>
            </w:pPr>
            <w:r>
              <w:t>0.526</w:t>
            </w:r>
          </w:p>
        </w:tc>
        <w:tc>
          <w:tcPr>
            <w:tcW w:w="1200" w:type="dxa"/>
            <w:tcMar>
              <w:top w:w="80" w:type="dxa"/>
              <w:left w:w="100" w:type="dxa"/>
              <w:bottom w:w="80" w:type="dxa"/>
              <w:right w:w="100" w:type="dxa"/>
            </w:tcMar>
          </w:tcPr>
          <w:p w14:paraId="787DBA0F" w14:textId="77777777" w:rsidR="00783B88" w:rsidRDefault="00000000">
            <w:pPr>
              <w:jc w:val="center"/>
            </w:pPr>
            <w:r>
              <w:t>1.000</w:t>
            </w:r>
          </w:p>
        </w:tc>
        <w:tc>
          <w:tcPr>
            <w:tcW w:w="1400" w:type="dxa"/>
            <w:tcMar>
              <w:top w:w="80" w:type="dxa"/>
              <w:left w:w="100" w:type="dxa"/>
              <w:bottom w:w="80" w:type="dxa"/>
              <w:right w:w="100" w:type="dxa"/>
            </w:tcMar>
          </w:tcPr>
          <w:p w14:paraId="0A57BABA" w14:textId="77777777" w:rsidR="00783B88" w:rsidRDefault="00000000">
            <w:pPr>
              <w:jc w:val="center"/>
            </w:pPr>
            <w:r>
              <w:t>0.689</w:t>
            </w:r>
          </w:p>
        </w:tc>
        <w:tc>
          <w:tcPr>
            <w:tcW w:w="1300" w:type="dxa"/>
            <w:tcMar>
              <w:top w:w="80" w:type="dxa"/>
              <w:left w:w="100" w:type="dxa"/>
              <w:bottom w:w="80" w:type="dxa"/>
              <w:right w:w="100" w:type="dxa"/>
            </w:tcMar>
          </w:tcPr>
          <w:p w14:paraId="62A32CFD" w14:textId="77777777" w:rsidR="00783B88" w:rsidRDefault="00000000">
            <w:pPr>
              <w:jc w:val="center"/>
            </w:pPr>
            <w:r>
              <w:t>0.495</w:t>
            </w:r>
          </w:p>
        </w:tc>
      </w:tr>
      <w:tr w:rsidR="00783B88" w14:paraId="1B4D35EE" w14:textId="77777777">
        <w:tc>
          <w:tcPr>
            <w:tcW w:w="2400" w:type="dxa"/>
            <w:tcMar>
              <w:top w:w="80" w:type="dxa"/>
              <w:left w:w="100" w:type="dxa"/>
              <w:bottom w:w="80" w:type="dxa"/>
              <w:right w:w="100" w:type="dxa"/>
            </w:tcMar>
          </w:tcPr>
          <w:p w14:paraId="436257B5" w14:textId="77777777" w:rsidR="00783B88" w:rsidRDefault="00000000">
            <w:pPr>
              <w:jc w:val="center"/>
            </w:pPr>
            <w:r>
              <w:t>J48 (C4.5 decision tree)</w:t>
            </w:r>
          </w:p>
        </w:tc>
        <w:tc>
          <w:tcPr>
            <w:tcW w:w="1500" w:type="dxa"/>
            <w:tcMar>
              <w:top w:w="80" w:type="dxa"/>
              <w:left w:w="100" w:type="dxa"/>
              <w:bottom w:w="80" w:type="dxa"/>
              <w:right w:w="100" w:type="dxa"/>
            </w:tcMar>
          </w:tcPr>
          <w:p w14:paraId="2ECB8A54" w14:textId="77777777" w:rsidR="00783B88" w:rsidRDefault="00000000">
            <w:pPr>
              <w:jc w:val="center"/>
            </w:pPr>
            <w:r>
              <w:t>50.3</w:t>
            </w:r>
          </w:p>
        </w:tc>
        <w:tc>
          <w:tcPr>
            <w:tcW w:w="1200" w:type="dxa"/>
            <w:tcMar>
              <w:top w:w="80" w:type="dxa"/>
              <w:left w:w="100" w:type="dxa"/>
              <w:bottom w:w="80" w:type="dxa"/>
              <w:right w:w="100" w:type="dxa"/>
            </w:tcMar>
          </w:tcPr>
          <w:p w14:paraId="51868E9C" w14:textId="77777777" w:rsidR="00783B88" w:rsidRDefault="00000000">
            <w:pPr>
              <w:jc w:val="center"/>
            </w:pPr>
            <w:r>
              <w:t>0.001</w:t>
            </w:r>
          </w:p>
        </w:tc>
        <w:tc>
          <w:tcPr>
            <w:tcW w:w="1300" w:type="dxa"/>
            <w:tcMar>
              <w:top w:w="80" w:type="dxa"/>
              <w:left w:w="100" w:type="dxa"/>
              <w:bottom w:w="80" w:type="dxa"/>
              <w:right w:w="100" w:type="dxa"/>
            </w:tcMar>
          </w:tcPr>
          <w:p w14:paraId="3219C533" w14:textId="77777777" w:rsidR="00783B88" w:rsidRDefault="00000000">
            <w:pPr>
              <w:jc w:val="center"/>
            </w:pPr>
            <w:r>
              <w:t>0.527</w:t>
            </w:r>
          </w:p>
        </w:tc>
        <w:tc>
          <w:tcPr>
            <w:tcW w:w="1200" w:type="dxa"/>
            <w:tcMar>
              <w:top w:w="80" w:type="dxa"/>
              <w:left w:w="100" w:type="dxa"/>
              <w:bottom w:w="80" w:type="dxa"/>
              <w:right w:w="100" w:type="dxa"/>
            </w:tcMar>
          </w:tcPr>
          <w:p w14:paraId="21AEF6CB" w14:textId="77777777" w:rsidR="00783B88" w:rsidRDefault="00000000">
            <w:pPr>
              <w:jc w:val="center"/>
            </w:pPr>
            <w:r>
              <w:t>0.546</w:t>
            </w:r>
          </w:p>
        </w:tc>
        <w:tc>
          <w:tcPr>
            <w:tcW w:w="1400" w:type="dxa"/>
            <w:tcMar>
              <w:top w:w="80" w:type="dxa"/>
              <w:left w:w="100" w:type="dxa"/>
              <w:bottom w:w="80" w:type="dxa"/>
              <w:right w:w="100" w:type="dxa"/>
            </w:tcMar>
          </w:tcPr>
          <w:p w14:paraId="503E853D" w14:textId="77777777" w:rsidR="00783B88" w:rsidRDefault="00000000">
            <w:pPr>
              <w:jc w:val="center"/>
            </w:pPr>
            <w:r>
              <w:t>0.536</w:t>
            </w:r>
          </w:p>
        </w:tc>
        <w:tc>
          <w:tcPr>
            <w:tcW w:w="1300" w:type="dxa"/>
            <w:tcMar>
              <w:top w:w="80" w:type="dxa"/>
              <w:left w:w="100" w:type="dxa"/>
              <w:bottom w:w="80" w:type="dxa"/>
              <w:right w:w="100" w:type="dxa"/>
            </w:tcMar>
          </w:tcPr>
          <w:p w14:paraId="098A578B" w14:textId="77777777" w:rsidR="00783B88" w:rsidRDefault="00000000">
            <w:pPr>
              <w:jc w:val="center"/>
            </w:pPr>
            <w:r>
              <w:t>0.494</w:t>
            </w:r>
          </w:p>
        </w:tc>
      </w:tr>
      <w:tr w:rsidR="00783B88" w14:paraId="233C7BB0" w14:textId="77777777">
        <w:tc>
          <w:tcPr>
            <w:tcW w:w="2400" w:type="dxa"/>
            <w:tcMar>
              <w:top w:w="80" w:type="dxa"/>
              <w:left w:w="100" w:type="dxa"/>
              <w:bottom w:w="80" w:type="dxa"/>
              <w:right w:w="100" w:type="dxa"/>
            </w:tcMar>
          </w:tcPr>
          <w:p w14:paraId="7C1ABB68" w14:textId="77777777" w:rsidR="00783B88" w:rsidRDefault="00000000">
            <w:pPr>
              <w:jc w:val="center"/>
            </w:pPr>
            <w:r>
              <w:t>Random Forest (100 trees)</w:t>
            </w:r>
          </w:p>
        </w:tc>
        <w:tc>
          <w:tcPr>
            <w:tcW w:w="1500" w:type="dxa"/>
            <w:tcMar>
              <w:top w:w="80" w:type="dxa"/>
              <w:left w:w="100" w:type="dxa"/>
              <w:bottom w:w="80" w:type="dxa"/>
              <w:right w:w="100" w:type="dxa"/>
            </w:tcMar>
          </w:tcPr>
          <w:p w14:paraId="28947DB8" w14:textId="77777777" w:rsidR="00783B88" w:rsidRDefault="00000000">
            <w:pPr>
              <w:jc w:val="center"/>
            </w:pPr>
            <w:r>
              <w:t>51.3</w:t>
            </w:r>
          </w:p>
        </w:tc>
        <w:tc>
          <w:tcPr>
            <w:tcW w:w="1200" w:type="dxa"/>
            <w:tcMar>
              <w:top w:w="80" w:type="dxa"/>
              <w:left w:w="100" w:type="dxa"/>
              <w:bottom w:w="80" w:type="dxa"/>
              <w:right w:w="100" w:type="dxa"/>
            </w:tcMar>
          </w:tcPr>
          <w:p w14:paraId="63A7B5E9" w14:textId="77777777" w:rsidR="00783B88" w:rsidRDefault="00000000">
            <w:pPr>
              <w:jc w:val="center"/>
            </w:pPr>
            <w:r>
              <w:t>0.013</w:t>
            </w:r>
          </w:p>
        </w:tc>
        <w:tc>
          <w:tcPr>
            <w:tcW w:w="1300" w:type="dxa"/>
            <w:tcMar>
              <w:top w:w="80" w:type="dxa"/>
              <w:left w:w="100" w:type="dxa"/>
              <w:bottom w:w="80" w:type="dxa"/>
              <w:right w:w="100" w:type="dxa"/>
            </w:tcMar>
          </w:tcPr>
          <w:p w14:paraId="33FAA315" w14:textId="77777777" w:rsidR="00783B88" w:rsidRDefault="00000000">
            <w:pPr>
              <w:jc w:val="center"/>
            </w:pPr>
            <w:r>
              <w:t>0.531</w:t>
            </w:r>
          </w:p>
        </w:tc>
        <w:tc>
          <w:tcPr>
            <w:tcW w:w="1200" w:type="dxa"/>
            <w:tcMar>
              <w:top w:w="80" w:type="dxa"/>
              <w:left w:w="100" w:type="dxa"/>
              <w:bottom w:w="80" w:type="dxa"/>
              <w:right w:w="100" w:type="dxa"/>
            </w:tcMar>
          </w:tcPr>
          <w:p w14:paraId="314F24A3" w14:textId="77777777" w:rsidR="00783B88" w:rsidRDefault="00000000">
            <w:pPr>
              <w:jc w:val="center"/>
            </w:pPr>
            <w:r>
              <w:t>0.629</w:t>
            </w:r>
          </w:p>
        </w:tc>
        <w:tc>
          <w:tcPr>
            <w:tcW w:w="1400" w:type="dxa"/>
            <w:tcMar>
              <w:top w:w="80" w:type="dxa"/>
              <w:left w:w="100" w:type="dxa"/>
              <w:bottom w:w="80" w:type="dxa"/>
              <w:right w:w="100" w:type="dxa"/>
            </w:tcMar>
          </w:tcPr>
          <w:p w14:paraId="443D4A0C" w14:textId="77777777" w:rsidR="00783B88" w:rsidRDefault="00000000">
            <w:pPr>
              <w:jc w:val="center"/>
            </w:pPr>
            <w:r>
              <w:t>0.576</w:t>
            </w:r>
          </w:p>
        </w:tc>
        <w:tc>
          <w:tcPr>
            <w:tcW w:w="1300" w:type="dxa"/>
            <w:tcMar>
              <w:top w:w="80" w:type="dxa"/>
              <w:left w:w="100" w:type="dxa"/>
              <w:bottom w:w="80" w:type="dxa"/>
              <w:right w:w="100" w:type="dxa"/>
            </w:tcMar>
          </w:tcPr>
          <w:p w14:paraId="7E4E771C" w14:textId="77777777" w:rsidR="00783B88" w:rsidRDefault="00000000">
            <w:pPr>
              <w:jc w:val="center"/>
            </w:pPr>
            <w:r>
              <w:t>0.505</w:t>
            </w:r>
          </w:p>
        </w:tc>
      </w:tr>
      <w:tr w:rsidR="00783B88" w14:paraId="7D235B1A" w14:textId="77777777">
        <w:tc>
          <w:tcPr>
            <w:tcW w:w="2400" w:type="dxa"/>
            <w:tcMar>
              <w:top w:w="80" w:type="dxa"/>
              <w:left w:w="100" w:type="dxa"/>
              <w:bottom w:w="80" w:type="dxa"/>
              <w:right w:w="100" w:type="dxa"/>
            </w:tcMar>
          </w:tcPr>
          <w:p w14:paraId="6261D4FE" w14:textId="77777777" w:rsidR="00783B88" w:rsidRDefault="00000000">
            <w:pPr>
              <w:jc w:val="center"/>
            </w:pPr>
            <w:r>
              <w:t>Logistic Regression</w:t>
            </w:r>
          </w:p>
        </w:tc>
        <w:tc>
          <w:tcPr>
            <w:tcW w:w="1500" w:type="dxa"/>
            <w:tcMar>
              <w:top w:w="80" w:type="dxa"/>
              <w:left w:w="100" w:type="dxa"/>
              <w:bottom w:w="80" w:type="dxa"/>
              <w:right w:w="100" w:type="dxa"/>
            </w:tcMar>
          </w:tcPr>
          <w:p w14:paraId="5E350E1B" w14:textId="77777777" w:rsidR="00783B88" w:rsidRDefault="00000000">
            <w:pPr>
              <w:jc w:val="center"/>
            </w:pPr>
            <w:r>
              <w:t>46.9</w:t>
            </w:r>
          </w:p>
        </w:tc>
        <w:tc>
          <w:tcPr>
            <w:tcW w:w="1200" w:type="dxa"/>
            <w:tcMar>
              <w:top w:w="80" w:type="dxa"/>
              <w:left w:w="100" w:type="dxa"/>
              <w:bottom w:w="80" w:type="dxa"/>
              <w:right w:w="100" w:type="dxa"/>
            </w:tcMar>
          </w:tcPr>
          <w:p w14:paraId="346B08FC" w14:textId="77777777" w:rsidR="00783B88" w:rsidRDefault="00000000">
            <w:pPr>
              <w:jc w:val="center"/>
            </w:pPr>
            <w:r>
              <w:t>-0.083</w:t>
            </w:r>
          </w:p>
        </w:tc>
        <w:tc>
          <w:tcPr>
            <w:tcW w:w="1300" w:type="dxa"/>
            <w:tcMar>
              <w:top w:w="80" w:type="dxa"/>
              <w:left w:w="100" w:type="dxa"/>
              <w:bottom w:w="80" w:type="dxa"/>
              <w:right w:w="100" w:type="dxa"/>
            </w:tcMar>
          </w:tcPr>
          <w:p w14:paraId="094489F6" w14:textId="77777777" w:rsidR="00783B88" w:rsidRDefault="00000000">
            <w:pPr>
              <w:jc w:val="center"/>
            </w:pPr>
            <w:r>
              <w:t>0.496</w:t>
            </w:r>
          </w:p>
        </w:tc>
        <w:tc>
          <w:tcPr>
            <w:tcW w:w="1200" w:type="dxa"/>
            <w:tcMar>
              <w:top w:w="80" w:type="dxa"/>
              <w:left w:w="100" w:type="dxa"/>
              <w:bottom w:w="80" w:type="dxa"/>
              <w:right w:w="100" w:type="dxa"/>
            </w:tcMar>
          </w:tcPr>
          <w:p w14:paraId="256D50C0" w14:textId="77777777" w:rsidR="00783B88" w:rsidRDefault="00000000">
            <w:pPr>
              <w:jc w:val="center"/>
            </w:pPr>
            <w:r>
              <w:t>0.650</w:t>
            </w:r>
          </w:p>
        </w:tc>
        <w:tc>
          <w:tcPr>
            <w:tcW w:w="1400" w:type="dxa"/>
            <w:tcMar>
              <w:top w:w="80" w:type="dxa"/>
              <w:left w:w="100" w:type="dxa"/>
              <w:bottom w:w="80" w:type="dxa"/>
              <w:right w:w="100" w:type="dxa"/>
            </w:tcMar>
          </w:tcPr>
          <w:p w14:paraId="6DBF99EF" w14:textId="77777777" w:rsidR="00783B88" w:rsidRDefault="00000000">
            <w:pPr>
              <w:jc w:val="center"/>
            </w:pPr>
            <w:r>
              <w:t>0.563</w:t>
            </w:r>
          </w:p>
        </w:tc>
        <w:tc>
          <w:tcPr>
            <w:tcW w:w="1300" w:type="dxa"/>
            <w:tcMar>
              <w:top w:w="80" w:type="dxa"/>
              <w:left w:w="100" w:type="dxa"/>
              <w:bottom w:w="80" w:type="dxa"/>
              <w:right w:w="100" w:type="dxa"/>
            </w:tcMar>
          </w:tcPr>
          <w:p w14:paraId="6A814AE6" w14:textId="77777777" w:rsidR="00783B88" w:rsidRDefault="00000000">
            <w:pPr>
              <w:jc w:val="center"/>
            </w:pPr>
            <w:r>
              <w:t>0.448</w:t>
            </w:r>
          </w:p>
        </w:tc>
      </w:tr>
      <w:tr w:rsidR="00783B88" w14:paraId="5DFC0FF1" w14:textId="77777777">
        <w:tc>
          <w:tcPr>
            <w:tcW w:w="2400" w:type="dxa"/>
            <w:tcMar>
              <w:top w:w="80" w:type="dxa"/>
              <w:left w:w="100" w:type="dxa"/>
              <w:bottom w:w="80" w:type="dxa"/>
              <w:right w:w="100" w:type="dxa"/>
            </w:tcMar>
          </w:tcPr>
          <w:p w14:paraId="506AF6D2" w14:textId="77777777" w:rsidR="00783B88" w:rsidRDefault="00000000">
            <w:pPr>
              <w:jc w:val="center"/>
            </w:pPr>
            <w:r>
              <w:t>Naïve Bayes</w:t>
            </w:r>
          </w:p>
        </w:tc>
        <w:tc>
          <w:tcPr>
            <w:tcW w:w="1500" w:type="dxa"/>
            <w:tcMar>
              <w:top w:w="80" w:type="dxa"/>
              <w:left w:w="100" w:type="dxa"/>
              <w:bottom w:w="80" w:type="dxa"/>
              <w:right w:w="100" w:type="dxa"/>
            </w:tcMar>
          </w:tcPr>
          <w:p w14:paraId="328BB23A" w14:textId="77777777" w:rsidR="00783B88" w:rsidRDefault="00000000">
            <w:pPr>
              <w:jc w:val="center"/>
            </w:pPr>
            <w:r>
              <w:t>48.8</w:t>
            </w:r>
          </w:p>
        </w:tc>
        <w:tc>
          <w:tcPr>
            <w:tcW w:w="1200" w:type="dxa"/>
            <w:tcMar>
              <w:top w:w="80" w:type="dxa"/>
              <w:left w:w="100" w:type="dxa"/>
              <w:bottom w:w="80" w:type="dxa"/>
              <w:right w:w="100" w:type="dxa"/>
            </w:tcMar>
          </w:tcPr>
          <w:p w14:paraId="3441300A" w14:textId="77777777" w:rsidR="00783B88" w:rsidRDefault="00000000">
            <w:pPr>
              <w:jc w:val="center"/>
            </w:pPr>
            <w:r>
              <w:t>-0.046</w:t>
            </w:r>
          </w:p>
        </w:tc>
        <w:tc>
          <w:tcPr>
            <w:tcW w:w="1300" w:type="dxa"/>
            <w:tcMar>
              <w:top w:w="80" w:type="dxa"/>
              <w:left w:w="100" w:type="dxa"/>
              <w:bottom w:w="80" w:type="dxa"/>
              <w:right w:w="100" w:type="dxa"/>
            </w:tcMar>
          </w:tcPr>
          <w:p w14:paraId="43DCC8B9" w14:textId="77777777" w:rsidR="00783B88" w:rsidRDefault="00000000">
            <w:pPr>
              <w:jc w:val="center"/>
            </w:pPr>
            <w:r>
              <w:t>0.510</w:t>
            </w:r>
          </w:p>
        </w:tc>
        <w:tc>
          <w:tcPr>
            <w:tcW w:w="1200" w:type="dxa"/>
            <w:tcMar>
              <w:top w:w="80" w:type="dxa"/>
              <w:left w:w="100" w:type="dxa"/>
              <w:bottom w:w="80" w:type="dxa"/>
              <w:right w:w="100" w:type="dxa"/>
            </w:tcMar>
          </w:tcPr>
          <w:p w14:paraId="080D39ED" w14:textId="77777777" w:rsidR="00783B88" w:rsidRDefault="00000000">
            <w:pPr>
              <w:jc w:val="center"/>
            </w:pPr>
            <w:r>
              <w:t>0.677</w:t>
            </w:r>
          </w:p>
        </w:tc>
        <w:tc>
          <w:tcPr>
            <w:tcW w:w="1400" w:type="dxa"/>
            <w:tcMar>
              <w:top w:w="80" w:type="dxa"/>
              <w:left w:w="100" w:type="dxa"/>
              <w:bottom w:w="80" w:type="dxa"/>
              <w:right w:w="100" w:type="dxa"/>
            </w:tcMar>
          </w:tcPr>
          <w:p w14:paraId="7E73EEF8" w14:textId="77777777" w:rsidR="00783B88" w:rsidRDefault="00000000">
            <w:pPr>
              <w:jc w:val="center"/>
            </w:pPr>
            <w:r>
              <w:t>0.582</w:t>
            </w:r>
          </w:p>
        </w:tc>
        <w:tc>
          <w:tcPr>
            <w:tcW w:w="1300" w:type="dxa"/>
            <w:tcMar>
              <w:top w:w="80" w:type="dxa"/>
              <w:left w:w="100" w:type="dxa"/>
              <w:bottom w:w="80" w:type="dxa"/>
              <w:right w:w="100" w:type="dxa"/>
            </w:tcMar>
          </w:tcPr>
          <w:p w14:paraId="40A390F0" w14:textId="77777777" w:rsidR="00783B88" w:rsidRDefault="00000000">
            <w:pPr>
              <w:jc w:val="center"/>
            </w:pPr>
            <w:r>
              <w:t>0.463</w:t>
            </w:r>
          </w:p>
        </w:tc>
      </w:tr>
    </w:tbl>
    <w:p w14:paraId="29FC78B4" w14:textId="77777777" w:rsidR="00783B88" w:rsidRDefault="00000000">
      <w:pPr>
        <w:spacing w:after="160" w:line="276" w:lineRule="auto"/>
        <w:jc w:val="both"/>
      </w:pPr>
      <w:r>
        <w:t>The most striking result is that none of the four trained classifiers manages to outperform the 52.6% ZeroR baseline. Both Logistic Regression and Naïve Bayes produce a negative Kappa (−0.083 and −0.046 respectively), meaning their agreement with the true labels is actually worse than chance once the majority-class advantage is removed. Random Forest gets closest, posting the highest Kappa in the group at 0.013, but its 51.3% accuracy still falls short of the baseline. J48 grows a tree with 148 leaves and 285 nodes from only 1,000 training rows, yet this added complexity produces essentially no Kappa improvement — a classic sign of a tree fitting noise in the training folds instead of a genuine underlying pattern [5]. The Logistic Regression odds ratios back this up from another angle: every predictor sits between 0.92 and 1.09, meaning none of them meaningfully shifts the odds of churn, consistent with the near-identical class means already seen in Section 1.2.</w:t>
      </w:r>
    </w:p>
    <w:p w14:paraId="55AF574C" w14:textId="77777777" w:rsidR="00783B88" w:rsidRDefault="00000000">
      <w:pPr>
        <w:spacing w:after="160" w:line="276" w:lineRule="auto"/>
        <w:jc w:val="both"/>
      </w:pPr>
      <w:r>
        <w:t>ROC Area paints an equally bleak picture: the five figures in Table I range from 0.448 (Logistic Regression) to 0.505 (Random Forest), clustered tightly around 0.5 — precisely what a classifier with no genuine discriminative power would produce, since an AUC of 0.5 corresponds to ranking positive and negative cases essentially at random, against 1.0 for perfect separation [8]. With not one of the five models reaching even 0.51, none of them can rank customers by churn risk any better than chance — arguably a more damning finding than the accuracy figures alone, since it implies a retailer relying on any of these models to build a fixed-size retention list would do no better than picking names at random.</w:t>
      </w:r>
    </w:p>
    <w:p w14:paraId="42B4EA82" w14:textId="77777777" w:rsidR="00783B88" w:rsidRDefault="00000000">
      <w:pPr>
        <w:spacing w:after="160" w:line="276" w:lineRule="auto"/>
        <w:jc w:val="both"/>
      </w:pPr>
      <w:r>
        <w:t>It is also worth flagging that Random Forest is generally seen as a strong, robust performer on messy, mixed-type data, and typically outperforms a single decision tree by a comfortable margin [5] — yet here it still fell short of the baseline. This points away from the choice of algorithm as the source of the problem, and towards a simpler explanation: the available attributes do not carry enough predictive signal, whichever classifier is asked to work with them.</w:t>
      </w:r>
    </w:p>
    <w:p w14:paraId="31954648" w14:textId="77777777" w:rsidR="00783B88" w:rsidRDefault="00000000">
      <w:pPr>
        <w:spacing w:after="160" w:line="276" w:lineRule="auto"/>
        <w:jc w:val="both"/>
      </w:pPr>
      <w:r>
        <w:lastRenderedPageBreak/>
        <w:t>For segmentation, SimpleKMeans (k = 3) converged after 18 iterations, reaching a within-cluster sum of squared errors of 2,493.17 and splitting the customers into three groups of 243 (24%), 355 (36%), and 402 (40%) (Table II, Fig. 11). Cluster 0 has both the highest income (£125.21k) and the highest satisfaction (3.45) of the three, and consists mostly of retained customers. Cluster 1 has the lowest satisfaction (2.66) but the longest average tenure (10.91 years), and is likewise dominated by retained customers — further evidence that satisfaction alone does not track churn, even at cluster level. Cluster 2, the largest group, combines the lowest income (£102.83k) with the fewest support contacts, and is the only cluster where churners form the majority. As noted in Section 1.3, Target_Churn was left in for this particular run, so this relationship between cluster membership and churn is best understood as descriptive rather than as independent, unsupervised proof that behaviour alone explains the split [7].</w:t>
      </w:r>
    </w:p>
    <w:p w14:paraId="46B615D1" w14:textId="77777777" w:rsidR="00783B88" w:rsidRDefault="00000000">
      <w:pPr>
        <w:spacing w:before="200" w:after="80"/>
        <w:jc w:val="center"/>
      </w:pPr>
      <w:r>
        <w:rPr>
          <w:noProof/>
        </w:rPr>
        <w:drawing>
          <wp:inline distT="0" distB="0" distL="0" distR="0" wp14:anchorId="7B375D0F" wp14:editId="15F9F2A0">
            <wp:extent cx="4191000" cy="2362200"/>
            <wp:effectExtent l="0" t="0" r="0" b="0"/>
            <wp:docPr id="626427969" name="Picture 6264279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8"/>
                    <a:srcRect/>
                    <a:stretch>
                      <a:fillRect/>
                    </a:stretch>
                  </pic:blipFill>
                  <pic:spPr bwMode="auto">
                    <a:xfrm>
                      <a:off x="0" y="0"/>
                      <a:ext cx="4191000" cy="2362200"/>
                    </a:xfrm>
                    <a:prstGeom prst="rect">
                      <a:avLst/>
                    </a:prstGeom>
                  </pic:spPr>
                </pic:pic>
              </a:graphicData>
            </a:graphic>
          </wp:inline>
        </w:drawing>
      </w:r>
    </w:p>
    <w:p w14:paraId="526FCEB6" w14:textId="77777777" w:rsidR="00783B88" w:rsidRDefault="00000000">
      <w:pPr>
        <w:spacing w:after="200"/>
        <w:jc w:val="center"/>
      </w:pPr>
      <w:r>
        <w:rPr>
          <w:i/>
          <w:iCs/>
        </w:rPr>
        <w:t>Fig. 11. SimpleKMeans (k = 3) final cluster centroids and sizes (Target_Churn included as an attribute — see Section 1.3).</w:t>
      </w:r>
    </w:p>
    <w:p w14:paraId="265A0984" w14:textId="77777777" w:rsidR="00783B88" w:rsidRDefault="00000000">
      <w:pPr>
        <w:spacing w:before="100" w:after="80"/>
        <w:jc w:val="center"/>
      </w:pPr>
      <w:r>
        <w:rPr>
          <w:b/>
          <w:bCs/>
        </w:rPr>
        <w:t>TABLE II</w:t>
      </w:r>
    </w:p>
    <w:p w14:paraId="672BC7EB" w14:textId="77777777" w:rsidR="00783B88" w:rsidRDefault="00000000">
      <w:pPr>
        <w:spacing w:after="200"/>
        <w:jc w:val="center"/>
      </w:pPr>
      <w:r>
        <w:rPr>
          <w:i/>
          <w:iCs/>
        </w:rPr>
        <w:t>SimpleKMeans (k = 3) cluster centroid summary</w:t>
      </w:r>
    </w:p>
    <w:tbl>
      <w:tblPr>
        <w:tblW w:w="103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800"/>
        <w:gridCol w:w="2500"/>
        <w:gridCol w:w="2500"/>
        <w:gridCol w:w="2500"/>
      </w:tblGrid>
      <w:tr w:rsidR="00783B88" w14:paraId="02E4057D" w14:textId="77777777">
        <w:trPr>
          <w:tblHeader/>
        </w:trPr>
        <w:tc>
          <w:tcPr>
            <w:tcW w:w="2800" w:type="dxa"/>
            <w:shd w:val="clear" w:color="auto" w:fill="1F3864"/>
            <w:tcMar>
              <w:top w:w="80" w:type="dxa"/>
              <w:left w:w="100" w:type="dxa"/>
              <w:bottom w:w="80" w:type="dxa"/>
              <w:right w:w="100" w:type="dxa"/>
            </w:tcMar>
          </w:tcPr>
          <w:p w14:paraId="15A180B4" w14:textId="77777777" w:rsidR="00783B88" w:rsidRDefault="00000000">
            <w:pPr>
              <w:jc w:val="center"/>
            </w:pPr>
            <w:r>
              <w:rPr>
                <w:b/>
                <w:bCs/>
                <w:color w:val="FFFFFF"/>
              </w:rPr>
              <w:t>Attribute</w:t>
            </w:r>
          </w:p>
        </w:tc>
        <w:tc>
          <w:tcPr>
            <w:tcW w:w="2500" w:type="dxa"/>
            <w:shd w:val="clear" w:color="auto" w:fill="1F3864"/>
            <w:tcMar>
              <w:top w:w="80" w:type="dxa"/>
              <w:left w:w="100" w:type="dxa"/>
              <w:bottom w:w="80" w:type="dxa"/>
              <w:right w:w="100" w:type="dxa"/>
            </w:tcMar>
          </w:tcPr>
          <w:p w14:paraId="6FD3364E" w14:textId="77777777" w:rsidR="00783B88" w:rsidRDefault="00000000">
            <w:pPr>
              <w:jc w:val="center"/>
            </w:pPr>
            <w:r>
              <w:rPr>
                <w:b/>
                <w:bCs/>
                <w:color w:val="FFFFFF"/>
              </w:rPr>
              <w:t>Cluster 0 (24%, n=243)</w:t>
            </w:r>
          </w:p>
        </w:tc>
        <w:tc>
          <w:tcPr>
            <w:tcW w:w="2500" w:type="dxa"/>
            <w:shd w:val="clear" w:color="auto" w:fill="1F3864"/>
            <w:tcMar>
              <w:top w:w="80" w:type="dxa"/>
              <w:left w:w="100" w:type="dxa"/>
              <w:bottom w:w="80" w:type="dxa"/>
              <w:right w:w="100" w:type="dxa"/>
            </w:tcMar>
          </w:tcPr>
          <w:p w14:paraId="14D74207" w14:textId="77777777" w:rsidR="00783B88" w:rsidRDefault="00000000">
            <w:pPr>
              <w:jc w:val="center"/>
            </w:pPr>
            <w:r>
              <w:rPr>
                <w:b/>
                <w:bCs/>
                <w:color w:val="FFFFFF"/>
              </w:rPr>
              <w:t>Cluster 1 (36%, n=355)</w:t>
            </w:r>
          </w:p>
        </w:tc>
        <w:tc>
          <w:tcPr>
            <w:tcW w:w="2500" w:type="dxa"/>
            <w:shd w:val="clear" w:color="auto" w:fill="1F3864"/>
            <w:tcMar>
              <w:top w:w="80" w:type="dxa"/>
              <w:left w:w="100" w:type="dxa"/>
              <w:bottom w:w="80" w:type="dxa"/>
              <w:right w:w="100" w:type="dxa"/>
            </w:tcMar>
          </w:tcPr>
          <w:p w14:paraId="210CCB67" w14:textId="77777777" w:rsidR="00783B88" w:rsidRDefault="00000000">
            <w:pPr>
              <w:jc w:val="center"/>
            </w:pPr>
            <w:r>
              <w:rPr>
                <w:b/>
                <w:bCs/>
                <w:color w:val="FFFFFF"/>
              </w:rPr>
              <w:t>Cluster 2 (40%, n=402)</w:t>
            </w:r>
          </w:p>
        </w:tc>
      </w:tr>
      <w:tr w:rsidR="00783B88" w14:paraId="1E738624" w14:textId="77777777">
        <w:tc>
          <w:tcPr>
            <w:tcW w:w="2800" w:type="dxa"/>
            <w:tcMar>
              <w:top w:w="80" w:type="dxa"/>
              <w:left w:w="100" w:type="dxa"/>
              <w:bottom w:w="80" w:type="dxa"/>
              <w:right w:w="100" w:type="dxa"/>
            </w:tcMar>
          </w:tcPr>
          <w:p w14:paraId="00B34270" w14:textId="77777777" w:rsidR="00783B88" w:rsidRDefault="00000000">
            <w:pPr>
              <w:jc w:val="center"/>
            </w:pPr>
            <w:r>
              <w:t>Age (mean)</w:t>
            </w:r>
          </w:p>
        </w:tc>
        <w:tc>
          <w:tcPr>
            <w:tcW w:w="2500" w:type="dxa"/>
            <w:tcMar>
              <w:top w:w="80" w:type="dxa"/>
              <w:left w:w="100" w:type="dxa"/>
              <w:bottom w:w="80" w:type="dxa"/>
              <w:right w:w="100" w:type="dxa"/>
            </w:tcMar>
          </w:tcPr>
          <w:p w14:paraId="780874BD" w14:textId="77777777" w:rsidR="00783B88" w:rsidRDefault="00000000">
            <w:pPr>
              <w:jc w:val="center"/>
            </w:pPr>
            <w:r>
              <w:t>45.53</w:t>
            </w:r>
          </w:p>
        </w:tc>
        <w:tc>
          <w:tcPr>
            <w:tcW w:w="2500" w:type="dxa"/>
            <w:tcMar>
              <w:top w:w="80" w:type="dxa"/>
              <w:left w:w="100" w:type="dxa"/>
              <w:bottom w:w="80" w:type="dxa"/>
              <w:right w:w="100" w:type="dxa"/>
            </w:tcMar>
          </w:tcPr>
          <w:p w14:paraId="77737462" w14:textId="77777777" w:rsidR="00783B88" w:rsidRDefault="00000000">
            <w:pPr>
              <w:jc w:val="center"/>
            </w:pPr>
            <w:r>
              <w:t>42.65</w:t>
            </w:r>
          </w:p>
        </w:tc>
        <w:tc>
          <w:tcPr>
            <w:tcW w:w="2500" w:type="dxa"/>
            <w:tcMar>
              <w:top w:w="80" w:type="dxa"/>
              <w:left w:w="100" w:type="dxa"/>
              <w:bottom w:w="80" w:type="dxa"/>
              <w:right w:w="100" w:type="dxa"/>
            </w:tcMar>
          </w:tcPr>
          <w:p w14:paraId="2344B8D5" w14:textId="77777777" w:rsidR="00783B88" w:rsidRDefault="00000000">
            <w:pPr>
              <w:jc w:val="center"/>
            </w:pPr>
            <w:r>
              <w:t>42.45</w:t>
            </w:r>
          </w:p>
        </w:tc>
      </w:tr>
      <w:tr w:rsidR="00783B88" w14:paraId="6EE122BD" w14:textId="77777777">
        <w:tc>
          <w:tcPr>
            <w:tcW w:w="2800" w:type="dxa"/>
            <w:tcMar>
              <w:top w:w="80" w:type="dxa"/>
              <w:left w:w="100" w:type="dxa"/>
              <w:bottom w:w="80" w:type="dxa"/>
              <w:right w:w="100" w:type="dxa"/>
            </w:tcMar>
          </w:tcPr>
          <w:p w14:paraId="50EDE6D9" w14:textId="77777777" w:rsidR="00783B88" w:rsidRDefault="00000000">
            <w:pPr>
              <w:jc w:val="center"/>
            </w:pPr>
            <w:r>
              <w:t>Annual Income (£k)</w:t>
            </w:r>
          </w:p>
        </w:tc>
        <w:tc>
          <w:tcPr>
            <w:tcW w:w="2500" w:type="dxa"/>
            <w:tcMar>
              <w:top w:w="80" w:type="dxa"/>
              <w:left w:w="100" w:type="dxa"/>
              <w:bottom w:w="80" w:type="dxa"/>
              <w:right w:w="100" w:type="dxa"/>
            </w:tcMar>
          </w:tcPr>
          <w:p w14:paraId="51BDEF84" w14:textId="77777777" w:rsidR="00783B88" w:rsidRDefault="00000000">
            <w:pPr>
              <w:jc w:val="center"/>
            </w:pPr>
            <w:r>
              <w:t>125.21</w:t>
            </w:r>
          </w:p>
        </w:tc>
        <w:tc>
          <w:tcPr>
            <w:tcW w:w="2500" w:type="dxa"/>
            <w:tcMar>
              <w:top w:w="80" w:type="dxa"/>
              <w:left w:w="100" w:type="dxa"/>
              <w:bottom w:w="80" w:type="dxa"/>
              <w:right w:w="100" w:type="dxa"/>
            </w:tcMar>
          </w:tcPr>
          <w:p w14:paraId="7E9A8F3D" w14:textId="77777777" w:rsidR="00783B88" w:rsidRDefault="00000000">
            <w:pPr>
              <w:jc w:val="center"/>
            </w:pPr>
            <w:r>
              <w:t>113.24</w:t>
            </w:r>
          </w:p>
        </w:tc>
        <w:tc>
          <w:tcPr>
            <w:tcW w:w="2500" w:type="dxa"/>
            <w:tcMar>
              <w:top w:w="80" w:type="dxa"/>
              <w:left w:w="100" w:type="dxa"/>
              <w:bottom w:w="80" w:type="dxa"/>
              <w:right w:w="100" w:type="dxa"/>
            </w:tcMar>
          </w:tcPr>
          <w:p w14:paraId="0A7613C5" w14:textId="77777777" w:rsidR="00783B88" w:rsidRDefault="00000000">
            <w:pPr>
              <w:jc w:val="center"/>
            </w:pPr>
            <w:r>
              <w:t>102.83</w:t>
            </w:r>
          </w:p>
        </w:tc>
      </w:tr>
      <w:tr w:rsidR="00783B88" w14:paraId="1EC2BC3A" w14:textId="77777777">
        <w:tc>
          <w:tcPr>
            <w:tcW w:w="2800" w:type="dxa"/>
            <w:tcMar>
              <w:top w:w="80" w:type="dxa"/>
              <w:left w:w="100" w:type="dxa"/>
              <w:bottom w:w="80" w:type="dxa"/>
              <w:right w:w="100" w:type="dxa"/>
            </w:tcMar>
          </w:tcPr>
          <w:p w14:paraId="4DFE9303" w14:textId="77777777" w:rsidR="00783B88" w:rsidRDefault="00000000">
            <w:pPr>
              <w:jc w:val="center"/>
            </w:pPr>
            <w:r>
              <w:t>Total Spend (£)</w:t>
            </w:r>
          </w:p>
        </w:tc>
        <w:tc>
          <w:tcPr>
            <w:tcW w:w="2500" w:type="dxa"/>
            <w:tcMar>
              <w:top w:w="80" w:type="dxa"/>
              <w:left w:w="100" w:type="dxa"/>
              <w:bottom w:w="80" w:type="dxa"/>
              <w:right w:w="100" w:type="dxa"/>
            </w:tcMar>
          </w:tcPr>
          <w:p w14:paraId="3A5AB8BA" w14:textId="77777777" w:rsidR="00783B88" w:rsidRDefault="00000000">
            <w:pPr>
              <w:jc w:val="center"/>
            </w:pPr>
            <w:r>
              <w:t>5,078.91</w:t>
            </w:r>
          </w:p>
        </w:tc>
        <w:tc>
          <w:tcPr>
            <w:tcW w:w="2500" w:type="dxa"/>
            <w:tcMar>
              <w:top w:w="80" w:type="dxa"/>
              <w:left w:w="100" w:type="dxa"/>
              <w:bottom w:w="80" w:type="dxa"/>
              <w:right w:w="100" w:type="dxa"/>
            </w:tcMar>
          </w:tcPr>
          <w:p w14:paraId="456D7ADB" w14:textId="77777777" w:rsidR="00783B88" w:rsidRDefault="00000000">
            <w:pPr>
              <w:jc w:val="center"/>
            </w:pPr>
            <w:r>
              <w:t>5,169.33</w:t>
            </w:r>
          </w:p>
        </w:tc>
        <w:tc>
          <w:tcPr>
            <w:tcW w:w="2500" w:type="dxa"/>
            <w:tcMar>
              <w:top w:w="80" w:type="dxa"/>
              <w:left w:w="100" w:type="dxa"/>
              <w:bottom w:w="80" w:type="dxa"/>
              <w:right w:w="100" w:type="dxa"/>
            </w:tcMar>
          </w:tcPr>
          <w:p w14:paraId="140F01BF" w14:textId="77777777" w:rsidR="00783B88" w:rsidRDefault="00000000">
            <w:pPr>
              <w:jc w:val="center"/>
            </w:pPr>
            <w:r>
              <w:t>5,003.75</w:t>
            </w:r>
          </w:p>
        </w:tc>
      </w:tr>
      <w:tr w:rsidR="00783B88" w14:paraId="1FDE302B" w14:textId="77777777">
        <w:tc>
          <w:tcPr>
            <w:tcW w:w="2800" w:type="dxa"/>
            <w:tcMar>
              <w:top w:w="80" w:type="dxa"/>
              <w:left w:w="100" w:type="dxa"/>
              <w:bottom w:w="80" w:type="dxa"/>
              <w:right w:w="100" w:type="dxa"/>
            </w:tcMar>
          </w:tcPr>
          <w:p w14:paraId="2FBBCD9F" w14:textId="77777777" w:rsidR="00783B88" w:rsidRDefault="00000000">
            <w:pPr>
              <w:jc w:val="center"/>
            </w:pPr>
            <w:r>
              <w:t>Years as Customer</w:t>
            </w:r>
          </w:p>
        </w:tc>
        <w:tc>
          <w:tcPr>
            <w:tcW w:w="2500" w:type="dxa"/>
            <w:tcMar>
              <w:top w:w="80" w:type="dxa"/>
              <w:left w:w="100" w:type="dxa"/>
              <w:bottom w:w="80" w:type="dxa"/>
              <w:right w:w="100" w:type="dxa"/>
            </w:tcMar>
          </w:tcPr>
          <w:p w14:paraId="52CC0A5A" w14:textId="77777777" w:rsidR="00783B88" w:rsidRDefault="00000000">
            <w:pPr>
              <w:jc w:val="center"/>
            </w:pPr>
            <w:r>
              <w:t>9.12</w:t>
            </w:r>
          </w:p>
        </w:tc>
        <w:tc>
          <w:tcPr>
            <w:tcW w:w="2500" w:type="dxa"/>
            <w:tcMar>
              <w:top w:w="80" w:type="dxa"/>
              <w:left w:w="100" w:type="dxa"/>
              <w:bottom w:w="80" w:type="dxa"/>
              <w:right w:w="100" w:type="dxa"/>
            </w:tcMar>
          </w:tcPr>
          <w:p w14:paraId="78B6045F" w14:textId="77777777" w:rsidR="00783B88" w:rsidRDefault="00000000">
            <w:pPr>
              <w:jc w:val="center"/>
            </w:pPr>
            <w:r>
              <w:t>10.91</w:t>
            </w:r>
          </w:p>
        </w:tc>
        <w:tc>
          <w:tcPr>
            <w:tcW w:w="2500" w:type="dxa"/>
            <w:tcMar>
              <w:top w:w="80" w:type="dxa"/>
              <w:left w:w="100" w:type="dxa"/>
              <w:bottom w:w="80" w:type="dxa"/>
              <w:right w:w="100" w:type="dxa"/>
            </w:tcMar>
          </w:tcPr>
          <w:p w14:paraId="79D29D01" w14:textId="77777777" w:rsidR="00783B88" w:rsidRDefault="00000000">
            <w:pPr>
              <w:jc w:val="center"/>
            </w:pPr>
            <w:r>
              <w:t>9.05</w:t>
            </w:r>
          </w:p>
        </w:tc>
      </w:tr>
      <w:tr w:rsidR="00783B88" w14:paraId="785D68DC" w14:textId="77777777">
        <w:tc>
          <w:tcPr>
            <w:tcW w:w="2800" w:type="dxa"/>
            <w:tcMar>
              <w:top w:w="80" w:type="dxa"/>
              <w:left w:w="100" w:type="dxa"/>
              <w:bottom w:w="80" w:type="dxa"/>
              <w:right w:w="100" w:type="dxa"/>
            </w:tcMar>
          </w:tcPr>
          <w:p w14:paraId="29EA9E64" w14:textId="77777777" w:rsidR="00783B88" w:rsidRDefault="00000000">
            <w:pPr>
              <w:jc w:val="center"/>
            </w:pPr>
            <w:r>
              <w:t>Satisfaction Score</w:t>
            </w:r>
          </w:p>
        </w:tc>
        <w:tc>
          <w:tcPr>
            <w:tcW w:w="2500" w:type="dxa"/>
            <w:tcMar>
              <w:top w:w="80" w:type="dxa"/>
              <w:left w:w="100" w:type="dxa"/>
              <w:bottom w:w="80" w:type="dxa"/>
              <w:right w:w="100" w:type="dxa"/>
            </w:tcMar>
          </w:tcPr>
          <w:p w14:paraId="28CB21B8" w14:textId="77777777" w:rsidR="00783B88" w:rsidRDefault="00000000">
            <w:pPr>
              <w:jc w:val="center"/>
            </w:pPr>
            <w:r>
              <w:t>3.45</w:t>
            </w:r>
          </w:p>
        </w:tc>
        <w:tc>
          <w:tcPr>
            <w:tcW w:w="2500" w:type="dxa"/>
            <w:tcMar>
              <w:top w:w="80" w:type="dxa"/>
              <w:left w:w="100" w:type="dxa"/>
              <w:bottom w:w="80" w:type="dxa"/>
              <w:right w:w="100" w:type="dxa"/>
            </w:tcMar>
          </w:tcPr>
          <w:p w14:paraId="13D95CF3" w14:textId="77777777" w:rsidR="00783B88" w:rsidRDefault="00000000">
            <w:pPr>
              <w:jc w:val="center"/>
            </w:pPr>
            <w:r>
              <w:t>2.66</w:t>
            </w:r>
          </w:p>
        </w:tc>
        <w:tc>
          <w:tcPr>
            <w:tcW w:w="2500" w:type="dxa"/>
            <w:tcMar>
              <w:top w:w="80" w:type="dxa"/>
              <w:left w:w="100" w:type="dxa"/>
              <w:bottom w:w="80" w:type="dxa"/>
              <w:right w:w="100" w:type="dxa"/>
            </w:tcMar>
          </w:tcPr>
          <w:p w14:paraId="14CF863C" w14:textId="77777777" w:rsidR="00783B88" w:rsidRDefault="00000000">
            <w:pPr>
              <w:jc w:val="center"/>
            </w:pPr>
            <w:r>
              <w:t>2.97</w:t>
            </w:r>
          </w:p>
        </w:tc>
      </w:tr>
      <w:tr w:rsidR="00783B88" w14:paraId="1F12A53E" w14:textId="77777777">
        <w:tc>
          <w:tcPr>
            <w:tcW w:w="2800" w:type="dxa"/>
            <w:tcMar>
              <w:top w:w="80" w:type="dxa"/>
              <w:left w:w="100" w:type="dxa"/>
              <w:bottom w:w="80" w:type="dxa"/>
              <w:right w:w="100" w:type="dxa"/>
            </w:tcMar>
          </w:tcPr>
          <w:p w14:paraId="328CC18D" w14:textId="77777777" w:rsidR="00783B88" w:rsidRDefault="00000000">
            <w:pPr>
              <w:jc w:val="center"/>
            </w:pPr>
            <w:r>
              <w:t>Support Contacts</w:t>
            </w:r>
          </w:p>
        </w:tc>
        <w:tc>
          <w:tcPr>
            <w:tcW w:w="2500" w:type="dxa"/>
            <w:tcMar>
              <w:top w:w="80" w:type="dxa"/>
              <w:left w:w="100" w:type="dxa"/>
              <w:bottom w:w="80" w:type="dxa"/>
              <w:right w:w="100" w:type="dxa"/>
            </w:tcMar>
          </w:tcPr>
          <w:p w14:paraId="5CE9FAFD" w14:textId="77777777" w:rsidR="00783B88" w:rsidRDefault="00000000">
            <w:pPr>
              <w:jc w:val="center"/>
            </w:pPr>
            <w:r>
              <w:t>2.34</w:t>
            </w:r>
          </w:p>
        </w:tc>
        <w:tc>
          <w:tcPr>
            <w:tcW w:w="2500" w:type="dxa"/>
            <w:tcMar>
              <w:top w:w="80" w:type="dxa"/>
              <w:left w:w="100" w:type="dxa"/>
              <w:bottom w:w="80" w:type="dxa"/>
              <w:right w:w="100" w:type="dxa"/>
            </w:tcMar>
          </w:tcPr>
          <w:p w14:paraId="174EA1AA" w14:textId="77777777" w:rsidR="00783B88" w:rsidRDefault="00000000">
            <w:pPr>
              <w:jc w:val="center"/>
            </w:pPr>
            <w:r>
              <w:t>1.99</w:t>
            </w:r>
          </w:p>
        </w:tc>
        <w:tc>
          <w:tcPr>
            <w:tcW w:w="2500" w:type="dxa"/>
            <w:tcMar>
              <w:top w:w="80" w:type="dxa"/>
              <w:left w:w="100" w:type="dxa"/>
              <w:bottom w:w="80" w:type="dxa"/>
              <w:right w:w="100" w:type="dxa"/>
            </w:tcMar>
          </w:tcPr>
          <w:p w14:paraId="3E9CC3DC" w14:textId="77777777" w:rsidR="00783B88" w:rsidRDefault="00000000">
            <w:pPr>
              <w:jc w:val="center"/>
            </w:pPr>
            <w:r>
              <w:t>1.64</w:t>
            </w:r>
          </w:p>
        </w:tc>
      </w:tr>
      <w:tr w:rsidR="00783B88" w14:paraId="4257FCCD" w14:textId="77777777">
        <w:tc>
          <w:tcPr>
            <w:tcW w:w="2800" w:type="dxa"/>
            <w:tcMar>
              <w:top w:w="80" w:type="dxa"/>
              <w:left w:w="100" w:type="dxa"/>
              <w:bottom w:w="80" w:type="dxa"/>
              <w:right w:w="100" w:type="dxa"/>
            </w:tcMar>
          </w:tcPr>
          <w:p w14:paraId="2959F897" w14:textId="77777777" w:rsidR="00783B88" w:rsidRDefault="00000000">
            <w:pPr>
              <w:jc w:val="center"/>
            </w:pPr>
            <w:r>
              <w:t>Promotion Response</w:t>
            </w:r>
          </w:p>
        </w:tc>
        <w:tc>
          <w:tcPr>
            <w:tcW w:w="2500" w:type="dxa"/>
            <w:tcMar>
              <w:top w:w="80" w:type="dxa"/>
              <w:left w:w="100" w:type="dxa"/>
              <w:bottom w:w="80" w:type="dxa"/>
              <w:right w:w="100" w:type="dxa"/>
            </w:tcMar>
          </w:tcPr>
          <w:p w14:paraId="7BA2941D" w14:textId="77777777" w:rsidR="00783B88" w:rsidRDefault="00000000">
            <w:pPr>
              <w:jc w:val="center"/>
            </w:pPr>
            <w:r>
              <w:t>Responded</w:t>
            </w:r>
          </w:p>
        </w:tc>
        <w:tc>
          <w:tcPr>
            <w:tcW w:w="2500" w:type="dxa"/>
            <w:tcMar>
              <w:top w:w="80" w:type="dxa"/>
              <w:left w:w="100" w:type="dxa"/>
              <w:bottom w:w="80" w:type="dxa"/>
              <w:right w:w="100" w:type="dxa"/>
            </w:tcMar>
          </w:tcPr>
          <w:p w14:paraId="271925E1" w14:textId="77777777" w:rsidR="00783B88" w:rsidRDefault="00000000">
            <w:pPr>
              <w:jc w:val="center"/>
            </w:pPr>
            <w:r>
              <w:t>Unsubscribed</w:t>
            </w:r>
          </w:p>
        </w:tc>
        <w:tc>
          <w:tcPr>
            <w:tcW w:w="2500" w:type="dxa"/>
            <w:tcMar>
              <w:top w:w="80" w:type="dxa"/>
              <w:left w:w="100" w:type="dxa"/>
              <w:bottom w:w="80" w:type="dxa"/>
              <w:right w:w="100" w:type="dxa"/>
            </w:tcMar>
          </w:tcPr>
          <w:p w14:paraId="0ACF00A2" w14:textId="77777777" w:rsidR="00783B88" w:rsidRDefault="00000000">
            <w:pPr>
              <w:jc w:val="center"/>
            </w:pPr>
            <w:r>
              <w:t>Responded</w:t>
            </w:r>
          </w:p>
        </w:tc>
      </w:tr>
      <w:tr w:rsidR="00783B88" w14:paraId="32EB102F" w14:textId="77777777">
        <w:tc>
          <w:tcPr>
            <w:tcW w:w="2800" w:type="dxa"/>
            <w:tcMar>
              <w:top w:w="80" w:type="dxa"/>
              <w:left w:w="100" w:type="dxa"/>
              <w:bottom w:w="80" w:type="dxa"/>
              <w:right w:w="100" w:type="dxa"/>
            </w:tcMar>
          </w:tcPr>
          <w:p w14:paraId="448A15EB" w14:textId="77777777" w:rsidR="00783B88" w:rsidRDefault="00000000">
            <w:pPr>
              <w:jc w:val="center"/>
            </w:pPr>
            <w:r>
              <w:t>Majority Target_Churn</w:t>
            </w:r>
          </w:p>
        </w:tc>
        <w:tc>
          <w:tcPr>
            <w:tcW w:w="2500" w:type="dxa"/>
            <w:tcMar>
              <w:top w:w="80" w:type="dxa"/>
              <w:left w:w="100" w:type="dxa"/>
              <w:bottom w:w="80" w:type="dxa"/>
              <w:right w:w="100" w:type="dxa"/>
            </w:tcMar>
          </w:tcPr>
          <w:p w14:paraId="0077C339" w14:textId="77777777" w:rsidR="00783B88" w:rsidRDefault="00000000">
            <w:pPr>
              <w:jc w:val="center"/>
            </w:pPr>
            <w:r>
              <w:t>False</w:t>
            </w:r>
          </w:p>
        </w:tc>
        <w:tc>
          <w:tcPr>
            <w:tcW w:w="2500" w:type="dxa"/>
            <w:tcMar>
              <w:top w:w="80" w:type="dxa"/>
              <w:left w:w="100" w:type="dxa"/>
              <w:bottom w:w="80" w:type="dxa"/>
              <w:right w:w="100" w:type="dxa"/>
            </w:tcMar>
          </w:tcPr>
          <w:p w14:paraId="0D8915EF" w14:textId="77777777" w:rsidR="00783B88" w:rsidRDefault="00000000">
            <w:pPr>
              <w:jc w:val="center"/>
            </w:pPr>
            <w:r>
              <w:t>False</w:t>
            </w:r>
          </w:p>
        </w:tc>
        <w:tc>
          <w:tcPr>
            <w:tcW w:w="2500" w:type="dxa"/>
            <w:tcMar>
              <w:top w:w="80" w:type="dxa"/>
              <w:left w:w="100" w:type="dxa"/>
              <w:bottom w:w="80" w:type="dxa"/>
              <w:right w:w="100" w:type="dxa"/>
            </w:tcMar>
          </w:tcPr>
          <w:p w14:paraId="5F1B3C74" w14:textId="77777777" w:rsidR="00783B88" w:rsidRDefault="00000000">
            <w:pPr>
              <w:jc w:val="center"/>
            </w:pPr>
            <w:r>
              <w:t>True</w:t>
            </w:r>
          </w:p>
        </w:tc>
      </w:tr>
    </w:tbl>
    <w:p w14:paraId="7ED8BBBA" w14:textId="77777777" w:rsidR="00783B88" w:rsidRDefault="00000000">
      <w:pPr>
        <w:pStyle w:val="Heading1"/>
        <w:spacing w:before="300" w:after="120"/>
      </w:pPr>
      <w:bookmarkStart w:id="9" w:name="_Toc235979981"/>
      <w:r>
        <w:rPr>
          <w:b/>
          <w:bCs/>
        </w:rPr>
        <w:t>1.5  Business Recommendations</w:t>
      </w:r>
      <w:bookmarkEnd w:id="9"/>
    </w:p>
    <w:p w14:paraId="5BA6DAE9" w14:textId="77777777" w:rsidR="00783B88" w:rsidRDefault="00000000">
      <w:pPr>
        <w:spacing w:after="160" w:line="276" w:lineRule="auto"/>
        <w:jc w:val="both"/>
      </w:pPr>
      <w:r>
        <w:t xml:space="preserve">Given that even Random Forest, the strongest of the five classifiers, failed to beat the ZeroR baseline, none of the models developed here are ready for production use in automated churn scoring. A more productive next step for the business would be expanding what is captured about each customer in the first place — browsing and clickstream behaviour, cart abandonment, purchase channel, and the text of any complaints — since the </w:t>
      </w:r>
      <w:r>
        <w:lastRenderedPageBreak/>
        <w:t>demographic and transactional fields available in this dataset simply do not carry enough signal to distinguish who leaves from who stays [3].</w:t>
      </w:r>
    </w:p>
    <w:p w14:paraId="2B28FEBA" w14:textId="77777777" w:rsidR="00783B88" w:rsidRDefault="00000000">
      <w:pPr>
        <w:spacing w:after="160" w:line="276" w:lineRule="auto"/>
        <w:jc w:val="both"/>
      </w:pPr>
      <w:r>
        <w:t>That said, the customer segments produced by k-means retain some practical value in their own right, bearing in mind the caveat noted in Section 1.4 that Target_Churn contributed to the distance calculation for this run. Cluster 0 — affluent, the most satisfied of the three groups, and largely retained — merits protection through some form of loyalty recognition, whereas Cluster 2 — the largest group, the lowest-income, and the only one where churners outnumber retained customers — makes a more defensible target for near-term retention activity [7]. Satisfaction score, however, should not be used as an early-warning indicator of churn: both the exploratory comparison in Fig. 6 and the cluster summary in Table II show churn associated with equal or higher satisfaction rather than lower, contrary to the usual assumption. Overall, the sensible path for the organisation is to accept that this dataset cannot yet support reliable churn scoring, and to prioritise gathering richer data before investing further in a deployed model.</w:t>
      </w:r>
    </w:p>
    <w:p w14:paraId="5EC0F67E" w14:textId="77777777" w:rsidR="00783B88" w:rsidRDefault="00000000">
      <w:pPr>
        <w:pStyle w:val="Heading1"/>
        <w:spacing w:before="300" w:after="120"/>
      </w:pPr>
      <w:bookmarkStart w:id="10" w:name="_Toc235979982"/>
      <w:r>
        <w:rPr>
          <w:b/>
          <w:bCs/>
        </w:rPr>
        <w:t>1.6  Reflective Commentary</w:t>
      </w:r>
      <w:bookmarkEnd w:id="10"/>
    </w:p>
    <w:p w14:paraId="2BBD2035" w14:textId="77777777" w:rsidR="00783B88" w:rsidRDefault="00000000">
      <w:pPr>
        <w:spacing w:after="160" w:line="276" w:lineRule="auto"/>
        <w:jc w:val="both"/>
      </w:pPr>
      <w:r>
        <w:t>Purely on the numbers, none of the models performed well: J48, Random Forest, Logistic Regression, and Naïve Bayes all fell short of the 52.6% ZeroR baseline, and two produced a negative Kappa. Even so, I consider the methodology itself — stratified 10-fold cross-validation, five different algorithm families, and evaluating performance through Kappa and ROC Area rather than accuracy alone — to be a genuine strength, precisely because it exposed a null result honestly rather than letting a misleadingly high accuracy figure mask the absence of a working model.</w:t>
      </w:r>
    </w:p>
    <w:p w14:paraId="11896254" w14:textId="77777777" w:rsidR="00783B88" w:rsidRDefault="00000000">
      <w:pPr>
        <w:spacing w:after="160" w:line="276" w:lineRule="auto"/>
        <w:jc w:val="both"/>
      </w:pPr>
      <w:r>
        <w:t>Two limitations in this approach deserve mention. First, no attribute-ranking step (such as Information Gain) and no feature engineering (such as constructing explicit RFM variables or interaction terms) were attempted before the baseline comparison, and every algorithm was run on WEKA's default settings rather than tuned. Second, Target_Churn remained in the attribute set for the SimpleKMeans run reported here rather than being excluded through Ignore attributes, which limits how independently the segmentation result can be interpreted.</w:t>
      </w:r>
    </w:p>
    <w:p w14:paraId="5E8DF885" w14:textId="77777777" w:rsidR="00783B88" w:rsidRDefault="00000000">
      <w:pPr>
        <w:spacing w:after="160" w:line="276" w:lineRule="auto"/>
        <w:jc w:val="both"/>
      </w:pPr>
      <w:r>
        <w:t>Redoing this work, I would run Information Gain ranking before building any model, repeat the clustering with Target_Churn properly excluded, hand-construct RFM-style features, and experiment with both boosting (AdaBoost) and hyperparameter tuning [4]. Stepping back, this exercise taught me that honestly demonstrating an absence of predictive signal is just as valuable a data mining outcome as reporting a high headline accuracy — which is, in fact, the whole point of the CRISP-DM Evaluation phase [1]. More broadly, it left me persuaded that careful evaluation matters as much as the accuracy figure itself once results are meant to inform a real business decision, and that the quality of the underlying data usually has more bearing on the outcome than the particular choice of algorithm.</w:t>
      </w:r>
    </w:p>
    <w:p w14:paraId="0783F584" w14:textId="77777777" w:rsidR="00783B88" w:rsidRDefault="00000000">
      <w:r>
        <w:br w:type="page"/>
      </w:r>
    </w:p>
    <w:p w14:paraId="6C6E6B58" w14:textId="77777777" w:rsidR="00783B88" w:rsidRDefault="00000000">
      <w:pPr>
        <w:pStyle w:val="Heading1"/>
        <w:spacing w:before="300" w:after="120"/>
      </w:pPr>
      <w:bookmarkStart w:id="11" w:name="_Toc235979983"/>
      <w:r>
        <w:rPr>
          <w:b/>
          <w:bCs/>
        </w:rPr>
        <w:lastRenderedPageBreak/>
        <w:t>Appendix A — Supplementary Figures</w:t>
      </w:r>
      <w:bookmarkEnd w:id="11"/>
    </w:p>
    <w:p w14:paraId="6318F71E" w14:textId="77777777" w:rsidR="00783B88" w:rsidRDefault="00000000">
      <w:pPr>
        <w:spacing w:after="160" w:line="276" w:lineRule="auto"/>
        <w:jc w:val="both"/>
      </w:pPr>
      <w:r>
        <w:rPr>
          <w:i/>
          <w:iCs/>
        </w:rPr>
        <w:t>The following figures supplement Section 1.2 and 1.4 and are referenced from the main text; they are not discussed in further detail here to remain within the assessment word limit.</w:t>
      </w:r>
    </w:p>
    <w:p w14:paraId="4FCD2652" w14:textId="77777777" w:rsidR="00783B88" w:rsidRDefault="00000000">
      <w:pPr>
        <w:spacing w:before="200" w:after="80"/>
        <w:jc w:val="center"/>
      </w:pPr>
      <w:r>
        <w:rPr>
          <w:noProof/>
        </w:rPr>
        <w:drawing>
          <wp:inline distT="0" distB="0" distL="0" distR="0" wp14:anchorId="30DDA670" wp14:editId="4246E703">
            <wp:extent cx="3619500" cy="1695450"/>
            <wp:effectExtent l="0" t="0" r="0" b="0"/>
            <wp:docPr id="810519958" name="Picture 8105199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9"/>
                    <a:srcRect/>
                    <a:stretch>
                      <a:fillRect/>
                    </a:stretch>
                  </pic:blipFill>
                  <pic:spPr bwMode="auto">
                    <a:xfrm>
                      <a:off x="0" y="0"/>
                      <a:ext cx="3619500" cy="1695450"/>
                    </a:xfrm>
                    <a:prstGeom prst="rect">
                      <a:avLst/>
                    </a:prstGeom>
                  </pic:spPr>
                </pic:pic>
              </a:graphicData>
            </a:graphic>
          </wp:inline>
        </w:drawing>
      </w:r>
    </w:p>
    <w:p w14:paraId="0C43EB43" w14:textId="77777777" w:rsidR="00783B88" w:rsidRDefault="00000000">
      <w:pPr>
        <w:spacing w:after="200"/>
        <w:jc w:val="center"/>
      </w:pPr>
      <w:r>
        <w:rPr>
          <w:i/>
          <w:iCs/>
        </w:rPr>
        <w:t>Fig. A1. Average customer spending by churn status: £4,994 (No Churn) vs £5,159 (Churn).</w:t>
      </w:r>
    </w:p>
    <w:p w14:paraId="24A52A28" w14:textId="77777777" w:rsidR="00783B88" w:rsidRDefault="00000000">
      <w:pPr>
        <w:spacing w:before="200" w:after="80"/>
        <w:jc w:val="center"/>
      </w:pPr>
      <w:r>
        <w:rPr>
          <w:noProof/>
        </w:rPr>
        <w:drawing>
          <wp:inline distT="0" distB="0" distL="0" distR="0" wp14:anchorId="35192D24" wp14:editId="21E589C2">
            <wp:extent cx="3619500" cy="1695450"/>
            <wp:effectExtent l="0" t="0" r="0" b="0"/>
            <wp:docPr id="1972347297" name="Picture 19723472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0"/>
                    <a:srcRect/>
                    <a:stretch>
                      <a:fillRect/>
                    </a:stretch>
                  </pic:blipFill>
                  <pic:spPr bwMode="auto">
                    <a:xfrm>
                      <a:off x="0" y="0"/>
                      <a:ext cx="3619500" cy="1695450"/>
                    </a:xfrm>
                    <a:prstGeom prst="rect">
                      <a:avLst/>
                    </a:prstGeom>
                  </pic:spPr>
                </pic:pic>
              </a:graphicData>
            </a:graphic>
          </wp:inline>
        </w:drawing>
      </w:r>
    </w:p>
    <w:p w14:paraId="6F4EF893" w14:textId="77777777" w:rsidR="00783B88" w:rsidRDefault="00000000">
      <w:pPr>
        <w:spacing w:after="200"/>
        <w:jc w:val="center"/>
      </w:pPr>
      <w:r>
        <w:rPr>
          <w:i/>
          <w:iCs/>
        </w:rPr>
        <w:t>Fig. A2. Average customer tenure (years) by churn status: 9.90 (No Churn) vs 9.57 (Churn).</w:t>
      </w:r>
    </w:p>
    <w:p w14:paraId="43A31A82" w14:textId="77777777" w:rsidR="00783B88" w:rsidRDefault="00000000">
      <w:pPr>
        <w:spacing w:before="200" w:after="80"/>
        <w:jc w:val="center"/>
      </w:pPr>
      <w:r>
        <w:rPr>
          <w:noProof/>
        </w:rPr>
        <w:drawing>
          <wp:inline distT="0" distB="0" distL="0" distR="0" wp14:anchorId="7DE29C7B" wp14:editId="799A260C">
            <wp:extent cx="3619500" cy="1695450"/>
            <wp:effectExtent l="0" t="0" r="0" b="0"/>
            <wp:docPr id="758620974" name="Picture 7586209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1"/>
                    <a:srcRect/>
                    <a:stretch>
                      <a:fillRect/>
                    </a:stretch>
                  </pic:blipFill>
                  <pic:spPr bwMode="auto">
                    <a:xfrm>
                      <a:off x="0" y="0"/>
                      <a:ext cx="3619500" cy="1695450"/>
                    </a:xfrm>
                    <a:prstGeom prst="rect">
                      <a:avLst/>
                    </a:prstGeom>
                  </pic:spPr>
                </pic:pic>
              </a:graphicData>
            </a:graphic>
          </wp:inline>
        </w:drawing>
      </w:r>
    </w:p>
    <w:p w14:paraId="633CD7D9" w14:textId="77777777" w:rsidR="00783B88" w:rsidRDefault="00000000">
      <w:pPr>
        <w:spacing w:after="200"/>
        <w:jc w:val="center"/>
      </w:pPr>
      <w:r>
        <w:rPr>
          <w:i/>
          <w:iCs/>
        </w:rPr>
        <w:t>Fig. A3. Average number of purchases by churn status: 50.44 (No Churn) vs 48.57 (Churn).</w:t>
      </w:r>
    </w:p>
    <w:p w14:paraId="30318BE1" w14:textId="77777777" w:rsidR="00783B88" w:rsidRDefault="00000000">
      <w:pPr>
        <w:spacing w:before="200" w:after="80"/>
        <w:jc w:val="center"/>
      </w:pPr>
      <w:r>
        <w:rPr>
          <w:noProof/>
        </w:rPr>
        <w:drawing>
          <wp:inline distT="0" distB="0" distL="0" distR="0" wp14:anchorId="29B294DE" wp14:editId="4305E1E3">
            <wp:extent cx="3619500" cy="1695450"/>
            <wp:effectExtent l="0" t="0" r="0" b="0"/>
            <wp:docPr id="1205266689" name="Picture 12052666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2"/>
                    <a:srcRect/>
                    <a:stretch>
                      <a:fillRect/>
                    </a:stretch>
                  </pic:blipFill>
                  <pic:spPr bwMode="auto">
                    <a:xfrm>
                      <a:off x="0" y="0"/>
                      <a:ext cx="3619500" cy="1695450"/>
                    </a:xfrm>
                    <a:prstGeom prst="rect">
                      <a:avLst/>
                    </a:prstGeom>
                  </pic:spPr>
                </pic:pic>
              </a:graphicData>
            </a:graphic>
          </wp:inline>
        </w:drawing>
      </w:r>
    </w:p>
    <w:p w14:paraId="77D00DBA" w14:textId="77777777" w:rsidR="00783B88" w:rsidRDefault="00000000">
      <w:pPr>
        <w:spacing w:after="200"/>
        <w:jc w:val="center"/>
      </w:pPr>
      <w:r>
        <w:rPr>
          <w:i/>
          <w:iCs/>
        </w:rPr>
        <w:t>Fig. A4. Average number of support contacts by churn status: 1.92 (No Churn) vs 1.95 (Churn).</w:t>
      </w:r>
    </w:p>
    <w:p w14:paraId="03AB945B" w14:textId="77777777" w:rsidR="00783B88" w:rsidRDefault="00000000">
      <w:pPr>
        <w:spacing w:before="200" w:after="80"/>
        <w:jc w:val="center"/>
      </w:pPr>
      <w:r>
        <w:rPr>
          <w:noProof/>
        </w:rPr>
        <w:lastRenderedPageBreak/>
        <w:drawing>
          <wp:inline distT="0" distB="0" distL="0" distR="0" wp14:anchorId="53B7A81E" wp14:editId="47B95AE5">
            <wp:extent cx="4191000" cy="2362200"/>
            <wp:effectExtent l="0" t="0" r="0" b="0"/>
            <wp:docPr id="361812499" name="Picture 3618124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3"/>
                    <a:srcRect/>
                    <a:stretch>
                      <a:fillRect/>
                    </a:stretch>
                  </pic:blipFill>
                  <pic:spPr bwMode="auto">
                    <a:xfrm>
                      <a:off x="0" y="0"/>
                      <a:ext cx="4191000" cy="2362200"/>
                    </a:xfrm>
                    <a:prstGeom prst="rect">
                      <a:avLst/>
                    </a:prstGeom>
                  </pic:spPr>
                </pic:pic>
              </a:graphicData>
            </a:graphic>
          </wp:inline>
        </w:drawing>
      </w:r>
    </w:p>
    <w:p w14:paraId="68671D3B" w14:textId="77777777" w:rsidR="00783B88" w:rsidRDefault="00000000">
      <w:pPr>
        <w:spacing w:after="200"/>
        <w:jc w:val="center"/>
      </w:pPr>
      <w:r>
        <w:rPr>
          <w:i/>
          <w:iCs/>
        </w:rPr>
        <w:t>Fig. A5. Naïve Bayes — conditional attribute statistics by class; 48.8% accuracy, Kappa −0.046 (10-fold CV).</w:t>
      </w:r>
    </w:p>
    <w:p w14:paraId="56D946C9" w14:textId="77777777" w:rsidR="00783B88" w:rsidRDefault="00000000">
      <w:r>
        <w:br w:type="page"/>
      </w:r>
    </w:p>
    <w:p w14:paraId="687D6B81" w14:textId="77777777" w:rsidR="00783B88" w:rsidRDefault="00000000">
      <w:pPr>
        <w:pStyle w:val="Heading1"/>
        <w:spacing w:before="300" w:after="120"/>
      </w:pPr>
      <w:bookmarkStart w:id="12" w:name="_Toc235979984"/>
      <w:r>
        <w:rPr>
          <w:b/>
          <w:bCs/>
        </w:rPr>
        <w:lastRenderedPageBreak/>
        <w:t>References</w:t>
      </w:r>
      <w:bookmarkEnd w:id="12"/>
    </w:p>
    <w:p w14:paraId="2E920F94" w14:textId="77777777" w:rsidR="00783B88" w:rsidRDefault="00000000">
      <w:pPr>
        <w:spacing w:after="140"/>
        <w:ind w:left="400" w:hanging="400"/>
      </w:pPr>
      <w:r>
        <w:t>[1] C. Schröer, F. Kruse, and J. M. Gómez, "A systematic literature review on applying CRISP-DM process model," Procedia Computer Science, vol. 181, pp. 526–534, 2021.</w:t>
      </w:r>
    </w:p>
    <w:p w14:paraId="346C60D5" w14:textId="77777777" w:rsidR="00783B88" w:rsidRDefault="00000000">
      <w:pPr>
        <w:spacing w:after="140"/>
        <w:ind w:left="400" w:hanging="400"/>
      </w:pPr>
      <w:r>
        <w:t xml:space="preserve">[2] K. C. Mouli, C. V. Raghavendran, V. Y. Bharadwaj, G. Y. </w:t>
      </w:r>
      <w:proofErr w:type="spellStart"/>
      <w:r>
        <w:t>Vybhavi</w:t>
      </w:r>
      <w:proofErr w:type="spellEnd"/>
      <w:r>
        <w:t xml:space="preserve">, C. Sravani, K. M. </w:t>
      </w:r>
      <w:proofErr w:type="spellStart"/>
      <w:r>
        <w:t>Vafaeva</w:t>
      </w:r>
      <w:proofErr w:type="spellEnd"/>
      <w:r>
        <w:t xml:space="preserve">, R. </w:t>
      </w:r>
      <w:proofErr w:type="spellStart"/>
      <w:r>
        <w:t>Deorari</w:t>
      </w:r>
      <w:proofErr w:type="spellEnd"/>
      <w:r>
        <w:t>, and L. Hussein, "An analysis on classification models for customer churn prediction," Cogent Engineering, vol. 11, no. 1, art. 2378877, 2024.</w:t>
      </w:r>
    </w:p>
    <w:p w14:paraId="3CCB8A78" w14:textId="77777777" w:rsidR="00783B88" w:rsidRDefault="00000000">
      <w:pPr>
        <w:spacing w:after="140"/>
        <w:ind w:left="400" w:hanging="400"/>
      </w:pPr>
      <w:r>
        <w:t>[3] A. Manzoor, M. A. Qureshi, E. Kidney, and L. Longo, "A review on machine learning methods for customer churn prediction and recommendations for business practitioners," IEEE Access, vol. 12, pp. 70434–70463, 2024.</w:t>
      </w:r>
    </w:p>
    <w:p w14:paraId="678BF52F" w14:textId="77777777" w:rsidR="00783B88" w:rsidRDefault="00000000">
      <w:pPr>
        <w:spacing w:after="140"/>
        <w:ind w:left="400" w:hanging="400"/>
      </w:pPr>
      <w:r>
        <w:t>[4] Y. Bao and S. Yang, "Two novel SMOTE methods for solving imbalanced classification problems," IEEE Access, vol. 11, pp. 5816–5823, 2023.</w:t>
      </w:r>
    </w:p>
    <w:p w14:paraId="7F49F2DF" w14:textId="77777777" w:rsidR="00783B88" w:rsidRDefault="00000000">
      <w:pPr>
        <w:spacing w:after="140"/>
        <w:ind w:left="400" w:hanging="400"/>
      </w:pPr>
      <w:r>
        <w:t xml:space="preserve">[5] V. Chang, K. Hall, Q. A. Xu, F. O. Amao, M. A. Ganatra, and V. Benson, "Prediction of customer churn </w:t>
      </w:r>
      <w:proofErr w:type="spellStart"/>
      <w:r>
        <w:t>behavior</w:t>
      </w:r>
      <w:proofErr w:type="spellEnd"/>
      <w:r>
        <w:t xml:space="preserve"> in the telecommunication industry using machine learning models," Algorithms, vol. 17, no. 6, art. 231, 2024.</w:t>
      </w:r>
    </w:p>
    <w:p w14:paraId="52F75D4E" w14:textId="77777777" w:rsidR="00783B88" w:rsidRDefault="00000000">
      <w:pPr>
        <w:spacing w:after="140"/>
        <w:ind w:left="400" w:hanging="400"/>
      </w:pPr>
      <w:r>
        <w:t xml:space="preserve">[6] S. M. S. </w:t>
      </w:r>
      <w:proofErr w:type="spellStart"/>
      <w:r>
        <w:t>Mirabdolbaghi</w:t>
      </w:r>
      <w:proofErr w:type="spellEnd"/>
      <w:r>
        <w:t xml:space="preserve"> and B. Amiri, "Model optimization analysis of customer churn prediction using machine learning algorithms with focus on feature reductions," Discrete Dynamics in Nature and Society, vol. 2022, art. 5134356, 2022.</w:t>
      </w:r>
    </w:p>
    <w:p w14:paraId="76C362C2" w14:textId="77777777" w:rsidR="00783B88" w:rsidRDefault="00000000">
      <w:pPr>
        <w:spacing w:after="140"/>
        <w:ind w:left="400" w:hanging="400"/>
      </w:pPr>
      <w:r>
        <w:t xml:space="preserve">[7] O. N. Akande, E. O. Asani, and B. T. </w:t>
      </w:r>
      <w:proofErr w:type="spellStart"/>
      <w:r>
        <w:t>Dautare</w:t>
      </w:r>
      <w:proofErr w:type="spellEnd"/>
      <w:r>
        <w:t xml:space="preserve">, "Customer segmentation through RFM analysis and K-means clustering: Leveraging data-driven insights for effective marketing strategy," </w:t>
      </w:r>
      <w:proofErr w:type="spellStart"/>
      <w:r>
        <w:t>Ceddi</w:t>
      </w:r>
      <w:proofErr w:type="spellEnd"/>
      <w:r>
        <w:t xml:space="preserve"> Journal of Information System and Technology (JST), vol. 3, no. 1, pp. 14–25, 2024.</w:t>
      </w:r>
    </w:p>
    <w:p w14:paraId="40B09C1F" w14:textId="77777777" w:rsidR="00783B88" w:rsidRDefault="00000000">
      <w:pPr>
        <w:spacing w:after="140"/>
        <w:ind w:left="400" w:hanging="400"/>
      </w:pPr>
      <w:r>
        <w:t xml:space="preserve">[8] D. Chicco and G. Jurman, "The Matthews correlation coefficient (MCC) should replace the ROC AUC as the standard metric for assessing binary classification," </w:t>
      </w:r>
      <w:proofErr w:type="spellStart"/>
      <w:r>
        <w:t>BioData</w:t>
      </w:r>
      <w:proofErr w:type="spellEnd"/>
      <w:r>
        <w:t xml:space="preserve"> Mining, vol. 16, art. 4, 2023.</w:t>
      </w:r>
    </w:p>
    <w:sectPr w:rsidR="00783B88">
      <w:headerReference w:type="default" r:id="rId24"/>
      <w:footerReference w:type="default" r:id="rId25"/>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A6C629" w14:textId="77777777" w:rsidR="0056435F" w:rsidRDefault="0056435F">
      <w:r>
        <w:separator/>
      </w:r>
    </w:p>
  </w:endnote>
  <w:endnote w:type="continuationSeparator" w:id="0">
    <w:p w14:paraId="3A3AFC7C" w14:textId="77777777" w:rsidR="0056435F" w:rsidRDefault="0056435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4FBEEB" w14:textId="77777777" w:rsidR="00783B88" w:rsidRDefault="00000000">
    <w:pPr>
      <w:jc w:val="center"/>
    </w:pPr>
    <w:r>
      <w:rPr>
        <w:color w:val="808080"/>
        <w:sz w:val="18"/>
        <w:szCs w:val="18"/>
      </w:rPr>
      <w:t xml:space="preserve">Page </w:t>
    </w:r>
    <w:r>
      <w:rPr>
        <w:color w:val="808080"/>
        <w:sz w:val="18"/>
        <w:szCs w:val="18"/>
      </w:rPr>
      <w:fldChar w:fldCharType="begin"/>
    </w:r>
    <w:r>
      <w:rPr>
        <w:color w:val="808080"/>
        <w:sz w:val="18"/>
        <w:szCs w:val="18"/>
      </w:rPr>
      <w:instrText>PAGE</w:instrText>
    </w:r>
    <w:r>
      <w:rPr>
        <w:color w:val="808080"/>
        <w:sz w:val="18"/>
        <w:szCs w:val="18"/>
      </w:rPr>
      <w:fldChar w:fldCharType="separate"/>
    </w:r>
    <w:r w:rsidR="00AA71CC">
      <w:rPr>
        <w:noProof/>
        <w:color w:val="808080"/>
        <w:sz w:val="18"/>
        <w:szCs w:val="18"/>
      </w:rPr>
      <w:t>1</w:t>
    </w:r>
    <w:r>
      <w:rPr>
        <w:color w:val="808080"/>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C5FBE7" w14:textId="77777777" w:rsidR="0056435F" w:rsidRDefault="0056435F">
      <w:r>
        <w:separator/>
      </w:r>
    </w:p>
  </w:footnote>
  <w:footnote w:type="continuationSeparator" w:id="0">
    <w:p w14:paraId="3CF80DF0" w14:textId="77777777" w:rsidR="0056435F" w:rsidRDefault="0056435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F97BE2" w14:textId="77777777" w:rsidR="00783B88" w:rsidRDefault="00000000">
    <w:pPr>
      <w:jc w:val="right"/>
    </w:pPr>
    <w:r>
      <w:rPr>
        <w:color w:val="808080"/>
        <w:sz w:val="18"/>
        <w:szCs w:val="18"/>
      </w:rPr>
      <w:t>ACCA6026: Data Mining – Assessment 2 Report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6D1B00"/>
    <w:multiLevelType w:val="hybridMultilevel"/>
    <w:tmpl w:val="06F8A66A"/>
    <w:lvl w:ilvl="0" w:tplc="B25C0F0A">
      <w:start w:val="1"/>
      <w:numFmt w:val="bullet"/>
      <w:lvlText w:val="●"/>
      <w:lvlJc w:val="left"/>
      <w:pPr>
        <w:ind w:left="720" w:hanging="360"/>
      </w:pPr>
    </w:lvl>
    <w:lvl w:ilvl="1" w:tplc="5EB6CD98">
      <w:start w:val="1"/>
      <w:numFmt w:val="bullet"/>
      <w:lvlText w:val="○"/>
      <w:lvlJc w:val="left"/>
      <w:pPr>
        <w:ind w:left="1440" w:hanging="360"/>
      </w:pPr>
    </w:lvl>
    <w:lvl w:ilvl="2" w:tplc="CB80946C">
      <w:start w:val="1"/>
      <w:numFmt w:val="bullet"/>
      <w:lvlText w:val="■"/>
      <w:lvlJc w:val="left"/>
      <w:pPr>
        <w:ind w:left="2160" w:hanging="360"/>
      </w:pPr>
    </w:lvl>
    <w:lvl w:ilvl="3" w:tplc="5CF6ADBC">
      <w:start w:val="1"/>
      <w:numFmt w:val="bullet"/>
      <w:lvlText w:val="●"/>
      <w:lvlJc w:val="left"/>
      <w:pPr>
        <w:ind w:left="2880" w:hanging="360"/>
      </w:pPr>
    </w:lvl>
    <w:lvl w:ilvl="4" w:tplc="8D7A2486">
      <w:start w:val="1"/>
      <w:numFmt w:val="bullet"/>
      <w:lvlText w:val="○"/>
      <w:lvlJc w:val="left"/>
      <w:pPr>
        <w:ind w:left="3600" w:hanging="360"/>
      </w:pPr>
    </w:lvl>
    <w:lvl w:ilvl="5" w:tplc="835A97B4">
      <w:start w:val="1"/>
      <w:numFmt w:val="bullet"/>
      <w:lvlText w:val="■"/>
      <w:lvlJc w:val="left"/>
      <w:pPr>
        <w:ind w:left="4320" w:hanging="360"/>
      </w:pPr>
    </w:lvl>
    <w:lvl w:ilvl="6" w:tplc="4BCA08A2">
      <w:start w:val="1"/>
      <w:numFmt w:val="bullet"/>
      <w:lvlText w:val="●"/>
      <w:lvlJc w:val="left"/>
      <w:pPr>
        <w:ind w:left="5040" w:hanging="360"/>
      </w:pPr>
    </w:lvl>
    <w:lvl w:ilvl="7" w:tplc="6D78F420">
      <w:start w:val="1"/>
      <w:numFmt w:val="bullet"/>
      <w:lvlText w:val="●"/>
      <w:lvlJc w:val="left"/>
      <w:pPr>
        <w:ind w:left="5760" w:hanging="360"/>
      </w:pPr>
    </w:lvl>
    <w:lvl w:ilvl="8" w:tplc="036473D2">
      <w:start w:val="1"/>
      <w:numFmt w:val="bullet"/>
      <w:lvlText w:val="●"/>
      <w:lvlJc w:val="left"/>
      <w:pPr>
        <w:ind w:left="6480" w:hanging="360"/>
      </w:pPr>
    </w:lvl>
  </w:abstractNum>
  <w:num w:numId="1" w16cid:durableId="1466313874">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83B88"/>
    <w:rsid w:val="0056435F"/>
    <w:rsid w:val="00783B88"/>
    <w:rsid w:val="009A5DC7"/>
    <w:rsid w:val="009D0B8F"/>
    <w:rsid w:val="009F02E8"/>
    <w:rsid w:val="00AA71CC"/>
    <w:rsid w:val="00DB38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DF79A5"/>
  <w15:docId w15:val="{A0D6EE28-1018-491D-939B-695E336EEC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style>
  <w:style w:type="character" w:customStyle="1" w:styleId="EndnoteTextChar">
    <w:name w:val="Endnote Text Char"/>
    <w:link w:val="EndnoteText"/>
    <w:uiPriority w:val="99"/>
    <w:semiHidden/>
    <w:unhideWhenUsed/>
    <w:rPr>
      <w:sz w:val="20"/>
      <w:szCs w:val="20"/>
    </w:rPr>
  </w:style>
  <w:style w:type="paragraph" w:styleId="TOCHeading">
    <w:name w:val="TOC Heading"/>
    <w:basedOn w:val="Heading1"/>
    <w:next w:val="Normal"/>
    <w:uiPriority w:val="39"/>
    <w:unhideWhenUsed/>
    <w:qFormat/>
    <w:rsid w:val="009D0B8F"/>
    <w:pPr>
      <w:keepNext/>
      <w:keepLines/>
      <w:spacing w:before="240" w:line="259" w:lineRule="auto"/>
      <w:outlineLvl w:val="9"/>
    </w:pPr>
    <w:rPr>
      <w:rFonts w:asciiTheme="majorHAnsi" w:eastAsiaTheme="majorEastAsia" w:hAnsiTheme="majorHAnsi" w:cstheme="majorBidi"/>
      <w:color w:val="2F5496" w:themeColor="accent1" w:themeShade="BF"/>
      <w:lang w:val="en-US" w:eastAsia="en-US"/>
    </w:rPr>
  </w:style>
  <w:style w:type="paragraph" w:styleId="TOC1">
    <w:name w:val="toc 1"/>
    <w:basedOn w:val="Normal"/>
    <w:next w:val="Normal"/>
    <w:autoRedefine/>
    <w:uiPriority w:val="39"/>
    <w:unhideWhenUsed/>
    <w:rsid w:val="009D0B8F"/>
    <w:pPr>
      <w:spacing w:after="100"/>
    </w:pPr>
  </w:style>
  <w:style w:type="paragraph" w:styleId="TOC2">
    <w:name w:val="toc 2"/>
    <w:basedOn w:val="Normal"/>
    <w:next w:val="Normal"/>
    <w:autoRedefine/>
    <w:uiPriority w:val="39"/>
    <w:unhideWhenUsed/>
    <w:rsid w:val="009D0B8F"/>
    <w:pPr>
      <w:spacing w:after="100"/>
      <w:ind w:left="2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BB9E69-86A0-4943-AE19-CBB7A99121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3273</Words>
  <Characters>18659</Characters>
  <Application>Microsoft Office Word</Application>
  <DocSecurity>0</DocSecurity>
  <Lines>155</Lines>
  <Paragraphs>43</Paragraphs>
  <ScaleCrop>false</ScaleCrop>
  <Company/>
  <LinksUpToDate>false</LinksUpToDate>
  <CharactersWithSpaces>21889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Mirela Balabanova</cp:lastModifiedBy>
  <cp:revision>2</cp:revision>
  <dcterms:created xsi:type="dcterms:W3CDTF">2026-07-28T13:16:00Z</dcterms:created>
  <dcterms:modified xsi:type="dcterms:W3CDTF">2026-07-28T13:16:00Z</dcterms:modified>
</cp:coreProperties>
</file>