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193D9" w14:textId="77777777" w:rsidR="009B6C5D" w:rsidRDefault="009B6C5D" w:rsidP="00106DD5">
      <w:pPr>
        <w:rPr>
          <w:b/>
          <w:sz w:val="32"/>
          <w:szCs w:val="32"/>
        </w:rPr>
      </w:pPr>
    </w:p>
    <w:p w14:paraId="2A71BA23" w14:textId="77777777" w:rsidR="009B6C5D" w:rsidRDefault="009B6C5D">
      <w:pPr>
        <w:jc w:val="center"/>
        <w:rPr>
          <w:b/>
          <w:sz w:val="32"/>
          <w:szCs w:val="32"/>
        </w:rPr>
      </w:pPr>
    </w:p>
    <w:p w14:paraId="67FE9413" w14:textId="77777777" w:rsidR="009B6C5D" w:rsidRDefault="009B6C5D">
      <w:pPr>
        <w:jc w:val="center"/>
        <w:rPr>
          <w:b/>
          <w:sz w:val="32"/>
          <w:szCs w:val="32"/>
        </w:rPr>
      </w:pPr>
    </w:p>
    <w:p w14:paraId="333EEA47" w14:textId="77777777" w:rsidR="00B505C2" w:rsidRDefault="00B505C2" w:rsidP="00B505C2">
      <w:pPr>
        <w:spacing w:line="720" w:lineRule="auto"/>
        <w:jc w:val="center"/>
        <w:rPr>
          <w:b/>
          <w:sz w:val="32"/>
          <w:szCs w:val="32"/>
        </w:rPr>
      </w:pPr>
      <w:bookmarkStart w:id="0" w:name="_heading=h.bc3peaj5yqu1" w:colFirst="0" w:colLast="0"/>
      <w:bookmarkEnd w:id="0"/>
      <w:r>
        <w:rPr>
          <w:b/>
          <w:sz w:val="32"/>
          <w:szCs w:val="32"/>
        </w:rPr>
        <w:t>Student Name: Irene Nakimera</w:t>
      </w:r>
    </w:p>
    <w:p w14:paraId="5AA8DB49" w14:textId="04AFE866" w:rsidR="00B505C2" w:rsidRDefault="00B505C2" w:rsidP="00B505C2">
      <w:pPr>
        <w:spacing w:line="720" w:lineRule="auto"/>
        <w:jc w:val="center"/>
        <w:rPr>
          <w:b/>
          <w:sz w:val="32"/>
          <w:szCs w:val="32"/>
        </w:rPr>
      </w:pPr>
      <w:r>
        <w:rPr>
          <w:b/>
          <w:sz w:val="32"/>
          <w:szCs w:val="32"/>
        </w:rPr>
        <w:t>Student No; 2244610</w:t>
      </w:r>
      <w:r w:rsidR="00000000">
        <w:rPr>
          <w:b/>
          <w:sz w:val="32"/>
          <w:szCs w:val="32"/>
        </w:rPr>
        <w:br/>
        <w:t xml:space="preserve">Hospitality &amp; Guest Services </w:t>
      </w:r>
    </w:p>
    <w:p w14:paraId="540027C9" w14:textId="77777777" w:rsidR="00B505C2" w:rsidRDefault="00B505C2" w:rsidP="00B505C2">
      <w:pPr>
        <w:spacing w:line="720" w:lineRule="auto"/>
        <w:jc w:val="center"/>
        <w:rPr>
          <w:b/>
          <w:sz w:val="32"/>
          <w:szCs w:val="32"/>
        </w:rPr>
      </w:pPr>
      <w:r>
        <w:rPr>
          <w:b/>
          <w:sz w:val="32"/>
          <w:szCs w:val="32"/>
        </w:rPr>
        <w:t xml:space="preserve">Module code: </w:t>
      </w:r>
      <w:r>
        <w:rPr>
          <w:b/>
          <w:sz w:val="32"/>
          <w:szCs w:val="32"/>
        </w:rPr>
        <w:t>BMIH4003</w:t>
      </w:r>
      <w:r w:rsidR="00000000">
        <w:rPr>
          <w:b/>
          <w:sz w:val="32"/>
          <w:szCs w:val="32"/>
        </w:rPr>
        <w:br/>
        <w:t>Module Lead: Charlotte Joyner</w:t>
      </w:r>
    </w:p>
    <w:p w14:paraId="2C83820F" w14:textId="79F8AC8A" w:rsidR="009B6C5D" w:rsidRPr="00B505C2" w:rsidRDefault="00000000" w:rsidP="00B505C2">
      <w:pPr>
        <w:jc w:val="center"/>
        <w:rPr>
          <w:b/>
          <w:sz w:val="32"/>
          <w:szCs w:val="32"/>
        </w:rPr>
      </w:pPr>
      <w:r>
        <w:rPr>
          <w:b/>
          <w:sz w:val="32"/>
          <w:szCs w:val="32"/>
        </w:rPr>
        <w:br/>
      </w:r>
    </w:p>
    <w:p w14:paraId="4C21352B" w14:textId="77777777" w:rsidR="009B6C5D" w:rsidRDefault="009B6C5D">
      <w:pPr>
        <w:jc w:val="center"/>
        <w:rPr>
          <w:b/>
          <w:sz w:val="32"/>
          <w:szCs w:val="32"/>
        </w:rPr>
      </w:pPr>
    </w:p>
    <w:p w14:paraId="3101838B" w14:textId="77777777" w:rsidR="009B6C5D" w:rsidRDefault="009B6C5D">
      <w:pPr>
        <w:jc w:val="center"/>
        <w:rPr>
          <w:b/>
          <w:sz w:val="32"/>
          <w:szCs w:val="32"/>
        </w:rPr>
      </w:pPr>
    </w:p>
    <w:p w14:paraId="22204BEE" w14:textId="77777777" w:rsidR="009B6C5D" w:rsidRDefault="009B6C5D">
      <w:pPr>
        <w:jc w:val="center"/>
        <w:rPr>
          <w:b/>
          <w:sz w:val="32"/>
          <w:szCs w:val="32"/>
        </w:rPr>
      </w:pPr>
    </w:p>
    <w:p w14:paraId="4C0DBA88" w14:textId="77777777" w:rsidR="009B6C5D" w:rsidRDefault="00000000">
      <w:pPr>
        <w:jc w:val="center"/>
        <w:rPr>
          <w:rFonts w:ascii="Calibri" w:eastAsia="Calibri" w:hAnsi="Calibri" w:cs="Calibri"/>
          <w:color w:val="366091"/>
          <w:sz w:val="32"/>
          <w:szCs w:val="32"/>
        </w:rPr>
      </w:pPr>
      <w:r>
        <w:br w:type="page"/>
      </w:r>
    </w:p>
    <w:p w14:paraId="45B9E1C7" w14:textId="77777777" w:rsidR="009B6C5D" w:rsidRDefault="00000000">
      <w:pPr>
        <w:keepNext/>
        <w:keepLines/>
        <w:spacing w:before="240" w:line="259" w:lineRule="auto"/>
        <w:jc w:val="center"/>
        <w:rPr>
          <w:b/>
          <w:color w:val="000000"/>
          <w:sz w:val="28"/>
          <w:szCs w:val="28"/>
        </w:rPr>
      </w:pPr>
      <w:r>
        <w:rPr>
          <w:b/>
          <w:color w:val="000000"/>
          <w:sz w:val="28"/>
          <w:szCs w:val="28"/>
        </w:rPr>
        <w:lastRenderedPageBreak/>
        <w:t>Table of Contents</w:t>
      </w:r>
    </w:p>
    <w:sdt>
      <w:sdtPr>
        <w:id w:val="2014030948"/>
        <w:docPartObj>
          <w:docPartGallery w:val="Table of Contents"/>
          <w:docPartUnique/>
        </w:docPartObj>
      </w:sdtPr>
      <w:sdtContent>
        <w:p w14:paraId="07175821" w14:textId="77777777" w:rsidR="009B6C5D" w:rsidRDefault="00000000">
          <w:pPr>
            <w:pStyle w:val="TOC1"/>
            <w:tabs>
              <w:tab w:val="right" w:leader="dot" w:pos="9350"/>
            </w:tabs>
            <w:rPr>
              <w:rFonts w:asciiTheme="minorHAnsi" w:eastAsiaTheme="minorEastAsia" w:hAnsiTheme="minorHAnsi" w:cstheme="minorBidi"/>
              <w:kern w:val="2"/>
              <w:sz w:val="22"/>
              <w:szCs w:val="22"/>
              <w:lang w:val="en-GB" w:eastAsia="en-GB"/>
              <w14:ligatures w14:val="standardContextual"/>
            </w:rPr>
          </w:pPr>
          <w:r>
            <w:fldChar w:fldCharType="begin"/>
          </w:r>
          <w:r>
            <w:instrText xml:space="preserve"> TOC \h \u \z \t "Heading 1,1,Heading 2,2,Heading 3,3,"</w:instrText>
          </w:r>
          <w:r>
            <w:fldChar w:fldCharType="separate"/>
          </w:r>
          <w:hyperlink w:anchor="_Toc147225788" w:history="1">
            <w:r>
              <w:rPr>
                <w:rStyle w:val="Hyperlink"/>
              </w:rPr>
              <w:t>Assignment 2: The importance of effectively monitoring guest service approaches</w:t>
            </w:r>
            <w:r>
              <w:tab/>
            </w:r>
            <w:r>
              <w:fldChar w:fldCharType="begin"/>
            </w:r>
            <w:r>
              <w:instrText xml:space="preserve"> PAGEREF _Toc147225788 \h </w:instrText>
            </w:r>
            <w:r>
              <w:fldChar w:fldCharType="separate"/>
            </w:r>
            <w:r>
              <w:t>3</w:t>
            </w:r>
            <w:r>
              <w:fldChar w:fldCharType="end"/>
            </w:r>
          </w:hyperlink>
        </w:p>
        <w:p w14:paraId="259C8C62" w14:textId="77777777" w:rsidR="009B6C5D" w:rsidRDefault="00000000">
          <w:pPr>
            <w:pStyle w:val="TOC2"/>
            <w:tabs>
              <w:tab w:val="right" w:leader="dot" w:pos="9350"/>
            </w:tabs>
            <w:rPr>
              <w:rFonts w:asciiTheme="minorHAnsi" w:eastAsiaTheme="minorEastAsia" w:hAnsiTheme="minorHAnsi" w:cstheme="minorBidi"/>
              <w:kern w:val="2"/>
              <w:sz w:val="22"/>
              <w:szCs w:val="22"/>
              <w:lang w:val="en-GB" w:eastAsia="en-GB"/>
              <w14:ligatures w14:val="standardContextual"/>
            </w:rPr>
          </w:pPr>
          <w:hyperlink w:anchor="_Toc147225789" w:history="1">
            <w:r>
              <w:rPr>
                <w:rStyle w:val="Hyperlink"/>
              </w:rPr>
              <w:t>Executive Summary</w:t>
            </w:r>
            <w:r>
              <w:tab/>
            </w:r>
            <w:r>
              <w:fldChar w:fldCharType="begin"/>
            </w:r>
            <w:r>
              <w:instrText xml:space="preserve"> PAGEREF _Toc147225789 \h </w:instrText>
            </w:r>
            <w:r>
              <w:fldChar w:fldCharType="separate"/>
            </w:r>
            <w:r>
              <w:t>4</w:t>
            </w:r>
            <w:r>
              <w:fldChar w:fldCharType="end"/>
            </w:r>
          </w:hyperlink>
        </w:p>
        <w:p w14:paraId="01C24D65" w14:textId="77777777" w:rsidR="009B6C5D" w:rsidRDefault="00000000">
          <w:pPr>
            <w:pStyle w:val="TOC2"/>
            <w:tabs>
              <w:tab w:val="right" w:leader="dot" w:pos="9350"/>
            </w:tabs>
            <w:rPr>
              <w:rFonts w:asciiTheme="minorHAnsi" w:eastAsiaTheme="minorEastAsia" w:hAnsiTheme="minorHAnsi" w:cstheme="minorBidi"/>
              <w:kern w:val="2"/>
              <w:sz w:val="22"/>
              <w:szCs w:val="22"/>
              <w:lang w:val="en-GB" w:eastAsia="en-GB"/>
              <w14:ligatures w14:val="standardContextual"/>
            </w:rPr>
          </w:pPr>
          <w:hyperlink w:anchor="_Toc147225790" w:history="1">
            <w:r>
              <w:rPr>
                <w:rStyle w:val="Hyperlink"/>
              </w:rPr>
              <w:t>Introduction</w:t>
            </w:r>
            <w:r>
              <w:tab/>
            </w:r>
            <w:r>
              <w:fldChar w:fldCharType="begin"/>
            </w:r>
            <w:r>
              <w:instrText xml:space="preserve"> PAGEREF _Toc147225790 \h </w:instrText>
            </w:r>
            <w:r>
              <w:fldChar w:fldCharType="separate"/>
            </w:r>
            <w:r>
              <w:t>5</w:t>
            </w:r>
            <w:r>
              <w:fldChar w:fldCharType="end"/>
            </w:r>
          </w:hyperlink>
        </w:p>
        <w:p w14:paraId="161FBB3D" w14:textId="77777777" w:rsidR="009B6C5D" w:rsidRDefault="00000000">
          <w:pPr>
            <w:pStyle w:val="TOC2"/>
            <w:tabs>
              <w:tab w:val="right" w:leader="dot" w:pos="9350"/>
            </w:tabs>
            <w:rPr>
              <w:rFonts w:asciiTheme="minorHAnsi" w:eastAsiaTheme="minorEastAsia" w:hAnsiTheme="minorHAnsi" w:cstheme="minorBidi"/>
              <w:kern w:val="2"/>
              <w:sz w:val="22"/>
              <w:szCs w:val="22"/>
              <w:lang w:val="en-GB" w:eastAsia="en-GB"/>
              <w14:ligatures w14:val="standardContextual"/>
            </w:rPr>
          </w:pPr>
          <w:hyperlink w:anchor="_Toc147225791" w:history="1">
            <w:r>
              <w:rPr>
                <w:rStyle w:val="Hyperlink"/>
              </w:rPr>
              <w:t>Main Findings</w:t>
            </w:r>
            <w:r>
              <w:tab/>
            </w:r>
            <w:r>
              <w:fldChar w:fldCharType="begin"/>
            </w:r>
            <w:r>
              <w:instrText xml:space="preserve"> PAGEREF _Toc147225791 \h </w:instrText>
            </w:r>
            <w:r>
              <w:fldChar w:fldCharType="separate"/>
            </w:r>
            <w:r>
              <w:t>5</w:t>
            </w:r>
            <w:r>
              <w:fldChar w:fldCharType="end"/>
            </w:r>
          </w:hyperlink>
        </w:p>
        <w:p w14:paraId="5A5ED8B2" w14:textId="77777777" w:rsidR="009B6C5D" w:rsidRDefault="00000000">
          <w:pPr>
            <w:pStyle w:val="TOC3"/>
            <w:tabs>
              <w:tab w:val="right" w:leader="dot" w:pos="9350"/>
            </w:tabs>
            <w:rPr>
              <w:rFonts w:asciiTheme="minorHAnsi" w:eastAsiaTheme="minorEastAsia" w:hAnsiTheme="minorHAnsi" w:cstheme="minorBidi"/>
              <w:kern w:val="2"/>
              <w:sz w:val="22"/>
              <w:szCs w:val="22"/>
              <w:lang w:val="en-GB" w:eastAsia="en-GB"/>
              <w14:ligatures w14:val="standardContextual"/>
            </w:rPr>
          </w:pPr>
          <w:hyperlink w:anchor="_Toc147225792" w:history="1">
            <w:r>
              <w:rPr>
                <w:rStyle w:val="Hyperlink"/>
              </w:rPr>
              <w:t>Reputation Management</w:t>
            </w:r>
            <w:r>
              <w:tab/>
            </w:r>
            <w:r>
              <w:fldChar w:fldCharType="begin"/>
            </w:r>
            <w:r>
              <w:instrText xml:space="preserve"> PAGEREF _Toc147225792 \h </w:instrText>
            </w:r>
            <w:r>
              <w:fldChar w:fldCharType="separate"/>
            </w:r>
            <w:r>
              <w:t>5</w:t>
            </w:r>
            <w:r>
              <w:fldChar w:fldCharType="end"/>
            </w:r>
          </w:hyperlink>
        </w:p>
        <w:p w14:paraId="03AC04BA" w14:textId="77777777" w:rsidR="009B6C5D" w:rsidRDefault="00000000">
          <w:pPr>
            <w:pStyle w:val="TOC3"/>
            <w:tabs>
              <w:tab w:val="right" w:leader="dot" w:pos="9350"/>
            </w:tabs>
            <w:rPr>
              <w:rFonts w:asciiTheme="minorHAnsi" w:eastAsiaTheme="minorEastAsia" w:hAnsiTheme="minorHAnsi" w:cstheme="minorBidi"/>
              <w:kern w:val="2"/>
              <w:sz w:val="22"/>
              <w:szCs w:val="22"/>
              <w:lang w:val="en-GB" w:eastAsia="en-GB"/>
              <w14:ligatures w14:val="standardContextual"/>
            </w:rPr>
          </w:pPr>
          <w:hyperlink w:anchor="_Toc147225793" w:history="1">
            <w:r>
              <w:rPr>
                <w:rStyle w:val="Hyperlink"/>
              </w:rPr>
              <w:t>Service Culture</w:t>
            </w:r>
            <w:r>
              <w:tab/>
            </w:r>
            <w:r>
              <w:fldChar w:fldCharType="begin"/>
            </w:r>
            <w:r>
              <w:instrText xml:space="preserve"> PAGEREF _Toc147225793 \h </w:instrText>
            </w:r>
            <w:r>
              <w:fldChar w:fldCharType="separate"/>
            </w:r>
            <w:r>
              <w:t>6</w:t>
            </w:r>
            <w:r>
              <w:fldChar w:fldCharType="end"/>
            </w:r>
          </w:hyperlink>
        </w:p>
        <w:p w14:paraId="793E01CC" w14:textId="77777777" w:rsidR="009B6C5D" w:rsidRDefault="00000000">
          <w:pPr>
            <w:pStyle w:val="TOC3"/>
            <w:tabs>
              <w:tab w:val="right" w:leader="dot" w:pos="9350"/>
            </w:tabs>
            <w:rPr>
              <w:rFonts w:asciiTheme="minorHAnsi" w:eastAsiaTheme="minorEastAsia" w:hAnsiTheme="minorHAnsi" w:cstheme="minorBidi"/>
              <w:kern w:val="2"/>
              <w:sz w:val="22"/>
              <w:szCs w:val="22"/>
              <w:lang w:val="en-GB" w:eastAsia="en-GB"/>
              <w14:ligatures w14:val="standardContextual"/>
            </w:rPr>
          </w:pPr>
          <w:hyperlink w:anchor="_Toc147225794" w:history="1">
            <w:r>
              <w:rPr>
                <w:rStyle w:val="Hyperlink"/>
              </w:rPr>
              <w:t>Brand Consistency</w:t>
            </w:r>
            <w:r>
              <w:tab/>
            </w:r>
            <w:r>
              <w:fldChar w:fldCharType="begin"/>
            </w:r>
            <w:r>
              <w:instrText xml:space="preserve"> PAGEREF _Toc147225794 \h </w:instrText>
            </w:r>
            <w:r>
              <w:fldChar w:fldCharType="separate"/>
            </w:r>
            <w:r>
              <w:t>6</w:t>
            </w:r>
            <w:r>
              <w:fldChar w:fldCharType="end"/>
            </w:r>
          </w:hyperlink>
        </w:p>
        <w:p w14:paraId="5AD7F215" w14:textId="77777777" w:rsidR="009B6C5D" w:rsidRDefault="00000000">
          <w:pPr>
            <w:pStyle w:val="TOC3"/>
            <w:tabs>
              <w:tab w:val="right" w:leader="dot" w:pos="9350"/>
            </w:tabs>
            <w:rPr>
              <w:rFonts w:asciiTheme="minorHAnsi" w:eastAsiaTheme="minorEastAsia" w:hAnsiTheme="minorHAnsi" w:cstheme="minorBidi"/>
              <w:kern w:val="2"/>
              <w:sz w:val="22"/>
              <w:szCs w:val="22"/>
              <w:lang w:val="en-GB" w:eastAsia="en-GB"/>
              <w14:ligatures w14:val="standardContextual"/>
            </w:rPr>
          </w:pPr>
          <w:hyperlink w:anchor="_Toc147225795" w:history="1">
            <w:r>
              <w:rPr>
                <w:rStyle w:val="Hyperlink"/>
              </w:rPr>
              <w:t>Hotel Standards</w:t>
            </w:r>
            <w:r>
              <w:tab/>
            </w:r>
            <w:r>
              <w:fldChar w:fldCharType="begin"/>
            </w:r>
            <w:r>
              <w:instrText xml:space="preserve"> PAGEREF _Toc147225795 \h </w:instrText>
            </w:r>
            <w:r>
              <w:fldChar w:fldCharType="separate"/>
            </w:r>
            <w:r>
              <w:t>8</w:t>
            </w:r>
            <w:r>
              <w:fldChar w:fldCharType="end"/>
            </w:r>
          </w:hyperlink>
        </w:p>
        <w:p w14:paraId="296EFCF3" w14:textId="77777777" w:rsidR="009B6C5D" w:rsidRDefault="00000000">
          <w:pPr>
            <w:pStyle w:val="TOC2"/>
            <w:tabs>
              <w:tab w:val="right" w:leader="dot" w:pos="9350"/>
            </w:tabs>
            <w:rPr>
              <w:rFonts w:asciiTheme="minorHAnsi" w:eastAsiaTheme="minorEastAsia" w:hAnsiTheme="minorHAnsi" w:cstheme="minorBidi"/>
              <w:kern w:val="2"/>
              <w:sz w:val="22"/>
              <w:szCs w:val="22"/>
              <w:lang w:val="en-GB" w:eastAsia="en-GB"/>
              <w14:ligatures w14:val="standardContextual"/>
            </w:rPr>
          </w:pPr>
          <w:hyperlink w:anchor="_Toc147225796" w:history="1">
            <w:r>
              <w:rPr>
                <w:rStyle w:val="Hyperlink"/>
              </w:rPr>
              <w:t>Conclusion</w:t>
            </w:r>
            <w:r>
              <w:tab/>
            </w:r>
            <w:r>
              <w:fldChar w:fldCharType="begin"/>
            </w:r>
            <w:r>
              <w:instrText xml:space="preserve"> PAGEREF _Toc147225796 \h </w:instrText>
            </w:r>
            <w:r>
              <w:fldChar w:fldCharType="separate"/>
            </w:r>
            <w:r>
              <w:t>9</w:t>
            </w:r>
            <w:r>
              <w:fldChar w:fldCharType="end"/>
            </w:r>
          </w:hyperlink>
        </w:p>
        <w:p w14:paraId="21EAD0A5" w14:textId="77777777" w:rsidR="009B6C5D" w:rsidRDefault="00000000">
          <w:pPr>
            <w:pStyle w:val="TOC2"/>
            <w:tabs>
              <w:tab w:val="right" w:leader="dot" w:pos="9350"/>
            </w:tabs>
            <w:rPr>
              <w:rFonts w:asciiTheme="minorHAnsi" w:eastAsiaTheme="minorEastAsia" w:hAnsiTheme="minorHAnsi" w:cstheme="minorBidi"/>
              <w:kern w:val="2"/>
              <w:sz w:val="22"/>
              <w:szCs w:val="22"/>
              <w:lang w:val="en-GB" w:eastAsia="en-GB"/>
              <w14:ligatures w14:val="standardContextual"/>
            </w:rPr>
          </w:pPr>
          <w:hyperlink w:anchor="_Toc147225797" w:history="1">
            <w:r>
              <w:rPr>
                <w:rStyle w:val="Hyperlink"/>
              </w:rPr>
              <w:t>Recommendations</w:t>
            </w:r>
            <w:r>
              <w:tab/>
            </w:r>
            <w:r>
              <w:fldChar w:fldCharType="begin"/>
            </w:r>
            <w:r>
              <w:instrText xml:space="preserve"> PAGEREF _Toc147225797 \h </w:instrText>
            </w:r>
            <w:r>
              <w:fldChar w:fldCharType="separate"/>
            </w:r>
            <w:r>
              <w:t>9</w:t>
            </w:r>
            <w:r>
              <w:fldChar w:fldCharType="end"/>
            </w:r>
          </w:hyperlink>
        </w:p>
        <w:p w14:paraId="4852FFAA" w14:textId="77777777" w:rsidR="009B6C5D" w:rsidRDefault="00000000">
          <w:pPr>
            <w:pStyle w:val="TOC1"/>
            <w:tabs>
              <w:tab w:val="right" w:leader="dot" w:pos="9350"/>
            </w:tabs>
            <w:rPr>
              <w:rFonts w:asciiTheme="minorHAnsi" w:eastAsiaTheme="minorEastAsia" w:hAnsiTheme="minorHAnsi" w:cstheme="minorBidi"/>
              <w:kern w:val="2"/>
              <w:sz w:val="22"/>
              <w:szCs w:val="22"/>
              <w:lang w:val="en-GB" w:eastAsia="en-GB"/>
              <w14:ligatures w14:val="standardContextual"/>
            </w:rPr>
          </w:pPr>
          <w:hyperlink w:anchor="_Toc147225798" w:history="1">
            <w:r>
              <w:rPr>
                <w:rStyle w:val="Hyperlink"/>
              </w:rPr>
              <w:t>Reference list</w:t>
            </w:r>
            <w:r>
              <w:tab/>
            </w:r>
            <w:r>
              <w:fldChar w:fldCharType="begin"/>
            </w:r>
            <w:r>
              <w:instrText xml:space="preserve"> PAGEREF _Toc147225798 \h </w:instrText>
            </w:r>
            <w:r>
              <w:fldChar w:fldCharType="separate"/>
            </w:r>
            <w:r>
              <w:t>11</w:t>
            </w:r>
            <w:r>
              <w:fldChar w:fldCharType="end"/>
            </w:r>
          </w:hyperlink>
        </w:p>
        <w:p w14:paraId="3326FFAA" w14:textId="77777777" w:rsidR="009B6C5D" w:rsidRDefault="00000000">
          <w:r>
            <w:fldChar w:fldCharType="end"/>
          </w:r>
        </w:p>
      </w:sdtContent>
    </w:sdt>
    <w:p w14:paraId="7A2AED9A" w14:textId="77777777" w:rsidR="009B6C5D" w:rsidRDefault="009B6C5D">
      <w:pPr>
        <w:keepNext/>
        <w:keepLines/>
        <w:spacing w:before="240"/>
        <w:jc w:val="left"/>
        <w:rPr>
          <w:rFonts w:ascii="Calibri" w:eastAsia="Calibri" w:hAnsi="Calibri" w:cs="Calibri"/>
          <w:color w:val="366091"/>
          <w:sz w:val="32"/>
          <w:szCs w:val="32"/>
        </w:rPr>
      </w:pPr>
    </w:p>
    <w:p w14:paraId="5BEA2CC6" w14:textId="77777777" w:rsidR="009B6C5D" w:rsidRDefault="00000000">
      <w:r>
        <w:br w:type="page"/>
      </w:r>
    </w:p>
    <w:p w14:paraId="0FE1E049" w14:textId="77777777" w:rsidR="009B6C5D" w:rsidRDefault="00000000" w:rsidP="00106DD5">
      <w:pPr>
        <w:pStyle w:val="Heading1"/>
      </w:pPr>
      <w:bookmarkStart w:id="1" w:name="_heading=h.1bhmmn81tzc5" w:colFirst="0" w:colLast="0"/>
      <w:bookmarkStart w:id="2" w:name="_heading=h.fcesf6w5ix8t" w:colFirst="0" w:colLast="0"/>
      <w:bookmarkStart w:id="3" w:name="_Toc147225788"/>
      <w:bookmarkEnd w:id="1"/>
      <w:bookmarkEnd w:id="2"/>
      <w:r>
        <w:lastRenderedPageBreak/>
        <w:t>Assignment 2: The importance of effectively monitoring guest service approaches</w:t>
      </w:r>
      <w:bookmarkEnd w:id="3"/>
    </w:p>
    <w:p w14:paraId="508315FF" w14:textId="17B762BA" w:rsidR="009B6C5D" w:rsidRPr="00106DD5" w:rsidRDefault="00000000" w:rsidP="00106DD5">
      <w:pPr>
        <w:pStyle w:val="Heading2"/>
      </w:pPr>
      <w:bookmarkStart w:id="4" w:name="_heading=h.31q7p666a9z5" w:colFirst="0" w:colLast="0"/>
      <w:bookmarkStart w:id="5" w:name="_heading=h.4kckkhob2975" w:colFirst="0" w:colLast="0"/>
      <w:bookmarkStart w:id="6" w:name="_heading=h.3z3nl777cvhk" w:colFirst="0" w:colLast="0"/>
      <w:bookmarkStart w:id="7" w:name="_Toc147225798"/>
      <w:bookmarkEnd w:id="4"/>
      <w:bookmarkEnd w:id="5"/>
      <w:bookmarkEnd w:id="6"/>
      <w:r>
        <w:rPr>
          <w:b w:val="0"/>
          <w:sz w:val="24"/>
          <w:szCs w:val="24"/>
        </w:rPr>
        <w:t>The goal of this introductory part is to provide a high-level overview of the subject at hand.</w:t>
      </w:r>
    </w:p>
    <w:p w14:paraId="4FEFBB37" w14:textId="77777777" w:rsidR="009B6C5D" w:rsidRDefault="00000000">
      <w:pPr>
        <w:pStyle w:val="Heading1"/>
        <w:rPr>
          <w:b w:val="0"/>
          <w:bCs w:val="0"/>
          <w:sz w:val="24"/>
          <w:szCs w:val="24"/>
        </w:rPr>
      </w:pPr>
      <w:r>
        <w:rPr>
          <w:b w:val="0"/>
          <w:bCs w:val="0"/>
          <w:sz w:val="24"/>
          <w:szCs w:val="24"/>
        </w:rPr>
        <w:t>The provision of high-quality guest service is an important aspect of the hotel industry. The emphasis is on increasing the overall enjoyment of visitors or customers by providing efficient and effective customer service. This adds to the improvement of their lodging experiences (Baek et al., 2020). The provision of customer demand in a competitive market helps to enhance brand awareness and sustain the reputation of the hotel industry, hence encouraging increased engagement in this sector. The current study intends to investigate several aspects of guest services, such as reputation management, service culture, brand consistency, and hotel standards. The goal is to determine the effectiveness of customer or visitor service in promoting the success of the hotel industry.</w:t>
      </w:r>
    </w:p>
    <w:p w14:paraId="3AEE162E" w14:textId="77777777" w:rsidR="009B6C5D" w:rsidRDefault="00000000">
      <w:pPr>
        <w:pStyle w:val="Heading1"/>
        <w:rPr>
          <w:b w:val="0"/>
          <w:bCs w:val="0"/>
          <w:sz w:val="24"/>
          <w:szCs w:val="24"/>
        </w:rPr>
      </w:pPr>
      <w:r>
        <w:rPr>
          <w:b w:val="0"/>
          <w:bCs w:val="0"/>
          <w:sz w:val="24"/>
          <w:szCs w:val="24"/>
        </w:rPr>
        <w:t>The fundamental discoveries</w:t>
      </w:r>
    </w:p>
    <w:p w14:paraId="5AD5BD73" w14:textId="77777777" w:rsidR="009B6C5D" w:rsidRDefault="00000000">
      <w:pPr>
        <w:pStyle w:val="Heading1"/>
        <w:rPr>
          <w:b w:val="0"/>
          <w:bCs w:val="0"/>
          <w:sz w:val="24"/>
          <w:szCs w:val="24"/>
        </w:rPr>
      </w:pPr>
      <w:r>
        <w:rPr>
          <w:b w:val="0"/>
          <w:bCs w:val="0"/>
          <w:sz w:val="24"/>
          <w:szCs w:val="24"/>
        </w:rPr>
        <w:t>The technique of strategically monitoring, influencing, and controlling an individual's or organization's perception and image is referred to as reputation management.</w:t>
      </w:r>
    </w:p>
    <w:p w14:paraId="54D1BD57" w14:textId="77777777" w:rsidR="009B6C5D" w:rsidRDefault="00000000">
      <w:pPr>
        <w:pStyle w:val="Heading1"/>
        <w:rPr>
          <w:b w:val="0"/>
          <w:bCs w:val="0"/>
          <w:sz w:val="24"/>
          <w:szCs w:val="24"/>
        </w:rPr>
      </w:pPr>
      <w:r>
        <w:rPr>
          <w:b w:val="0"/>
          <w:bCs w:val="0"/>
          <w:sz w:val="24"/>
          <w:szCs w:val="24"/>
        </w:rPr>
        <w:lastRenderedPageBreak/>
        <w:t xml:space="preserve">To effectively manage reputation in the highly competitive hotel sector, it is critical to participate in thorough monitoring of guest service strategies. This strategy guarantees that visitor issues are resolved quickly, preventing the escalation of potential negative comments. Positive visitor experiences can be highlighted in marketing activities, reinforcing the internet reputation through remarkable testimonies and reviews (Lucas, 2022). Furthermore, organisations can employ data-driven insights obtained from this approach to correctly identify and alter areas that have been missing in advancement, increasing long-term visitor happiness and developing a highly recognised reputation. Maintaining consistent service quality across all touchpoints builds trust among visitors and distinguishes the company from competition. The </w:t>
      </w:r>
      <w:proofErr w:type="gramStart"/>
      <w:r>
        <w:rPr>
          <w:b w:val="0"/>
          <w:bCs w:val="0"/>
          <w:sz w:val="24"/>
          <w:szCs w:val="24"/>
        </w:rPr>
        <w:t>aforementioned planned</w:t>
      </w:r>
      <w:proofErr w:type="gramEnd"/>
      <w:r>
        <w:rPr>
          <w:b w:val="0"/>
          <w:bCs w:val="0"/>
          <w:sz w:val="24"/>
          <w:szCs w:val="24"/>
        </w:rPr>
        <w:t xml:space="preserve"> protocol, in conjunction with skilled emergency management, protects the company's reputation under adverse circumstances. A solid reputation gives you a competitive advantage and leverages word-of-mouth marketing, which leads to satisfied customers becoming advocates. Over time, the introduction of interactive duties through online assessments strengthens the commitment to visitor happiness, thereby influencing future clients who conduct online research about the company (Raman, 2019). The correct monitoring of guest service techniques is inextricably linked to reputation management, which is critical in developing a lucrative and esteemed presence in the ever-changing hospitality industry. Many hotels and restaurants in the United Kingdom use sites like TripAdvisor to collect tourist feedback and manage their reputation. Hotels monitor visitor evaluations and ratings, allowing them to actively respond to both positive and negative comments. </w:t>
      </w:r>
    </w:p>
    <w:p w14:paraId="0D59A746" w14:textId="77777777" w:rsidR="009B6C5D" w:rsidRDefault="00000000">
      <w:pPr>
        <w:pStyle w:val="Heading1"/>
        <w:rPr>
          <w:b w:val="0"/>
          <w:bCs w:val="0"/>
          <w:sz w:val="24"/>
          <w:szCs w:val="24"/>
        </w:rPr>
      </w:pPr>
      <w:r>
        <w:rPr>
          <w:b w:val="0"/>
          <w:bCs w:val="0"/>
          <w:sz w:val="24"/>
          <w:szCs w:val="24"/>
        </w:rPr>
        <w:t>Service culture refers to the attitudes, beliefs, and practises that exist inside a business that prioritise and promote great customer service. It</w:t>
      </w:r>
    </w:p>
    <w:p w14:paraId="4372D4CA" w14:textId="77777777" w:rsidR="009B6C5D" w:rsidRDefault="00000000">
      <w:pPr>
        <w:pStyle w:val="Heading1"/>
        <w:rPr>
          <w:b w:val="0"/>
          <w:bCs w:val="0"/>
          <w:sz w:val="24"/>
          <w:szCs w:val="24"/>
        </w:rPr>
      </w:pPr>
      <w:r>
        <w:rPr>
          <w:b w:val="0"/>
          <w:bCs w:val="0"/>
          <w:sz w:val="24"/>
          <w:szCs w:val="24"/>
        </w:rPr>
        <w:lastRenderedPageBreak/>
        <w:t xml:space="preserve">In the hotel business, the importance of closely monitoring guest service techniques is intimately related to the creation of a strong service culture. The culture in question is critical to an establishment's capacity to continually provide outstanding experiences to their customers. To begin, it is critical to have a clearly defined service culture that ensures all team members have a thorough grasp and internalisation of the organization's values and principles relevant to achieving excellent service quality (Tien et al., 2021). The development of a shared understanding serves as the foundation for all interactions with visitors to be consistent with pre-established service norms. Furthermore, a staff that is empowered and actively involved in cultural aspects, nurtured by a sense of oneness, will </w:t>
      </w:r>
      <w:proofErr w:type="gramStart"/>
      <w:r>
        <w:rPr>
          <w:b w:val="0"/>
          <w:bCs w:val="0"/>
          <w:sz w:val="24"/>
          <w:szCs w:val="24"/>
        </w:rPr>
        <w:t>definitely embrace</w:t>
      </w:r>
      <w:proofErr w:type="gramEnd"/>
      <w:r>
        <w:rPr>
          <w:b w:val="0"/>
          <w:bCs w:val="0"/>
          <w:sz w:val="24"/>
          <w:szCs w:val="24"/>
        </w:rPr>
        <w:t xml:space="preserve"> responsibility for assuring visitor contentment. When employees feel a strong sense of purpose in providing excellent service, they are more likely to participate in the process of assessing client service approaches. They provide relevant information and comments based on their immediate interactions with guests. Furthermore, implementing a service culture generates an environment of continuous development, driving personnel to continuously seek chances to improve overall visitor satisfaction. Monitoring guest service techniques is not viewed as an unusual task, but rather as a continual responsibility aimed at improving and growing services to match with guest preferences and adapt to changing industry trends. Developing a service-oriented culture requires ensuring uniformity throughout the organisation (Rahi et al., 2020). When all members within an organisation, from front-line employees to those in management roles, are committed to a shared vision of providing exceptional service, it ensures a constant level of service quality across the entire institution. Monitoring guest service practises </w:t>
      </w:r>
      <w:proofErr w:type="gramStart"/>
      <w:r>
        <w:rPr>
          <w:b w:val="0"/>
          <w:bCs w:val="0"/>
          <w:sz w:val="24"/>
          <w:szCs w:val="24"/>
        </w:rPr>
        <w:t>in a given</w:t>
      </w:r>
      <w:proofErr w:type="gramEnd"/>
      <w:r>
        <w:rPr>
          <w:b w:val="0"/>
          <w:bCs w:val="0"/>
          <w:sz w:val="24"/>
          <w:szCs w:val="24"/>
        </w:rPr>
        <w:t xml:space="preserve"> setting contributes to long-term improvements due to the group obligation to maintain consistency. The Ritz London is well-known for its outstanding service culture. Employee training and regular performance evaluations are used to check guest service approaches on a regular basis. </w:t>
      </w:r>
    </w:p>
    <w:p w14:paraId="275A113E" w14:textId="77777777" w:rsidR="009B6C5D" w:rsidRDefault="00000000">
      <w:pPr>
        <w:pStyle w:val="Heading1"/>
        <w:rPr>
          <w:b w:val="0"/>
          <w:bCs w:val="0"/>
          <w:sz w:val="24"/>
          <w:szCs w:val="24"/>
        </w:rPr>
      </w:pPr>
      <w:r>
        <w:rPr>
          <w:b w:val="0"/>
          <w:bCs w:val="0"/>
          <w:sz w:val="24"/>
          <w:szCs w:val="24"/>
        </w:rPr>
        <w:t xml:space="preserve">The activity of keeping a consistent and unified brand image across all platforms and touchpoints is referred to as brand consistency. It </w:t>
      </w:r>
      <w:proofErr w:type="gramStart"/>
      <w:r>
        <w:rPr>
          <w:b w:val="0"/>
          <w:bCs w:val="0"/>
          <w:sz w:val="24"/>
          <w:szCs w:val="24"/>
        </w:rPr>
        <w:t>entails</w:t>
      </w:r>
      <w:proofErr w:type="gramEnd"/>
    </w:p>
    <w:p w14:paraId="4554326B" w14:textId="77777777" w:rsidR="009B6C5D" w:rsidRDefault="00000000">
      <w:pPr>
        <w:pStyle w:val="Heading1"/>
        <w:rPr>
          <w:b w:val="0"/>
          <w:bCs w:val="0"/>
          <w:sz w:val="24"/>
          <w:szCs w:val="24"/>
        </w:rPr>
      </w:pPr>
      <w:r>
        <w:rPr>
          <w:b w:val="0"/>
          <w:bCs w:val="0"/>
          <w:sz w:val="24"/>
          <w:szCs w:val="24"/>
        </w:rPr>
        <w:lastRenderedPageBreak/>
        <w:t xml:space="preserve">The need of effectively monitoring guest service initiatives in the ever-changing area of the hospitality business is inextricably tied to the maintenance of brand consistency. In today's world, when guest experiences are inextricably linked to a brand's identity, it is critical to prioritise efficacy at all points of interaction. To begin, the concept of brand consistency, as defined by Li et al. (2021), refers to the alignment of every guest contact with the declared brand values and promises. </w:t>
      </w:r>
      <w:proofErr w:type="gramStart"/>
      <w:r>
        <w:rPr>
          <w:b w:val="0"/>
          <w:bCs w:val="0"/>
          <w:sz w:val="24"/>
          <w:szCs w:val="24"/>
        </w:rPr>
        <w:t>In order to</w:t>
      </w:r>
      <w:proofErr w:type="gramEnd"/>
      <w:r>
        <w:rPr>
          <w:b w:val="0"/>
          <w:bCs w:val="0"/>
          <w:sz w:val="24"/>
          <w:szCs w:val="24"/>
        </w:rPr>
        <w:t xml:space="preserve"> sustain constant brand awareness and create a robust and coherent visitor experience, efficient monitoring measures for guest service approaches must be implemented. Whether guests contact with the brand online, interact with on-site employees, or use various amenities, it is critical that their experience is consistent with the company's basic values. Furthermore, establishing brand consistency builds trust and reliability. The choosing of a specific brand gives guests confidence because they know what to expect in the future. Monitoring guest service approaches is critical in ensuring that services correspond to the brand's quality and service standards, hence reinforcing the brand's consistency. Furthermore, maintaining brand consistency serves as a distinguishing characteristic that separates a hospitality firm from its competitors. When a brand develops a reputation for continuously providing a distinct and unique experience, it gains a reputation that its customers recognise and respect. Implementing rigorous monitoring procedures ensures that the brand's distinct characteristics are consistently maintained, providing customers with a compelling reason to choose it over competing options in a competitive market. As a result, consistency creates the idea of brand dependability. Guests that had positive and noticeable experiences are more likely to become loyal promoters. Monitoring guest service approaches allows for the specific identification of areas where consistency may vary and permits the implementation of necessary measures to ensure visitor satisfaction. Travelodge is a well-known low-cost hotel chain in the United Kingdom, according to Nordheim et al. (2019). The corporation places a high value on brand consistency across </w:t>
      </w:r>
      <w:proofErr w:type="gramStart"/>
      <w:r>
        <w:rPr>
          <w:b w:val="0"/>
          <w:bCs w:val="0"/>
          <w:sz w:val="24"/>
          <w:szCs w:val="24"/>
        </w:rPr>
        <w:t>all of</w:t>
      </w:r>
      <w:proofErr w:type="gramEnd"/>
      <w:r>
        <w:rPr>
          <w:b w:val="0"/>
          <w:bCs w:val="0"/>
          <w:sz w:val="24"/>
          <w:szCs w:val="24"/>
        </w:rPr>
        <w:t xml:space="preserve"> its properties. </w:t>
      </w:r>
      <w:proofErr w:type="gramStart"/>
      <w:r>
        <w:rPr>
          <w:b w:val="0"/>
          <w:bCs w:val="0"/>
          <w:sz w:val="24"/>
          <w:szCs w:val="24"/>
        </w:rPr>
        <w:t>In order to</w:t>
      </w:r>
      <w:proofErr w:type="gramEnd"/>
      <w:r>
        <w:rPr>
          <w:b w:val="0"/>
          <w:bCs w:val="0"/>
          <w:sz w:val="24"/>
          <w:szCs w:val="24"/>
        </w:rPr>
        <w:t xml:space="preserve"> boost brand equity, the Keller customer-based Brand Equity Model emphasises the importance of developing and managing brand consistency. According to the proposed model, maintaining brand consistency has a favourable impact on numerous aspects of a brand, including brand awareness, brand image, brand meaning, and brand resonance. Furthermore, it has been discovered that brand resonance</w:t>
      </w:r>
      <w:proofErr w:type="gramStart"/>
      <w:r>
        <w:rPr>
          <w:b w:val="0"/>
          <w:bCs w:val="0"/>
          <w:sz w:val="24"/>
          <w:szCs w:val="24"/>
        </w:rPr>
        <w:t>, in particular, has</w:t>
      </w:r>
      <w:proofErr w:type="gramEnd"/>
      <w:r>
        <w:rPr>
          <w:b w:val="0"/>
          <w:bCs w:val="0"/>
          <w:sz w:val="24"/>
          <w:szCs w:val="24"/>
        </w:rPr>
        <w:t xml:space="preserve"> the ability to dramatically influence a brand's overall worth.</w:t>
      </w:r>
    </w:p>
    <w:p w14:paraId="4A1F03DE" w14:textId="77777777" w:rsidR="009B6C5D" w:rsidRDefault="009B6C5D">
      <w:pPr>
        <w:pStyle w:val="Heading1"/>
        <w:rPr>
          <w:b w:val="0"/>
          <w:bCs w:val="0"/>
          <w:sz w:val="24"/>
          <w:szCs w:val="24"/>
        </w:rPr>
      </w:pPr>
    </w:p>
    <w:p w14:paraId="22E4430D" w14:textId="77777777" w:rsidR="009B6C5D" w:rsidRDefault="00000000">
      <w:pPr>
        <w:pStyle w:val="Heading1"/>
        <w:rPr>
          <w:b w:val="0"/>
          <w:bCs w:val="0"/>
          <w:sz w:val="24"/>
          <w:szCs w:val="24"/>
        </w:rPr>
      </w:pPr>
      <w:r>
        <w:rPr>
          <w:b w:val="0"/>
          <w:bCs w:val="0"/>
          <w:sz w:val="24"/>
          <w:szCs w:val="24"/>
        </w:rPr>
        <w:t>The subject under consideration is hotel standards.</w:t>
      </w:r>
    </w:p>
    <w:p w14:paraId="29ED16AD" w14:textId="77777777" w:rsidR="009B6C5D" w:rsidRDefault="00000000">
      <w:pPr>
        <w:pStyle w:val="Heading1"/>
        <w:rPr>
          <w:b w:val="0"/>
          <w:bCs w:val="0"/>
          <w:sz w:val="24"/>
          <w:szCs w:val="24"/>
        </w:rPr>
      </w:pPr>
      <w:r>
        <w:rPr>
          <w:b w:val="0"/>
          <w:bCs w:val="0"/>
          <w:sz w:val="24"/>
          <w:szCs w:val="24"/>
        </w:rPr>
        <w:t xml:space="preserve">The effective management of guest engagement methods is critical to a hotel's ability to maintain and surpass its standards. The </w:t>
      </w:r>
      <w:proofErr w:type="gramStart"/>
      <w:r>
        <w:rPr>
          <w:b w:val="0"/>
          <w:bCs w:val="0"/>
          <w:sz w:val="24"/>
          <w:szCs w:val="24"/>
        </w:rPr>
        <w:t>aforementioned standards</w:t>
      </w:r>
      <w:proofErr w:type="gramEnd"/>
      <w:r>
        <w:rPr>
          <w:b w:val="0"/>
          <w:bCs w:val="0"/>
          <w:sz w:val="24"/>
          <w:szCs w:val="24"/>
        </w:rPr>
        <w:t xml:space="preserve"> form the foundation of the hospitality industry, establishing the level of excellence and affinity that consumers can expect throughout their stay (</w:t>
      </w:r>
      <w:proofErr w:type="spellStart"/>
      <w:r>
        <w:rPr>
          <w:b w:val="0"/>
          <w:bCs w:val="0"/>
          <w:sz w:val="24"/>
          <w:szCs w:val="24"/>
        </w:rPr>
        <w:t>Alshuridehet</w:t>
      </w:r>
      <w:proofErr w:type="spellEnd"/>
      <w:r>
        <w:rPr>
          <w:b w:val="0"/>
          <w:bCs w:val="0"/>
          <w:sz w:val="24"/>
          <w:szCs w:val="24"/>
        </w:rPr>
        <w:t xml:space="preserve"> al., 2022). Implementing guest association techniques guarantees that stated standards are followed consistently and, if necessary, modified. The primary goal is to ensure that each guest's investment matches with the hotel's established standards, while also being mindful of the hotel's image and maintaining a constant level of commitment. Furthermore, the use of monitoring systems enables hotels to analyse passenger satisfaction in real-time, allowing the deployment of data-driven tactics to improve the overall guest experience and potentially exceed their expectations. Monitoring efficacy is directly related to several essential variables, including quick issue resolution, adaptability to changing visitor expectations, operational efficiency, expert preparation, and brand promotion (</w:t>
      </w:r>
      <w:proofErr w:type="spellStart"/>
      <w:r>
        <w:rPr>
          <w:b w:val="0"/>
          <w:bCs w:val="0"/>
          <w:sz w:val="24"/>
          <w:szCs w:val="24"/>
        </w:rPr>
        <w:t>Buhaliset</w:t>
      </w:r>
      <w:proofErr w:type="spellEnd"/>
      <w:r>
        <w:rPr>
          <w:b w:val="0"/>
          <w:bCs w:val="0"/>
          <w:sz w:val="24"/>
          <w:szCs w:val="24"/>
        </w:rPr>
        <w:t xml:space="preserve"> al., 2019). This procedure is critical for preserving a positive reputation, cultivating client loyalty, establishing a competitive advantage, and assuring long-term success in the hospitality industry. Monitoring guest engagement techniques is an important part that ensures hotels stick to their established standards and continually adapt to meet their guests' increasing expectations, allowing them to keep a competitive advantage in the dynamic hospitality sector.</w:t>
      </w:r>
    </w:p>
    <w:p w14:paraId="078BB33B" w14:textId="77777777" w:rsidR="009B6C5D" w:rsidRDefault="00000000">
      <w:pPr>
        <w:pStyle w:val="Heading1"/>
        <w:rPr>
          <w:b w:val="0"/>
          <w:bCs w:val="0"/>
          <w:sz w:val="24"/>
          <w:szCs w:val="24"/>
        </w:rPr>
      </w:pPr>
      <w:r>
        <w:rPr>
          <w:b w:val="0"/>
          <w:bCs w:val="0"/>
          <w:sz w:val="24"/>
          <w:szCs w:val="24"/>
        </w:rPr>
        <w:t xml:space="preserve">Finally, it may be concluded that the information supplied supports the idea that the </w:t>
      </w:r>
      <w:proofErr w:type="gramStart"/>
      <w:r>
        <w:rPr>
          <w:b w:val="0"/>
          <w:bCs w:val="0"/>
          <w:sz w:val="24"/>
          <w:szCs w:val="24"/>
        </w:rPr>
        <w:t>user's</w:t>
      </w:r>
      <w:proofErr w:type="gramEnd"/>
    </w:p>
    <w:p w14:paraId="1567A3BF" w14:textId="77777777" w:rsidR="009B6C5D" w:rsidRDefault="00000000">
      <w:pPr>
        <w:pStyle w:val="Heading1"/>
        <w:rPr>
          <w:b w:val="0"/>
          <w:bCs w:val="0"/>
          <w:sz w:val="24"/>
          <w:szCs w:val="24"/>
        </w:rPr>
      </w:pPr>
      <w:r>
        <w:rPr>
          <w:b w:val="0"/>
          <w:bCs w:val="0"/>
          <w:sz w:val="24"/>
          <w:szCs w:val="24"/>
        </w:rPr>
        <w:lastRenderedPageBreak/>
        <w:t xml:space="preserve">In conclusion, this article has focused on the need of nurturing effective guest services within the hospitality sector </w:t>
      </w:r>
      <w:proofErr w:type="gramStart"/>
      <w:r>
        <w:rPr>
          <w:b w:val="0"/>
          <w:bCs w:val="0"/>
          <w:sz w:val="24"/>
          <w:szCs w:val="24"/>
        </w:rPr>
        <w:t>in order to</w:t>
      </w:r>
      <w:proofErr w:type="gramEnd"/>
      <w:r>
        <w:rPr>
          <w:b w:val="0"/>
          <w:bCs w:val="0"/>
          <w:sz w:val="24"/>
          <w:szCs w:val="24"/>
        </w:rPr>
        <w:t xml:space="preserve"> match customer expectations and improve the status of hotels and restaurants in a fiercely competitive market. This study looked at numerous aspects of guest services, including reputation management, service culture, brand consistency, and hotel standards. These elements contribute to a thorough grasp of the considerable impact that good guest services have on the hotel business. This study looks at how several factors affect the reputation and financial performance of hotels and restaurants in a highly competitive business. The findings emphasise the importance of implementing novel techniques to improve guest services.</w:t>
      </w:r>
    </w:p>
    <w:p w14:paraId="44018A89" w14:textId="77777777" w:rsidR="009B6C5D" w:rsidRDefault="00000000">
      <w:pPr>
        <w:pStyle w:val="Heading1"/>
        <w:rPr>
          <w:b w:val="0"/>
          <w:bCs w:val="0"/>
          <w:sz w:val="24"/>
          <w:szCs w:val="24"/>
        </w:rPr>
      </w:pPr>
      <w:r>
        <w:rPr>
          <w:b w:val="0"/>
          <w:bCs w:val="0"/>
          <w:sz w:val="24"/>
          <w:szCs w:val="24"/>
        </w:rPr>
        <w:t>The following suggestions are offered:</w:t>
      </w:r>
    </w:p>
    <w:p w14:paraId="0A2C93CC" w14:textId="77777777" w:rsidR="009B6C5D" w:rsidRDefault="00000000">
      <w:pPr>
        <w:pStyle w:val="Heading1"/>
        <w:rPr>
          <w:b w:val="0"/>
          <w:bCs w:val="0"/>
          <w:sz w:val="24"/>
          <w:szCs w:val="24"/>
        </w:rPr>
      </w:pPr>
      <w:r>
        <w:rPr>
          <w:b w:val="0"/>
          <w:bCs w:val="0"/>
          <w:sz w:val="24"/>
          <w:szCs w:val="24"/>
        </w:rPr>
        <w:t>Based on the study offered above, the hotel business is strongly encouraged to prioritise the enhancement of its services through the application of various strategies.</w:t>
      </w:r>
    </w:p>
    <w:p w14:paraId="6B2EAD68" w14:textId="77777777" w:rsidR="009B6C5D" w:rsidRDefault="00000000">
      <w:pPr>
        <w:pStyle w:val="Heading1"/>
        <w:rPr>
          <w:b w:val="0"/>
          <w:bCs w:val="0"/>
          <w:sz w:val="24"/>
          <w:szCs w:val="24"/>
        </w:rPr>
      </w:pPr>
      <w:r>
        <w:rPr>
          <w:b w:val="0"/>
          <w:bCs w:val="0"/>
          <w:sz w:val="24"/>
          <w:szCs w:val="24"/>
        </w:rPr>
        <w:t>Improving technical infrastructure is critical for the hospitality industry. This can be accomplished by using AI technology, which enables the provision of self-check-in and check-out facilities, as well as online services. These innovations help to improve consumer satisfaction in the hotel business. The use of online services and technology infrastructure in the hospitality industry improves the quality of client services and increases the market prominence of hotels and restaurants in a fiercely competitive market, allowing them to keep their market position. The use of technology allows the industry to efficiently monitor and improve client involvement in this specific area, supporting the acquisition of financial benefits.</w:t>
      </w:r>
    </w:p>
    <w:p w14:paraId="78BF66BD" w14:textId="77777777" w:rsidR="009B6C5D" w:rsidRDefault="00000000">
      <w:pPr>
        <w:pStyle w:val="Heading1"/>
        <w:rPr>
          <w:b w:val="0"/>
          <w:bCs w:val="0"/>
          <w:sz w:val="24"/>
          <w:szCs w:val="24"/>
        </w:rPr>
      </w:pPr>
      <w:r>
        <w:rPr>
          <w:b w:val="0"/>
          <w:bCs w:val="0"/>
          <w:sz w:val="24"/>
          <w:szCs w:val="24"/>
        </w:rPr>
        <w:t>Emphasising consumer feedback: The hospitality business should focus client feedback collecting and analysis via appropriate communication channels. This allows for a full awareness of customer service concerns in hotels and restaurants, providing chances for change. Incentives can also be provided to hotels and restaurants to boost their online presence on social media platforms and to collect feedback through digital channels for the aim of assessing client reviews. This method promotes consumer attraction and increases brand recognition.</w:t>
      </w:r>
    </w:p>
    <w:p w14:paraId="61D55985" w14:textId="77777777" w:rsidR="009B6C5D" w:rsidRDefault="009B6C5D">
      <w:pPr>
        <w:pStyle w:val="Heading1"/>
        <w:rPr>
          <w:b w:val="0"/>
          <w:bCs w:val="0"/>
          <w:sz w:val="24"/>
          <w:szCs w:val="24"/>
        </w:rPr>
      </w:pPr>
    </w:p>
    <w:p w14:paraId="50D81CB5" w14:textId="77777777" w:rsidR="009B6C5D" w:rsidRDefault="009B6C5D">
      <w:pPr>
        <w:pStyle w:val="Heading1"/>
        <w:rPr>
          <w:b w:val="0"/>
          <w:bCs w:val="0"/>
          <w:sz w:val="24"/>
          <w:szCs w:val="24"/>
        </w:rPr>
      </w:pPr>
    </w:p>
    <w:p w14:paraId="0DD219FC" w14:textId="77777777" w:rsidR="009B6C5D" w:rsidRDefault="00000000">
      <w:pPr>
        <w:pStyle w:val="Heading1"/>
      </w:pPr>
      <w:r>
        <w:t>Reference list</w:t>
      </w:r>
      <w:bookmarkEnd w:id="7"/>
    </w:p>
    <w:p w14:paraId="503B7DEF" w14:textId="77777777" w:rsidR="009B6C5D" w:rsidRDefault="00000000">
      <w:pPr>
        <w:rPr>
          <w:color w:val="222222"/>
          <w:highlight w:val="white"/>
        </w:rPr>
      </w:pPr>
      <w:r>
        <w:rPr>
          <w:color w:val="222222"/>
          <w:highlight w:val="white"/>
        </w:rPr>
        <w:t xml:space="preserve">Lucas, R., 2022. </w:t>
      </w:r>
      <w:r>
        <w:rPr>
          <w:i/>
          <w:color w:val="222222"/>
          <w:highlight w:val="white"/>
        </w:rPr>
        <w:t>Customer service</w:t>
      </w:r>
      <w:r>
        <w:rPr>
          <w:color w:val="222222"/>
          <w:highlight w:val="white"/>
        </w:rPr>
        <w:t>. McGraw-Hill US Higher Ed USE.</w:t>
      </w:r>
    </w:p>
    <w:p w14:paraId="155B2C2B" w14:textId="77777777" w:rsidR="009B6C5D" w:rsidRDefault="00000000">
      <w:pPr>
        <w:rPr>
          <w:color w:val="222222"/>
          <w:highlight w:val="white"/>
        </w:rPr>
      </w:pPr>
      <w:r>
        <w:rPr>
          <w:color w:val="222222"/>
          <w:highlight w:val="white"/>
        </w:rPr>
        <w:t xml:space="preserve">Raman, P., 2019. Understanding female consumers’ intention to shop online: The role of trust, convenience and customer service. </w:t>
      </w:r>
      <w:r>
        <w:rPr>
          <w:i/>
          <w:color w:val="222222"/>
          <w:highlight w:val="white"/>
        </w:rPr>
        <w:t>Asia Pacific Journal of Marketing and Logistics</w:t>
      </w:r>
      <w:r>
        <w:rPr>
          <w:color w:val="222222"/>
          <w:highlight w:val="white"/>
        </w:rPr>
        <w:t xml:space="preserve">, </w:t>
      </w:r>
      <w:r>
        <w:rPr>
          <w:i/>
          <w:color w:val="222222"/>
          <w:highlight w:val="white"/>
        </w:rPr>
        <w:t>31</w:t>
      </w:r>
      <w:r>
        <w:rPr>
          <w:color w:val="222222"/>
          <w:highlight w:val="white"/>
        </w:rPr>
        <w:t>(4), pp.1138-1160.</w:t>
      </w:r>
    </w:p>
    <w:p w14:paraId="65BA2823" w14:textId="77777777" w:rsidR="009B6C5D" w:rsidRDefault="00000000">
      <w:pPr>
        <w:rPr>
          <w:color w:val="222222"/>
          <w:highlight w:val="white"/>
        </w:rPr>
      </w:pPr>
      <w:r>
        <w:rPr>
          <w:color w:val="222222"/>
          <w:highlight w:val="white"/>
        </w:rPr>
        <w:t xml:space="preserve">Tien, N.H., Diem, P.T., Van On, P., Anh, V.T., Van Dat, N., Hung, N.T. and Tam, B.Q., 2021. The formation and development of the CRM system at Thien Hoa Electronics supermarket in Vietnam. </w:t>
      </w:r>
      <w:r>
        <w:rPr>
          <w:i/>
          <w:color w:val="222222"/>
          <w:highlight w:val="white"/>
        </w:rPr>
        <w:t>International Journal of Research and Growth Evaluation</w:t>
      </w:r>
      <w:r>
        <w:rPr>
          <w:color w:val="222222"/>
          <w:highlight w:val="white"/>
        </w:rPr>
        <w:t xml:space="preserve">, </w:t>
      </w:r>
      <w:r>
        <w:rPr>
          <w:i/>
          <w:color w:val="222222"/>
          <w:highlight w:val="white"/>
        </w:rPr>
        <w:t>2</w:t>
      </w:r>
      <w:r>
        <w:rPr>
          <w:color w:val="222222"/>
          <w:highlight w:val="white"/>
        </w:rPr>
        <w:t>(4), pp.752-760.</w:t>
      </w:r>
    </w:p>
    <w:p w14:paraId="31A2C199" w14:textId="77777777" w:rsidR="009B6C5D" w:rsidRDefault="00000000">
      <w:pPr>
        <w:rPr>
          <w:color w:val="222222"/>
          <w:highlight w:val="white"/>
        </w:rPr>
      </w:pPr>
      <w:r>
        <w:rPr>
          <w:color w:val="222222"/>
          <w:highlight w:val="white"/>
        </w:rPr>
        <w:t xml:space="preserve">Rahi, S., Ghani, M.A. and Ngah, A.H., 2020. Factors propelling the adoption of Internet banking: the role of e-customer service, website design, brand image, and customer satisfaction. </w:t>
      </w:r>
      <w:r>
        <w:rPr>
          <w:i/>
          <w:color w:val="222222"/>
          <w:highlight w:val="white"/>
        </w:rPr>
        <w:t>International Journal of Business Information Systems</w:t>
      </w:r>
      <w:r>
        <w:rPr>
          <w:color w:val="222222"/>
          <w:highlight w:val="white"/>
        </w:rPr>
        <w:t xml:space="preserve">, </w:t>
      </w:r>
      <w:r>
        <w:rPr>
          <w:i/>
          <w:color w:val="222222"/>
          <w:highlight w:val="white"/>
        </w:rPr>
        <w:t>33</w:t>
      </w:r>
      <w:r>
        <w:rPr>
          <w:color w:val="222222"/>
          <w:highlight w:val="white"/>
        </w:rPr>
        <w:t>(4), pp.549-569.</w:t>
      </w:r>
    </w:p>
    <w:p w14:paraId="4BE9E03A" w14:textId="77777777" w:rsidR="009B6C5D" w:rsidRDefault="00000000">
      <w:pPr>
        <w:rPr>
          <w:color w:val="222222"/>
          <w:highlight w:val="white"/>
        </w:rPr>
      </w:pPr>
      <w:r>
        <w:rPr>
          <w:color w:val="222222"/>
          <w:highlight w:val="white"/>
        </w:rPr>
        <w:t xml:space="preserve">Li, B., Zhong, Y., Zhang, T. and Hua, N., 2021. Transcending the COVID-19 crisis: Business resilience and innovation of the restaurant industry in China. </w:t>
      </w:r>
      <w:r>
        <w:rPr>
          <w:i/>
          <w:color w:val="222222"/>
          <w:highlight w:val="white"/>
        </w:rPr>
        <w:t>Journal of Hospitality and Tourism Management</w:t>
      </w:r>
      <w:r>
        <w:rPr>
          <w:color w:val="222222"/>
          <w:highlight w:val="white"/>
        </w:rPr>
        <w:t xml:space="preserve">, </w:t>
      </w:r>
      <w:r>
        <w:rPr>
          <w:i/>
          <w:color w:val="222222"/>
          <w:highlight w:val="white"/>
        </w:rPr>
        <w:t>49</w:t>
      </w:r>
      <w:r>
        <w:rPr>
          <w:color w:val="222222"/>
          <w:highlight w:val="white"/>
        </w:rPr>
        <w:t>, pp.44-53.</w:t>
      </w:r>
    </w:p>
    <w:p w14:paraId="664BDC25" w14:textId="77777777" w:rsidR="009B6C5D" w:rsidRDefault="00000000">
      <w:pPr>
        <w:rPr>
          <w:color w:val="222222"/>
          <w:highlight w:val="white"/>
        </w:rPr>
      </w:pPr>
      <w:r>
        <w:rPr>
          <w:color w:val="222222"/>
          <w:highlight w:val="white"/>
        </w:rPr>
        <w:t xml:space="preserve">Nordheim, C.B., Følstad, A. and Bjørkli, C.A., 2019. An initial model of trust in chatbots for customer service—findings from a questionnaire study. </w:t>
      </w:r>
      <w:r>
        <w:rPr>
          <w:i/>
          <w:color w:val="222222"/>
          <w:highlight w:val="white"/>
        </w:rPr>
        <w:t>Interacting with Computers</w:t>
      </w:r>
      <w:r>
        <w:rPr>
          <w:color w:val="222222"/>
          <w:highlight w:val="white"/>
        </w:rPr>
        <w:t xml:space="preserve">, </w:t>
      </w:r>
      <w:r>
        <w:rPr>
          <w:i/>
          <w:color w:val="222222"/>
          <w:highlight w:val="white"/>
        </w:rPr>
        <w:t>31</w:t>
      </w:r>
      <w:r>
        <w:rPr>
          <w:color w:val="222222"/>
          <w:highlight w:val="white"/>
        </w:rPr>
        <w:t>(3), pp.317-335.</w:t>
      </w:r>
    </w:p>
    <w:p w14:paraId="074977CC" w14:textId="77777777" w:rsidR="009B6C5D" w:rsidRDefault="00000000">
      <w:pPr>
        <w:rPr>
          <w:color w:val="222222"/>
          <w:highlight w:val="white"/>
        </w:rPr>
      </w:pPr>
      <w:proofErr w:type="spellStart"/>
      <w:r>
        <w:rPr>
          <w:color w:val="222222"/>
          <w:highlight w:val="white"/>
        </w:rPr>
        <w:t>Alshurideh</w:t>
      </w:r>
      <w:proofErr w:type="spellEnd"/>
      <w:r>
        <w:rPr>
          <w:color w:val="222222"/>
          <w:highlight w:val="white"/>
        </w:rPr>
        <w:t xml:space="preserve">, M., 2022. Does electronic customer relationship management (E-CRM) affect service quality at private hospitals in </w:t>
      </w:r>
      <w:proofErr w:type="spellStart"/>
      <w:proofErr w:type="gramStart"/>
      <w:r>
        <w:rPr>
          <w:color w:val="222222"/>
          <w:highlight w:val="white"/>
        </w:rPr>
        <w:t>Jordan?</w:t>
      </w:r>
      <w:r>
        <w:rPr>
          <w:i/>
          <w:color w:val="222222"/>
          <w:highlight w:val="white"/>
        </w:rPr>
        <w:t>Uncertain</w:t>
      </w:r>
      <w:proofErr w:type="spellEnd"/>
      <w:proofErr w:type="gramEnd"/>
      <w:r>
        <w:rPr>
          <w:i/>
          <w:color w:val="222222"/>
          <w:highlight w:val="white"/>
        </w:rPr>
        <w:t xml:space="preserve"> Supply Chain Management</w:t>
      </w:r>
      <w:r>
        <w:rPr>
          <w:color w:val="222222"/>
          <w:highlight w:val="white"/>
        </w:rPr>
        <w:t xml:space="preserve">, </w:t>
      </w:r>
      <w:r>
        <w:rPr>
          <w:i/>
          <w:color w:val="222222"/>
          <w:highlight w:val="white"/>
        </w:rPr>
        <w:t>10</w:t>
      </w:r>
      <w:r>
        <w:rPr>
          <w:color w:val="222222"/>
          <w:highlight w:val="white"/>
        </w:rPr>
        <w:t>(2), pp.325-332.</w:t>
      </w:r>
    </w:p>
    <w:p w14:paraId="2885865B" w14:textId="77777777" w:rsidR="009B6C5D" w:rsidRDefault="00000000">
      <w:pPr>
        <w:rPr>
          <w:color w:val="222222"/>
          <w:highlight w:val="white"/>
        </w:rPr>
      </w:pPr>
      <w:r>
        <w:rPr>
          <w:color w:val="222222"/>
          <w:highlight w:val="white"/>
        </w:rPr>
        <w:t xml:space="preserve">Baek, J., Choe, Y. and Ok, C.M., 2020. Determinants of hotel guests’ service experiences: an examination of differences between lifestyle and traditional hotels. </w:t>
      </w:r>
      <w:r>
        <w:rPr>
          <w:i/>
          <w:color w:val="222222"/>
          <w:highlight w:val="white"/>
        </w:rPr>
        <w:t>Journal of Hospitality Marketing &amp; Management</w:t>
      </w:r>
      <w:r>
        <w:rPr>
          <w:color w:val="222222"/>
          <w:highlight w:val="white"/>
        </w:rPr>
        <w:t xml:space="preserve">, </w:t>
      </w:r>
      <w:r>
        <w:rPr>
          <w:i/>
          <w:color w:val="222222"/>
          <w:highlight w:val="white"/>
        </w:rPr>
        <w:t>29</w:t>
      </w:r>
      <w:r>
        <w:rPr>
          <w:color w:val="222222"/>
          <w:highlight w:val="white"/>
        </w:rPr>
        <w:t>(1), pp.88-105.</w:t>
      </w:r>
    </w:p>
    <w:p w14:paraId="25802235" w14:textId="77777777" w:rsidR="009B6C5D" w:rsidRDefault="00000000">
      <w:pPr>
        <w:rPr>
          <w:color w:val="222222"/>
          <w:highlight w:val="white"/>
        </w:rPr>
      </w:pPr>
      <w:proofErr w:type="spellStart"/>
      <w:r>
        <w:rPr>
          <w:color w:val="222222"/>
          <w:highlight w:val="white"/>
        </w:rPr>
        <w:t>Buhalis</w:t>
      </w:r>
      <w:proofErr w:type="spellEnd"/>
      <w:r>
        <w:rPr>
          <w:color w:val="222222"/>
          <w:highlight w:val="white"/>
        </w:rPr>
        <w:t xml:space="preserve">, D. and </w:t>
      </w:r>
      <w:proofErr w:type="spellStart"/>
      <w:r>
        <w:rPr>
          <w:color w:val="222222"/>
          <w:highlight w:val="white"/>
        </w:rPr>
        <w:t>Sinarta</w:t>
      </w:r>
      <w:proofErr w:type="spellEnd"/>
      <w:r>
        <w:rPr>
          <w:color w:val="222222"/>
          <w:highlight w:val="white"/>
        </w:rPr>
        <w:t xml:space="preserve">, Y., 2019. Real-time co-creation and nowness service: lessons from tourism and hospitality. </w:t>
      </w:r>
      <w:r>
        <w:rPr>
          <w:i/>
          <w:color w:val="222222"/>
          <w:highlight w:val="white"/>
        </w:rPr>
        <w:t>Journal of Travel &amp; Tourism Marketing</w:t>
      </w:r>
      <w:r>
        <w:rPr>
          <w:color w:val="222222"/>
          <w:highlight w:val="white"/>
        </w:rPr>
        <w:t xml:space="preserve">, </w:t>
      </w:r>
      <w:r>
        <w:rPr>
          <w:i/>
          <w:color w:val="222222"/>
          <w:highlight w:val="white"/>
        </w:rPr>
        <w:t>36</w:t>
      </w:r>
      <w:r>
        <w:rPr>
          <w:color w:val="222222"/>
          <w:highlight w:val="white"/>
        </w:rPr>
        <w:t>(5), pp.563-582.</w:t>
      </w:r>
    </w:p>
    <w:p w14:paraId="3FAD1A3B" w14:textId="77777777" w:rsidR="009B6C5D" w:rsidRDefault="00000000">
      <w:pPr>
        <w:rPr>
          <w:color w:val="222222"/>
          <w:highlight w:val="white"/>
        </w:rPr>
      </w:pPr>
      <w:r>
        <w:rPr>
          <w:color w:val="222222"/>
          <w:highlight w:val="white"/>
        </w:rPr>
        <w:lastRenderedPageBreak/>
        <w:t xml:space="preserve">Bielicki, J.A., Duval, X., Gobat, N., Goossens, H., Koopmans, M., Tacconelli, E. and van der Werf, S., 2020. Monitoring approaches for health-care workers during the COVID-19 pandemic. </w:t>
      </w:r>
      <w:r>
        <w:rPr>
          <w:i/>
          <w:color w:val="222222"/>
          <w:highlight w:val="white"/>
        </w:rPr>
        <w:t>The Lancet Infectious Diseases</w:t>
      </w:r>
      <w:r>
        <w:rPr>
          <w:color w:val="222222"/>
          <w:highlight w:val="white"/>
        </w:rPr>
        <w:t xml:space="preserve">, </w:t>
      </w:r>
      <w:r>
        <w:rPr>
          <w:i/>
          <w:color w:val="222222"/>
          <w:highlight w:val="white"/>
        </w:rPr>
        <w:t>20</w:t>
      </w:r>
      <w:r>
        <w:rPr>
          <w:color w:val="222222"/>
          <w:highlight w:val="white"/>
        </w:rPr>
        <w:t xml:space="preserve">(10), </w:t>
      </w:r>
      <w:proofErr w:type="gramStart"/>
      <w:r>
        <w:rPr>
          <w:color w:val="222222"/>
          <w:highlight w:val="white"/>
        </w:rPr>
        <w:t>pp.e</w:t>
      </w:r>
      <w:proofErr w:type="gramEnd"/>
      <w:r>
        <w:rPr>
          <w:color w:val="222222"/>
          <w:highlight w:val="white"/>
        </w:rPr>
        <w:t>261-e267.</w:t>
      </w:r>
    </w:p>
    <w:p w14:paraId="6ED40E24" w14:textId="77777777" w:rsidR="009B6C5D" w:rsidRDefault="00000000">
      <w:pPr>
        <w:rPr>
          <w:color w:val="222222"/>
          <w:highlight w:val="white"/>
        </w:rPr>
      </w:pPr>
      <w:r>
        <w:rPr>
          <w:color w:val="222222"/>
          <w:highlight w:val="white"/>
        </w:rPr>
        <w:t xml:space="preserve">O'Connor, R.S., Kunin, W.E., Garratt, M.P., Potts, S.G., Roy, H.E., Andrews, C., Jones, C.M., Peyton, J.M., Savage, J., Harvey, M.C. and Morris, R.K., 2019. Monitoring insect pollinators and flower visitation: The effectiveness and feasibility of different survey methods. </w:t>
      </w:r>
      <w:r>
        <w:rPr>
          <w:i/>
          <w:color w:val="222222"/>
          <w:highlight w:val="white"/>
        </w:rPr>
        <w:t>Methods in Ecology and Evolution</w:t>
      </w:r>
      <w:r>
        <w:rPr>
          <w:color w:val="222222"/>
          <w:highlight w:val="white"/>
        </w:rPr>
        <w:t xml:space="preserve">, </w:t>
      </w:r>
      <w:r>
        <w:rPr>
          <w:i/>
          <w:color w:val="222222"/>
          <w:highlight w:val="white"/>
        </w:rPr>
        <w:t>10</w:t>
      </w:r>
      <w:r>
        <w:rPr>
          <w:color w:val="222222"/>
          <w:highlight w:val="white"/>
        </w:rPr>
        <w:t>(12), pp.2129-2140.</w:t>
      </w:r>
    </w:p>
    <w:p w14:paraId="582F6A92" w14:textId="77777777" w:rsidR="009B6C5D" w:rsidRDefault="009B6C5D">
      <w:pPr>
        <w:rPr>
          <w:b/>
        </w:rPr>
      </w:pPr>
    </w:p>
    <w:sectPr w:rsidR="009B6C5D">
      <w:footerReference w:type="default" r:id="rId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9AB988" w14:textId="77777777" w:rsidR="00175B6D" w:rsidRDefault="00175B6D">
      <w:pPr>
        <w:spacing w:line="240" w:lineRule="auto"/>
      </w:pPr>
      <w:r>
        <w:separator/>
      </w:r>
    </w:p>
  </w:endnote>
  <w:endnote w:type="continuationSeparator" w:id="0">
    <w:p w14:paraId="6E9F2234" w14:textId="77777777" w:rsidR="00175B6D" w:rsidRDefault="00175B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default"/>
    <w:sig w:usb0="E1002EFF" w:usb1="C000605B" w:usb2="00000029" w:usb3="00000000" w:csb0="200101FF" w:csb1="2028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877A19" w14:textId="77777777" w:rsidR="009B6C5D" w:rsidRDefault="00000000">
    <w:pPr>
      <w:tabs>
        <w:tab w:val="center" w:pos="4513"/>
        <w:tab w:val="right" w:pos="9026"/>
      </w:tabs>
      <w:spacing w:line="240" w:lineRule="auto"/>
      <w:jc w:val="right"/>
      <w:rPr>
        <w:rFonts w:ascii="Arial" w:eastAsia="Arial" w:hAnsi="Arial" w:cs="Arial"/>
        <w:color w:val="000000"/>
        <w:sz w:val="22"/>
        <w:szCs w:val="22"/>
      </w:rPr>
    </w:pPr>
    <w:r>
      <w:rPr>
        <w:rFonts w:ascii="Arial" w:eastAsia="Arial" w:hAnsi="Arial" w:cs="Arial"/>
        <w:color w:val="000000"/>
        <w:sz w:val="22"/>
        <w:szCs w:val="22"/>
      </w:rPr>
      <w:fldChar w:fldCharType="begin"/>
    </w:r>
    <w:r>
      <w:rPr>
        <w:rFonts w:ascii="Arial" w:eastAsia="Arial" w:hAnsi="Arial" w:cs="Arial"/>
        <w:color w:val="000000"/>
        <w:sz w:val="22"/>
        <w:szCs w:val="22"/>
      </w:rPr>
      <w:instrText>PAGE</w:instrText>
    </w:r>
    <w:r>
      <w:rPr>
        <w:rFonts w:ascii="Arial" w:eastAsia="Arial" w:hAnsi="Arial" w:cs="Arial"/>
        <w:color w:val="000000"/>
        <w:sz w:val="22"/>
        <w:szCs w:val="22"/>
      </w:rPr>
      <w:fldChar w:fldCharType="separate"/>
    </w:r>
    <w:r>
      <w:rPr>
        <w:rFonts w:ascii="Arial" w:eastAsia="Arial" w:hAnsi="Arial" w:cs="Arial"/>
        <w:color w:val="000000"/>
        <w:sz w:val="22"/>
        <w:szCs w:val="22"/>
      </w:rPr>
      <w:t>2</w:t>
    </w:r>
    <w:r>
      <w:rPr>
        <w:rFonts w:ascii="Arial" w:eastAsia="Arial" w:hAnsi="Arial" w:cs="Arial"/>
        <w:color w:val="000000"/>
        <w:sz w:val="22"/>
        <w:szCs w:val="22"/>
      </w:rPr>
      <w:fldChar w:fldCharType="end"/>
    </w:r>
  </w:p>
  <w:p w14:paraId="1C63F650" w14:textId="77777777" w:rsidR="009B6C5D" w:rsidRDefault="009B6C5D">
    <w:pPr>
      <w:tabs>
        <w:tab w:val="center" w:pos="4513"/>
        <w:tab w:val="right" w:pos="9026"/>
      </w:tabs>
      <w:spacing w:line="240" w:lineRule="auto"/>
      <w:jc w:val="lef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92109" w14:textId="77777777" w:rsidR="00175B6D" w:rsidRDefault="00175B6D">
      <w:r>
        <w:separator/>
      </w:r>
    </w:p>
  </w:footnote>
  <w:footnote w:type="continuationSeparator" w:id="0">
    <w:p w14:paraId="73F4D42C" w14:textId="77777777" w:rsidR="00175B6D" w:rsidRDefault="00175B6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81121"/>
    <w:rsid w:val="00106DD5"/>
    <w:rsid w:val="001264C0"/>
    <w:rsid w:val="00175B6D"/>
    <w:rsid w:val="006868DA"/>
    <w:rsid w:val="00781121"/>
    <w:rsid w:val="009B6C5D"/>
    <w:rsid w:val="00AB63A8"/>
    <w:rsid w:val="00B505C2"/>
    <w:rsid w:val="00C54161"/>
    <w:rsid w:val="00EC3150"/>
    <w:rsid w:val="00ED4098"/>
    <w:rsid w:val="1CF4483A"/>
    <w:rsid w:val="47AA21E3"/>
    <w:rsid w:val="61C51F3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BED75"/>
  <w15:docId w15:val="{3D5B8622-32C5-4F58-8970-B6077B0E0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szCs w:val="24"/>
      <w:lang w:val="en-IN" w:eastAsia="en-IN"/>
    </w:rPr>
  </w:style>
  <w:style w:type="paragraph" w:styleId="Heading1">
    <w:name w:val="heading 1"/>
    <w:basedOn w:val="Normal"/>
    <w:next w:val="Normal"/>
    <w:uiPriority w:val="9"/>
    <w:qFormat/>
    <w:pPr>
      <w:keepNext/>
      <w:keepLines/>
      <w:spacing w:before="400" w:after="120"/>
      <w:outlineLvl w:val="0"/>
    </w:pPr>
    <w:rPr>
      <w:b/>
      <w:bCs/>
      <w:color w:val="000000" w:themeColor="text1"/>
      <w:sz w:val="32"/>
      <w:szCs w:val="32"/>
    </w:rPr>
  </w:style>
  <w:style w:type="paragraph" w:styleId="Heading2">
    <w:name w:val="heading 2"/>
    <w:basedOn w:val="Normal"/>
    <w:next w:val="Normal"/>
    <w:uiPriority w:val="9"/>
    <w:unhideWhenUsed/>
    <w:qFormat/>
    <w:pPr>
      <w:keepNext/>
      <w:keepLines/>
      <w:spacing w:before="360" w:after="120"/>
      <w:outlineLvl w:val="1"/>
    </w:pPr>
    <w:rPr>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qFormat/>
    <w:pPr>
      <w:spacing w:after="100"/>
      <w:ind w:left="480"/>
    </w:p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qFormat/>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AnIgxl+5vCZLeOPyf3RICw8rSA==">CgMxLjAyDmguYmMzcGVhajV5cXUxMghoLmdqZGd4czIOaC4xYmhtbW44MXR6YzUyDmguZmNlc2Y2dzVpeDh0MgloLjMwajB6bGwyDmguMzFxN3A2NjZhOXo1Mg5oLjRrY2traG9iMjk3NTIOaC4zejNubDc3N2N2aGsyCWguMWZvYjl0ZTIJaC4zem55c2g3MgloLjJldDkycDAyCGgudHlqY3d0MgloLjNkeTZ2a20yDmguZHp6YnF6dXJrczZvMg5oLmNlNmtyMzk2MDM0NzIJaC4xdDNoNXNmOAByITFYaXk4TDMzUkNJOWFXS0FhRmdiSjNaNFo4enZKMEdPT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2365</Words>
  <Characters>13484</Characters>
  <Application>Microsoft Office Word</Application>
  <DocSecurity>0</DocSecurity>
  <Lines>112</Lines>
  <Paragraphs>31</Paragraphs>
  <ScaleCrop>false</ScaleCrop>
  <Company/>
  <LinksUpToDate>false</LinksUpToDate>
  <CharactersWithSpaces>15818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dc:creator>
  <cp:lastModifiedBy>Aaron Stafford</cp:lastModifiedBy>
  <cp:revision>2</cp:revision>
  <dcterms:created xsi:type="dcterms:W3CDTF">2023-10-19T23:36:00Z</dcterms:created>
  <dcterms:modified xsi:type="dcterms:W3CDTF">2023-10-19T23:36:00Z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b38d52f4c995c4852114f0d6883091fdc6ea23aa1bbdd284c930c9117817e612</vt:lpwstr>
  </property>
  <property fmtid="{D5CDD505-2E9C-101B-9397-08002B2CF9AE}" pid="3" name="KSOProductBuildVer">
    <vt:lpwstr>2057-12.2.0.13215</vt:lpwstr>
  </property>
  <property fmtid="{D5CDD505-2E9C-101B-9397-08002B2CF9AE}" pid="4" name="ICV">
    <vt:lpwstr>96939A24683047EE9A307EAAA9C39A00_12</vt:lpwstr>
  </property>
</Properties>
</file>