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2AAD58" w14:textId="77777777" w:rsidR="00FD674C" w:rsidRDefault="00FD674C" w:rsidP="00FD674C">
      <w:pPr>
        <w:pStyle w:val="Title"/>
        <w:jc w:val="center"/>
        <w:rPr>
          <w:rFonts w:ascii="Times New Roman" w:hAnsi="Times New Roman" w:cs="Times New Roman"/>
          <w:spacing w:val="0"/>
          <w:sz w:val="32"/>
          <w:szCs w:val="32"/>
        </w:rPr>
      </w:pPr>
      <w:r w:rsidRPr="00E137E9">
        <w:rPr>
          <w:rFonts w:ascii="Times New Roman" w:hAnsi="Times New Roman" w:cs="Times New Roman"/>
          <w:spacing w:val="0"/>
          <w:sz w:val="32"/>
          <w:szCs w:val="32"/>
        </w:rPr>
        <w:t>Methodology for Approaching Literacy in</w:t>
      </w:r>
      <w:r>
        <w:rPr>
          <w:rFonts w:ascii="Times New Roman" w:hAnsi="Times New Roman" w:cs="Times New Roman"/>
          <w:spacing w:val="0"/>
          <w:sz w:val="32"/>
          <w:szCs w:val="32"/>
        </w:rPr>
        <w:t xml:space="preserve"> Northwest Arabia during</w:t>
      </w:r>
      <w:r w:rsidRPr="00E137E9">
        <w:rPr>
          <w:rFonts w:ascii="Times New Roman" w:hAnsi="Times New Roman" w:cs="Times New Roman"/>
          <w:spacing w:val="0"/>
          <w:sz w:val="32"/>
          <w:szCs w:val="32"/>
        </w:rPr>
        <w:t xml:space="preserve"> Late Antique Arabia</w:t>
      </w:r>
    </w:p>
    <w:p w14:paraId="5F49057F" w14:textId="77777777" w:rsidR="00FD674C" w:rsidRPr="009314A1" w:rsidRDefault="00FD674C" w:rsidP="00FD674C">
      <w:pPr>
        <w:pStyle w:val="Subtitle"/>
        <w:jc w:val="center"/>
        <w:rPr>
          <w:rFonts w:ascii="Times New Roman" w:hAnsi="Times New Roman" w:cs="Times New Roman"/>
          <w:sz w:val="24"/>
        </w:rPr>
      </w:pPr>
      <w:r w:rsidRPr="002A7CA5">
        <w:rPr>
          <w:rFonts w:ascii="Times New Roman" w:hAnsi="Times New Roman" w:cs="Times New Roman"/>
          <w:sz w:val="24"/>
        </w:rPr>
        <w:t>Lucas Hilty</w:t>
      </w:r>
    </w:p>
    <w:p w14:paraId="369A10EC" w14:textId="058D5FB8" w:rsidR="003010E3" w:rsidRDefault="00FD674C" w:rsidP="00FD674C">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What role did </w:t>
      </w:r>
      <w:proofErr w:type="gramStart"/>
      <w:r>
        <w:rPr>
          <w:rFonts w:ascii="Times New Roman" w:hAnsi="Times New Roman" w:cs="Times New Roman"/>
          <w:sz w:val="24"/>
          <w:szCs w:val="24"/>
        </w:rPr>
        <w:t>writing</w:t>
      </w:r>
      <w:proofErr w:type="gramEnd"/>
      <w:r>
        <w:rPr>
          <w:rFonts w:ascii="Times New Roman" w:hAnsi="Times New Roman" w:cs="Times New Roman"/>
          <w:sz w:val="24"/>
          <w:szCs w:val="24"/>
        </w:rPr>
        <w:t xml:space="preserve"> and reading play in the societies of northwestern Arabia during late antiquity? </w:t>
      </w:r>
      <w:r w:rsidRPr="000106AB">
        <w:rPr>
          <w:rFonts w:ascii="Times New Roman" w:hAnsi="Times New Roman" w:cs="Times New Roman"/>
          <w:sz w:val="24"/>
          <w:szCs w:val="24"/>
        </w:rPr>
        <w:t xml:space="preserve">The </w:t>
      </w:r>
      <w:r>
        <w:rPr>
          <w:rFonts w:ascii="Times New Roman" w:hAnsi="Times New Roman" w:cs="Times New Roman"/>
          <w:sz w:val="24"/>
          <w:szCs w:val="24"/>
        </w:rPr>
        <w:t>understandings</w:t>
      </w:r>
      <w:r w:rsidRPr="000106AB">
        <w:rPr>
          <w:rFonts w:ascii="Times New Roman" w:hAnsi="Times New Roman" w:cs="Times New Roman"/>
          <w:sz w:val="24"/>
          <w:szCs w:val="24"/>
        </w:rPr>
        <w:t xml:space="preserve"> of modern </w:t>
      </w:r>
      <w:r>
        <w:rPr>
          <w:rFonts w:ascii="Times New Roman" w:hAnsi="Times New Roman" w:cs="Times New Roman"/>
          <w:sz w:val="24"/>
          <w:szCs w:val="24"/>
        </w:rPr>
        <w:t>social linguistics</w:t>
      </w:r>
      <w:r w:rsidRPr="000106AB">
        <w:rPr>
          <w:rFonts w:ascii="Times New Roman" w:hAnsi="Times New Roman" w:cs="Times New Roman"/>
          <w:sz w:val="24"/>
          <w:szCs w:val="24"/>
        </w:rPr>
        <w:t xml:space="preserve"> apply to </w:t>
      </w:r>
      <w:r>
        <w:rPr>
          <w:rFonts w:ascii="Times New Roman" w:hAnsi="Times New Roman" w:cs="Times New Roman"/>
          <w:sz w:val="24"/>
          <w:szCs w:val="24"/>
        </w:rPr>
        <w:t>this question</w:t>
      </w:r>
      <w:r w:rsidRPr="000106AB">
        <w:rPr>
          <w:rFonts w:ascii="Times New Roman" w:hAnsi="Times New Roman" w:cs="Times New Roman"/>
          <w:sz w:val="24"/>
          <w:szCs w:val="24"/>
        </w:rPr>
        <w:t>, but</w:t>
      </w:r>
      <w:r>
        <w:rPr>
          <w:rFonts w:ascii="Times New Roman" w:hAnsi="Times New Roman" w:cs="Times New Roman"/>
          <w:sz w:val="24"/>
          <w:szCs w:val="24"/>
        </w:rPr>
        <w:t xml:space="preserve"> due to limitations in evidence available from these cultures</w:t>
      </w:r>
      <w:r w:rsidRPr="000106AB">
        <w:rPr>
          <w:rFonts w:ascii="Times New Roman" w:hAnsi="Times New Roman" w:cs="Times New Roman"/>
          <w:sz w:val="24"/>
          <w:szCs w:val="24"/>
        </w:rPr>
        <w:t xml:space="preserve"> they must be </w:t>
      </w:r>
      <w:r>
        <w:rPr>
          <w:rFonts w:ascii="Times New Roman" w:hAnsi="Times New Roman" w:cs="Times New Roman"/>
          <w:sz w:val="24"/>
          <w:szCs w:val="24"/>
        </w:rPr>
        <w:t>adapted</w:t>
      </w:r>
      <w:r w:rsidRPr="000106AB">
        <w:rPr>
          <w:rFonts w:ascii="Times New Roman" w:hAnsi="Times New Roman" w:cs="Times New Roman"/>
          <w:sz w:val="24"/>
          <w:szCs w:val="24"/>
        </w:rPr>
        <w:t xml:space="preserve">. </w:t>
      </w:r>
      <w:r>
        <w:rPr>
          <w:rFonts w:ascii="Times New Roman" w:hAnsi="Times New Roman" w:cs="Times New Roman"/>
          <w:sz w:val="24"/>
          <w:szCs w:val="24"/>
        </w:rPr>
        <w:t>We cannot conduct a linguistic survey of late antique Arabia that accurately traces literacy levels in the entire population</w:t>
      </w:r>
      <w:r>
        <w:rPr>
          <w:rStyle w:val="FootnoteReference"/>
          <w:rFonts w:ascii="Times New Roman" w:hAnsi="Times New Roman" w:cs="Times New Roman"/>
          <w:sz w:val="24"/>
          <w:szCs w:val="24"/>
        </w:rPr>
        <w:footnoteReference w:id="1"/>
      </w:r>
      <w:r w:rsidRPr="000106AB">
        <w:rPr>
          <w:rFonts w:ascii="Times New Roman" w:hAnsi="Times New Roman" w:cs="Times New Roman"/>
          <w:sz w:val="24"/>
          <w:szCs w:val="24"/>
        </w:rPr>
        <w:t xml:space="preserve">. </w:t>
      </w:r>
      <w:r>
        <w:rPr>
          <w:rFonts w:ascii="Times New Roman" w:hAnsi="Times New Roman" w:cs="Times New Roman"/>
          <w:sz w:val="24"/>
          <w:szCs w:val="24"/>
        </w:rPr>
        <w:t>However, we can ap</w:t>
      </w:r>
      <w:r w:rsidRPr="000106AB">
        <w:rPr>
          <w:rFonts w:ascii="Times New Roman" w:hAnsi="Times New Roman" w:cs="Times New Roman"/>
          <w:sz w:val="24"/>
          <w:szCs w:val="24"/>
        </w:rPr>
        <w:t xml:space="preserve">ply </w:t>
      </w:r>
      <w:r>
        <w:rPr>
          <w:rFonts w:ascii="Times New Roman" w:hAnsi="Times New Roman" w:cs="Times New Roman"/>
          <w:sz w:val="24"/>
          <w:szCs w:val="24"/>
        </w:rPr>
        <w:t>the principles of</w:t>
      </w:r>
      <w:r w:rsidRPr="000106AB">
        <w:rPr>
          <w:rFonts w:ascii="Times New Roman" w:hAnsi="Times New Roman" w:cs="Times New Roman"/>
          <w:sz w:val="24"/>
          <w:szCs w:val="24"/>
        </w:rPr>
        <w:t xml:space="preserve"> domain-driven literacy</w:t>
      </w:r>
      <w:r w:rsidRPr="005D113C">
        <w:rPr>
          <w:rStyle w:val="FootnoteReference"/>
        </w:rPr>
        <w:footnoteReference w:id="2"/>
      </w:r>
      <w:r w:rsidRPr="000106AB">
        <w:rPr>
          <w:rFonts w:ascii="Times New Roman" w:hAnsi="Times New Roman" w:cs="Times New Roman"/>
          <w:sz w:val="24"/>
          <w:szCs w:val="24"/>
        </w:rPr>
        <w:t xml:space="preserve"> to the evidence </w:t>
      </w:r>
      <w:r>
        <w:rPr>
          <w:rFonts w:ascii="Times New Roman" w:hAnsi="Times New Roman" w:cs="Times New Roman"/>
          <w:sz w:val="24"/>
          <w:szCs w:val="24"/>
        </w:rPr>
        <w:t>from Arabia to describe the kinds of literacy for which we do have evidence</w:t>
      </w:r>
      <w:r w:rsidRPr="000106AB">
        <w:rPr>
          <w:rFonts w:ascii="Times New Roman" w:hAnsi="Times New Roman" w:cs="Times New Roman"/>
          <w:sz w:val="24"/>
          <w:szCs w:val="24"/>
        </w:rPr>
        <w:t>.</w:t>
      </w:r>
      <w:r>
        <w:rPr>
          <w:rFonts w:ascii="Times New Roman" w:hAnsi="Times New Roman" w:cs="Times New Roman"/>
          <w:sz w:val="24"/>
          <w:szCs w:val="24"/>
        </w:rPr>
        <w:t xml:space="preserve"> </w:t>
      </w:r>
      <w:r w:rsidR="005441E4">
        <w:rPr>
          <w:rFonts w:ascii="Times New Roman" w:hAnsi="Times New Roman" w:cs="Times New Roman"/>
          <w:sz w:val="24"/>
          <w:szCs w:val="24"/>
        </w:rPr>
        <w:t>Thomas calls this ‘functional literacy’ and defines it, not as the generic ability to function at some generic level of competency, but the ability to fulfill specific functions in society</w:t>
      </w:r>
      <w:r w:rsidR="005441E4">
        <w:rPr>
          <w:rStyle w:val="FootnoteReference"/>
          <w:rFonts w:ascii="Times New Roman" w:hAnsi="Times New Roman" w:cs="Times New Roman"/>
          <w:sz w:val="24"/>
          <w:szCs w:val="24"/>
        </w:rPr>
        <w:footnoteReference w:id="3"/>
      </w:r>
      <w:r w:rsidR="005441E4">
        <w:rPr>
          <w:rFonts w:ascii="Times New Roman" w:hAnsi="Times New Roman" w:cs="Times New Roman"/>
          <w:sz w:val="24"/>
          <w:szCs w:val="24"/>
        </w:rPr>
        <w:t xml:space="preserve">. Thomas, joined by Woolf and Macdonald, stress that these functions overlap </w:t>
      </w:r>
      <w:r w:rsidR="003010E3">
        <w:rPr>
          <w:rFonts w:ascii="Times New Roman" w:hAnsi="Times New Roman" w:cs="Times New Roman"/>
          <w:sz w:val="24"/>
          <w:szCs w:val="24"/>
        </w:rPr>
        <w:t>but are not coterminous</w:t>
      </w:r>
      <w:r w:rsidR="005441E4">
        <w:rPr>
          <w:rFonts w:ascii="Times New Roman" w:hAnsi="Times New Roman" w:cs="Times New Roman"/>
          <w:sz w:val="24"/>
          <w:szCs w:val="24"/>
        </w:rPr>
        <w:t xml:space="preserve">: a person can, for instance, have all the literacy needed for commerce while </w:t>
      </w:r>
      <w:r w:rsidR="003010E3">
        <w:rPr>
          <w:rFonts w:ascii="Times New Roman" w:hAnsi="Times New Roman" w:cs="Times New Roman"/>
          <w:sz w:val="24"/>
          <w:szCs w:val="24"/>
        </w:rPr>
        <w:t>failing at competency to handle literary texts</w:t>
      </w:r>
      <w:r w:rsidR="003010E3">
        <w:rPr>
          <w:rStyle w:val="FootnoteReference"/>
          <w:rFonts w:ascii="Times New Roman" w:hAnsi="Times New Roman" w:cs="Times New Roman"/>
          <w:sz w:val="24"/>
          <w:szCs w:val="24"/>
        </w:rPr>
        <w:footnoteReference w:id="4"/>
      </w:r>
      <w:r w:rsidR="003010E3">
        <w:rPr>
          <w:rFonts w:ascii="Times New Roman" w:hAnsi="Times New Roman" w:cs="Times New Roman"/>
          <w:sz w:val="24"/>
          <w:szCs w:val="24"/>
        </w:rPr>
        <w:t>.</w:t>
      </w:r>
    </w:p>
    <w:p w14:paraId="0F64D525" w14:textId="347CE641" w:rsidR="00FD674C" w:rsidRPr="000106AB" w:rsidRDefault="00FD674C" w:rsidP="00FD674C">
      <w:pPr>
        <w:spacing w:after="0" w:line="480" w:lineRule="auto"/>
        <w:rPr>
          <w:rFonts w:ascii="Times New Roman" w:hAnsi="Times New Roman" w:cs="Times New Roman"/>
          <w:sz w:val="24"/>
          <w:szCs w:val="24"/>
        </w:rPr>
      </w:pPr>
      <w:r>
        <w:rPr>
          <w:rFonts w:ascii="Times New Roman" w:hAnsi="Times New Roman" w:cs="Times New Roman"/>
          <w:sz w:val="24"/>
          <w:szCs w:val="24"/>
        </w:rPr>
        <w:t>When combined with the testimony of contemporary Greek and Syriac writers and compared with modern examples, this approach can suggest some reasons for the decline of epigraphic evidence in Arabia during late antiquity, and the development of Arabic as a written language</w:t>
      </w:r>
      <w:r>
        <w:rPr>
          <w:rStyle w:val="FootnoteReference"/>
          <w:rFonts w:ascii="Times New Roman" w:hAnsi="Times New Roman" w:cs="Times New Roman"/>
          <w:sz w:val="24"/>
          <w:szCs w:val="24"/>
        </w:rPr>
        <w:footnoteReference w:id="5"/>
      </w:r>
      <w:r>
        <w:rPr>
          <w:rFonts w:ascii="Times New Roman" w:hAnsi="Times New Roman" w:cs="Times New Roman"/>
          <w:sz w:val="24"/>
          <w:szCs w:val="24"/>
        </w:rPr>
        <w:t>. By investigating the socio-religious environments created by forces at work during late antiquity, we can give some idea of the relationship which various social groups may have had with the written word in that period.</w:t>
      </w:r>
    </w:p>
    <w:p w14:paraId="2A51B785" w14:textId="77777777" w:rsidR="00FD674C" w:rsidRPr="0036378B" w:rsidRDefault="00FD674C" w:rsidP="00FD674C">
      <w:pPr>
        <w:pStyle w:val="Heading1"/>
      </w:pPr>
      <w:r w:rsidRPr="0036378B">
        <w:lastRenderedPageBreak/>
        <w:t xml:space="preserve">The Limits of Surveying </w:t>
      </w:r>
      <w:r w:rsidRPr="006F7C9C">
        <w:t>Ancient</w:t>
      </w:r>
      <w:r w:rsidRPr="0036378B">
        <w:t xml:space="preserve"> Societies</w:t>
      </w:r>
    </w:p>
    <w:p w14:paraId="1BFA434F" w14:textId="77777777" w:rsidR="00FD674C" w:rsidRPr="000106AB" w:rsidRDefault="00FD674C" w:rsidP="00FD674C">
      <w:pPr>
        <w:spacing w:after="0" w:line="480" w:lineRule="auto"/>
        <w:rPr>
          <w:rFonts w:ascii="Times New Roman" w:hAnsi="Times New Roman" w:cs="Times New Roman"/>
          <w:sz w:val="24"/>
          <w:szCs w:val="24"/>
        </w:rPr>
      </w:pPr>
      <w:r w:rsidRPr="000106AB">
        <w:rPr>
          <w:rFonts w:ascii="Times New Roman" w:hAnsi="Times New Roman" w:cs="Times New Roman"/>
          <w:sz w:val="24"/>
          <w:szCs w:val="24"/>
        </w:rPr>
        <w:t xml:space="preserve">Historians investigating the levels and kinds of literacy in the ancient world </w:t>
      </w:r>
      <w:r>
        <w:rPr>
          <w:rFonts w:ascii="Times New Roman" w:hAnsi="Times New Roman" w:cs="Times New Roman"/>
          <w:sz w:val="24"/>
          <w:szCs w:val="24"/>
        </w:rPr>
        <w:t>encounter certain</w:t>
      </w:r>
      <w:r w:rsidRPr="000106AB">
        <w:rPr>
          <w:rFonts w:ascii="Times New Roman" w:hAnsi="Times New Roman" w:cs="Times New Roman"/>
          <w:sz w:val="24"/>
          <w:szCs w:val="24"/>
        </w:rPr>
        <w:t xml:space="preserve"> inheren</w:t>
      </w:r>
      <w:r>
        <w:rPr>
          <w:rFonts w:ascii="Times New Roman" w:hAnsi="Times New Roman" w:cs="Times New Roman"/>
          <w:sz w:val="24"/>
          <w:szCs w:val="24"/>
        </w:rPr>
        <w:t>t restrictions</w:t>
      </w:r>
      <w:r w:rsidRPr="000106AB">
        <w:rPr>
          <w:rFonts w:ascii="Times New Roman" w:hAnsi="Times New Roman" w:cs="Times New Roman"/>
          <w:sz w:val="24"/>
          <w:szCs w:val="24"/>
        </w:rPr>
        <w:t>. Describing the minimum standard for a survey of literacy levels, Guadalupe and Cardoso offer nine criteria for ensuring accurate measurements of literacy.</w:t>
      </w:r>
      <w:r w:rsidRPr="005D113C">
        <w:rPr>
          <w:rStyle w:val="FootnoteReference"/>
        </w:rPr>
        <w:footnoteReference w:id="6"/>
      </w:r>
      <w:r w:rsidRPr="000106AB">
        <w:rPr>
          <w:rFonts w:ascii="Times New Roman" w:hAnsi="Times New Roman" w:cs="Times New Roman"/>
          <w:sz w:val="24"/>
          <w:szCs w:val="24"/>
        </w:rPr>
        <w:t xml:space="preserve"> While the ability of ancient historians to reach any of these benchmarks may be debated, we could argue that for late antique Arabia we can achieve several, including a focused statement of purpose</w:t>
      </w:r>
      <w:r w:rsidRPr="005D113C">
        <w:rPr>
          <w:rStyle w:val="FootnoteReference"/>
        </w:rPr>
        <w:footnoteReference w:id="7"/>
      </w:r>
      <w:r w:rsidRPr="000106AB">
        <w:rPr>
          <w:rFonts w:ascii="Times New Roman" w:hAnsi="Times New Roman" w:cs="Times New Roman"/>
          <w:sz w:val="24"/>
          <w:szCs w:val="24"/>
        </w:rPr>
        <w:t>, “a proper definition of the target population”</w:t>
      </w:r>
      <w:r w:rsidRPr="005D113C">
        <w:rPr>
          <w:rStyle w:val="FootnoteReference"/>
        </w:rPr>
        <w:footnoteReference w:id="8"/>
      </w:r>
      <w:r w:rsidRPr="000106AB">
        <w:rPr>
          <w:rFonts w:ascii="Times New Roman" w:hAnsi="Times New Roman" w:cs="Times New Roman"/>
          <w:sz w:val="24"/>
          <w:szCs w:val="24"/>
        </w:rPr>
        <w:t>, and responsible data handling and reporting</w:t>
      </w:r>
      <w:r w:rsidRPr="005D113C">
        <w:rPr>
          <w:rStyle w:val="FootnoteReference"/>
        </w:rPr>
        <w:footnoteReference w:id="9"/>
      </w:r>
      <w:r w:rsidRPr="000106AB">
        <w:rPr>
          <w:rFonts w:ascii="Times New Roman" w:hAnsi="Times New Roman" w:cs="Times New Roman"/>
          <w:sz w:val="24"/>
          <w:szCs w:val="24"/>
        </w:rPr>
        <w:t xml:space="preserve">. Really problematic, though, are the demands that such a study </w:t>
      </w:r>
      <w:proofErr w:type="gramStart"/>
      <w:r w:rsidRPr="000106AB">
        <w:rPr>
          <w:rFonts w:ascii="Times New Roman" w:hAnsi="Times New Roman" w:cs="Times New Roman"/>
          <w:sz w:val="24"/>
          <w:szCs w:val="24"/>
        </w:rPr>
        <w:t>include</w:t>
      </w:r>
      <w:proofErr w:type="gramEnd"/>
      <w:r w:rsidRPr="000106AB">
        <w:rPr>
          <w:rFonts w:ascii="Times New Roman" w:hAnsi="Times New Roman" w:cs="Times New Roman"/>
          <w:sz w:val="24"/>
          <w:szCs w:val="24"/>
        </w:rPr>
        <w:t xml:space="preserve"> “a sound implementation of sampling issues” and “a reliable field operation”</w:t>
      </w:r>
      <w:r w:rsidRPr="005D113C">
        <w:rPr>
          <w:rStyle w:val="FootnoteReference"/>
        </w:rPr>
        <w:footnoteReference w:id="10"/>
      </w:r>
      <w:r w:rsidRPr="000106AB">
        <w:rPr>
          <w:rFonts w:ascii="Times New Roman" w:hAnsi="Times New Roman" w:cs="Times New Roman"/>
          <w:sz w:val="24"/>
          <w:szCs w:val="24"/>
        </w:rPr>
        <w:t xml:space="preserve">. Our field operation is limited to sifting through what remains after nearly two millennia of cultural interchange, and our data </w:t>
      </w:r>
      <w:r>
        <w:rPr>
          <w:rFonts w:ascii="Times New Roman" w:hAnsi="Times New Roman" w:cs="Times New Roman"/>
          <w:sz w:val="24"/>
          <w:szCs w:val="24"/>
        </w:rPr>
        <w:t>samples are skewed</w:t>
      </w:r>
      <w:r w:rsidRPr="000106AB">
        <w:rPr>
          <w:rFonts w:ascii="Times New Roman" w:hAnsi="Times New Roman" w:cs="Times New Roman"/>
          <w:sz w:val="24"/>
          <w:szCs w:val="24"/>
        </w:rPr>
        <w:t xml:space="preserve"> by the same factors</w:t>
      </w:r>
      <w:r>
        <w:rPr>
          <w:rStyle w:val="FootnoteReference"/>
          <w:rFonts w:ascii="Times New Roman" w:hAnsi="Times New Roman" w:cs="Times New Roman"/>
          <w:sz w:val="24"/>
          <w:szCs w:val="24"/>
        </w:rPr>
        <w:footnoteReference w:id="11"/>
      </w:r>
      <w:r w:rsidRPr="000106AB">
        <w:rPr>
          <w:rFonts w:ascii="Times New Roman" w:hAnsi="Times New Roman" w:cs="Times New Roman"/>
          <w:sz w:val="24"/>
          <w:szCs w:val="24"/>
        </w:rPr>
        <w:t xml:space="preserve">. </w:t>
      </w:r>
    </w:p>
    <w:p w14:paraId="6AF4E6F1" w14:textId="1FC100D1" w:rsidR="00FD674C" w:rsidRDefault="00FD674C" w:rsidP="00FD674C">
      <w:pPr>
        <w:spacing w:after="0" w:line="480" w:lineRule="auto"/>
        <w:rPr>
          <w:rFonts w:ascii="Times New Roman" w:hAnsi="Times New Roman" w:cs="Times New Roman"/>
          <w:sz w:val="24"/>
          <w:szCs w:val="24"/>
        </w:rPr>
      </w:pPr>
      <w:r>
        <w:rPr>
          <w:rFonts w:ascii="Times New Roman" w:hAnsi="Times New Roman" w:cs="Times New Roman"/>
          <w:sz w:val="24"/>
          <w:szCs w:val="24"/>
        </w:rPr>
        <w:t>Given that the available epigraphic evidence is scattered and incomplete</w:t>
      </w:r>
      <w:r>
        <w:rPr>
          <w:rStyle w:val="FootnoteReference"/>
          <w:rFonts w:ascii="Times New Roman" w:hAnsi="Times New Roman" w:cs="Times New Roman"/>
          <w:sz w:val="24"/>
          <w:szCs w:val="24"/>
        </w:rPr>
        <w:footnoteReference w:id="12"/>
      </w:r>
      <w:r>
        <w:rPr>
          <w:rFonts w:ascii="Times New Roman" w:hAnsi="Times New Roman" w:cs="Times New Roman"/>
          <w:sz w:val="24"/>
          <w:szCs w:val="24"/>
        </w:rPr>
        <w:t>, we must be particularly humble about drawing conclusions from it. Typically, we conclude that a language or script ceased to be written when we find no more evidence of such writing</w:t>
      </w:r>
      <w:r>
        <w:rPr>
          <w:rStyle w:val="FootnoteReference"/>
          <w:rFonts w:ascii="Times New Roman" w:hAnsi="Times New Roman" w:cs="Times New Roman"/>
          <w:sz w:val="24"/>
          <w:szCs w:val="24"/>
        </w:rPr>
        <w:footnoteReference w:id="13"/>
      </w:r>
      <w:r w:rsidRPr="000106AB">
        <w:rPr>
          <w:rFonts w:ascii="Times New Roman" w:hAnsi="Times New Roman" w:cs="Times New Roman"/>
          <w:sz w:val="24"/>
          <w:szCs w:val="24"/>
        </w:rPr>
        <w:t xml:space="preserve">. </w:t>
      </w:r>
      <w:r>
        <w:rPr>
          <w:rFonts w:ascii="Times New Roman" w:hAnsi="Times New Roman" w:cs="Times New Roman"/>
          <w:sz w:val="24"/>
          <w:szCs w:val="24"/>
        </w:rPr>
        <w:t xml:space="preserve">However, we ought not to judge literacy levels simply by the quantity of records in a geographic area. </w:t>
      </w:r>
      <w:r w:rsidRPr="000106AB">
        <w:rPr>
          <w:rFonts w:ascii="Times New Roman" w:hAnsi="Times New Roman" w:cs="Times New Roman"/>
          <w:sz w:val="24"/>
          <w:szCs w:val="24"/>
        </w:rPr>
        <w:t>The absence of positive evidence</w:t>
      </w:r>
      <w:r>
        <w:rPr>
          <w:rFonts w:ascii="Times New Roman" w:hAnsi="Times New Roman" w:cs="Times New Roman"/>
          <w:sz w:val="24"/>
          <w:szCs w:val="24"/>
        </w:rPr>
        <w:t xml:space="preserve"> demonstrating </w:t>
      </w:r>
      <w:r w:rsidRPr="000106AB">
        <w:rPr>
          <w:rFonts w:ascii="Times New Roman" w:hAnsi="Times New Roman" w:cs="Times New Roman"/>
          <w:sz w:val="24"/>
          <w:szCs w:val="24"/>
        </w:rPr>
        <w:t xml:space="preserve">literacy </w:t>
      </w:r>
      <w:r>
        <w:rPr>
          <w:rFonts w:ascii="Times New Roman" w:hAnsi="Times New Roman" w:cs="Times New Roman"/>
          <w:sz w:val="24"/>
          <w:szCs w:val="24"/>
        </w:rPr>
        <w:t>may</w:t>
      </w:r>
      <w:r w:rsidRPr="000106AB">
        <w:rPr>
          <w:rFonts w:ascii="Times New Roman" w:hAnsi="Times New Roman" w:cs="Times New Roman"/>
          <w:sz w:val="24"/>
          <w:szCs w:val="24"/>
        </w:rPr>
        <w:t xml:space="preserve"> </w:t>
      </w:r>
      <w:r>
        <w:rPr>
          <w:rFonts w:ascii="Times New Roman" w:hAnsi="Times New Roman" w:cs="Times New Roman"/>
          <w:sz w:val="24"/>
          <w:szCs w:val="24"/>
        </w:rPr>
        <w:t>naturally be</w:t>
      </w:r>
      <w:r w:rsidRPr="000106AB">
        <w:rPr>
          <w:rFonts w:ascii="Times New Roman" w:hAnsi="Times New Roman" w:cs="Times New Roman"/>
          <w:sz w:val="24"/>
          <w:szCs w:val="24"/>
        </w:rPr>
        <w:t xml:space="preserve"> taken as evidence</w:t>
      </w:r>
      <w:r>
        <w:rPr>
          <w:rFonts w:ascii="Times New Roman" w:hAnsi="Times New Roman" w:cs="Times New Roman"/>
          <w:sz w:val="24"/>
          <w:szCs w:val="24"/>
        </w:rPr>
        <w:t xml:space="preserve"> demonstrating the absence of literacy</w:t>
      </w:r>
      <w:r w:rsidRPr="000106AB">
        <w:rPr>
          <w:rFonts w:ascii="Times New Roman" w:hAnsi="Times New Roman" w:cs="Times New Roman"/>
          <w:sz w:val="24"/>
          <w:szCs w:val="24"/>
        </w:rPr>
        <w:t>. Yet such an argument from silence</w:t>
      </w:r>
      <w:r>
        <w:rPr>
          <w:rFonts w:ascii="Times New Roman" w:hAnsi="Times New Roman" w:cs="Times New Roman"/>
          <w:sz w:val="24"/>
          <w:szCs w:val="24"/>
        </w:rPr>
        <w:t xml:space="preserve">, while valid, </w:t>
      </w:r>
      <w:r w:rsidRPr="000106AB">
        <w:rPr>
          <w:rFonts w:ascii="Times New Roman" w:hAnsi="Times New Roman" w:cs="Times New Roman"/>
          <w:sz w:val="24"/>
          <w:szCs w:val="24"/>
        </w:rPr>
        <w:t>is unsafe</w:t>
      </w:r>
      <w:r>
        <w:rPr>
          <w:rFonts w:ascii="Times New Roman" w:hAnsi="Times New Roman" w:cs="Times New Roman"/>
          <w:sz w:val="24"/>
          <w:szCs w:val="24"/>
        </w:rPr>
        <w:t xml:space="preserve"> unless compared with other streams of evidence</w:t>
      </w:r>
      <w:r w:rsidRPr="000106AB">
        <w:rPr>
          <w:rFonts w:ascii="Times New Roman" w:hAnsi="Times New Roman" w:cs="Times New Roman"/>
          <w:sz w:val="24"/>
          <w:szCs w:val="24"/>
        </w:rPr>
        <w:t xml:space="preserve">. An extreme example is Harris’ willingness to doubt ancient testimony on literacy due to the lack of papyrological evidence to </w:t>
      </w:r>
      <w:r w:rsidRPr="000106AB">
        <w:rPr>
          <w:rFonts w:ascii="Times New Roman" w:hAnsi="Times New Roman" w:cs="Times New Roman"/>
          <w:sz w:val="24"/>
          <w:szCs w:val="24"/>
        </w:rPr>
        <w:lastRenderedPageBreak/>
        <w:t>support that ancient testimony</w:t>
      </w:r>
      <w:r w:rsidRPr="005D113C">
        <w:rPr>
          <w:rStyle w:val="FootnoteReference"/>
        </w:rPr>
        <w:footnoteReference w:id="14"/>
      </w:r>
      <w:r w:rsidRPr="000106AB">
        <w:rPr>
          <w:rFonts w:ascii="Times New Roman" w:hAnsi="Times New Roman" w:cs="Times New Roman"/>
          <w:sz w:val="24"/>
          <w:szCs w:val="24"/>
        </w:rPr>
        <w:t>.  Writing may decline for many reasons; the decline of the evidence for literacy demonstrates not that a society ceased to use writing, but that it ceased to choose to record certain events on certain materials.</w:t>
      </w:r>
      <w:r w:rsidRPr="005D113C">
        <w:rPr>
          <w:rStyle w:val="FootnoteReference"/>
        </w:rPr>
        <w:footnoteReference w:id="15"/>
      </w:r>
      <w:r w:rsidRPr="000106AB">
        <w:rPr>
          <w:rFonts w:ascii="Times New Roman" w:hAnsi="Times New Roman" w:cs="Times New Roman"/>
          <w:sz w:val="24"/>
          <w:szCs w:val="24"/>
        </w:rPr>
        <w:t xml:space="preserve"> This may mean that the society switched modes of literacy rather than ended literary practice.</w:t>
      </w:r>
      <w:r w:rsidRPr="005D113C">
        <w:rPr>
          <w:rStyle w:val="FootnoteReference"/>
        </w:rPr>
        <w:footnoteReference w:id="16"/>
      </w:r>
      <w:r>
        <w:rPr>
          <w:rFonts w:ascii="Times New Roman" w:hAnsi="Times New Roman" w:cs="Times New Roman"/>
          <w:sz w:val="24"/>
          <w:szCs w:val="24"/>
        </w:rPr>
        <w:t xml:space="preserve"> </w:t>
      </w:r>
    </w:p>
    <w:p w14:paraId="504CA310" w14:textId="332E8AF1" w:rsidR="00FD674C" w:rsidRDefault="00FD674C" w:rsidP="00FD674C">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The variations in evidence, both in the rate of inscriptions found and in the languages of those inscriptions, can shed some light on social and religious forces that affected literacy in northwestern Arabia, and that in turn may have been driven by literacy. But in order to be useful, they must be combined with what we know from other sources of the practices of the inhabitants of the region. In general, then, I propose following the model </w:t>
      </w:r>
      <w:r w:rsidR="003010E3">
        <w:rPr>
          <w:rFonts w:ascii="Times New Roman" w:hAnsi="Times New Roman" w:cs="Times New Roman"/>
          <w:sz w:val="24"/>
          <w:szCs w:val="24"/>
        </w:rPr>
        <w:t>inspired</w:t>
      </w:r>
      <w:r>
        <w:rPr>
          <w:rFonts w:ascii="Times New Roman" w:hAnsi="Times New Roman" w:cs="Times New Roman"/>
          <w:sz w:val="24"/>
          <w:szCs w:val="24"/>
        </w:rPr>
        <w:t xml:space="preserve"> by Thomas</w:t>
      </w:r>
      <w:r w:rsidR="003010E3">
        <w:rPr>
          <w:rFonts w:ascii="Times New Roman" w:hAnsi="Times New Roman" w:cs="Times New Roman"/>
          <w:sz w:val="24"/>
          <w:szCs w:val="24"/>
        </w:rPr>
        <w:t>’ exploration of</w:t>
      </w:r>
      <w:r>
        <w:rPr>
          <w:rFonts w:ascii="Times New Roman" w:hAnsi="Times New Roman" w:cs="Times New Roman"/>
          <w:sz w:val="24"/>
          <w:szCs w:val="24"/>
        </w:rPr>
        <w:t xml:space="preserve"> Athenian literacy</w:t>
      </w:r>
      <w:r w:rsidRPr="005D113C">
        <w:rPr>
          <w:rStyle w:val="FootnoteReference"/>
        </w:rPr>
        <w:footnoteReference w:id="17"/>
      </w:r>
      <w:r>
        <w:rPr>
          <w:rFonts w:ascii="Times New Roman" w:hAnsi="Times New Roman" w:cs="Times New Roman"/>
          <w:sz w:val="24"/>
          <w:szCs w:val="24"/>
        </w:rPr>
        <w:t>:</w:t>
      </w:r>
    </w:p>
    <w:p w14:paraId="27186BDD" w14:textId="77777777" w:rsidR="00FD674C" w:rsidRDefault="00FD674C" w:rsidP="00FD674C">
      <w:pPr>
        <w:pStyle w:val="ListParagraph"/>
        <w:numPr>
          <w:ilvl w:val="0"/>
          <w:numId w:val="1"/>
        </w:numPr>
        <w:spacing w:after="0" w:line="480" w:lineRule="auto"/>
        <w:rPr>
          <w:rFonts w:ascii="Times New Roman" w:hAnsi="Times New Roman" w:cs="Times New Roman"/>
          <w:sz w:val="24"/>
          <w:szCs w:val="24"/>
        </w:rPr>
      </w:pPr>
      <w:r>
        <w:rPr>
          <w:rFonts w:ascii="Times New Roman" w:hAnsi="Times New Roman" w:cs="Times New Roman"/>
          <w:sz w:val="24"/>
          <w:szCs w:val="24"/>
        </w:rPr>
        <w:t>Describe the kind of practice that produced the literary evidence available to us. What was required to produce this writing? Who wrote it? What function did the writing have?</w:t>
      </w:r>
    </w:p>
    <w:p w14:paraId="6EEEC8F6" w14:textId="77777777" w:rsidR="00FD674C" w:rsidRDefault="00FD674C" w:rsidP="00FD674C">
      <w:pPr>
        <w:pStyle w:val="ListParagraph"/>
        <w:numPr>
          <w:ilvl w:val="0"/>
          <w:numId w:val="1"/>
        </w:numPr>
        <w:spacing w:after="0" w:line="480" w:lineRule="auto"/>
        <w:rPr>
          <w:rFonts w:ascii="Times New Roman" w:hAnsi="Times New Roman" w:cs="Times New Roman"/>
          <w:sz w:val="24"/>
          <w:szCs w:val="24"/>
        </w:rPr>
      </w:pPr>
      <w:r>
        <w:rPr>
          <w:rFonts w:ascii="Times New Roman" w:hAnsi="Times New Roman" w:cs="Times New Roman"/>
          <w:sz w:val="24"/>
          <w:szCs w:val="24"/>
        </w:rPr>
        <w:t>Consider the implications of this practice in the context of the ancient society. Who was expected to read this text? Who was exposed to it?</w:t>
      </w:r>
    </w:p>
    <w:p w14:paraId="59A070BD" w14:textId="77777777" w:rsidR="00FD674C" w:rsidRDefault="00FD674C" w:rsidP="00FD674C">
      <w:pPr>
        <w:pStyle w:val="ListParagraph"/>
        <w:numPr>
          <w:ilvl w:val="0"/>
          <w:numId w:val="1"/>
        </w:numPr>
        <w:spacing w:after="0" w:line="480" w:lineRule="auto"/>
        <w:rPr>
          <w:rFonts w:ascii="Times New Roman" w:hAnsi="Times New Roman" w:cs="Times New Roman"/>
          <w:sz w:val="24"/>
          <w:szCs w:val="24"/>
        </w:rPr>
      </w:pPr>
      <w:r>
        <w:rPr>
          <w:rFonts w:ascii="Times New Roman" w:hAnsi="Times New Roman" w:cs="Times New Roman"/>
          <w:sz w:val="24"/>
          <w:szCs w:val="24"/>
        </w:rPr>
        <w:t>Compare the implications with what we know of other societies, including modern ones. What does this suggest about the extent of literacy in the ancient society? Which social groups were involved?</w:t>
      </w:r>
    </w:p>
    <w:p w14:paraId="154A6B42" w14:textId="35743D24" w:rsidR="00606630" w:rsidRDefault="00606630" w:rsidP="00FD674C">
      <w:pPr>
        <w:spacing w:after="0" w:line="480" w:lineRule="auto"/>
        <w:rPr>
          <w:rFonts w:ascii="Times New Roman" w:hAnsi="Times New Roman" w:cs="Times New Roman"/>
          <w:sz w:val="24"/>
          <w:szCs w:val="24"/>
        </w:rPr>
      </w:pPr>
      <w:r>
        <w:rPr>
          <w:rFonts w:ascii="Times New Roman" w:hAnsi="Times New Roman" w:cs="Times New Roman"/>
          <w:sz w:val="24"/>
          <w:szCs w:val="24"/>
        </w:rPr>
        <w:t>Due to the fragmentary nature of direct epigraphic and literary evidence from northwestern Arabia, I propose a fourth component for the model:</w:t>
      </w:r>
    </w:p>
    <w:p w14:paraId="3D914458" w14:textId="0FAE2D15" w:rsidR="00606630" w:rsidRDefault="00606630" w:rsidP="00606630">
      <w:pPr>
        <w:pStyle w:val="ListParagraph"/>
        <w:numPr>
          <w:ilvl w:val="0"/>
          <w:numId w:val="1"/>
        </w:numPr>
        <w:spacing w:after="0" w:line="480" w:lineRule="auto"/>
        <w:rPr>
          <w:rFonts w:ascii="Times New Roman" w:hAnsi="Times New Roman" w:cs="Times New Roman"/>
          <w:sz w:val="24"/>
          <w:szCs w:val="24"/>
        </w:rPr>
      </w:pPr>
      <w:r>
        <w:rPr>
          <w:rFonts w:ascii="Times New Roman" w:hAnsi="Times New Roman" w:cs="Times New Roman"/>
          <w:sz w:val="24"/>
          <w:szCs w:val="24"/>
        </w:rPr>
        <w:t>Consider the practices of society that would have created an expectation of literacy. Who do we know participated in these practices? What kind of literacy did the practices require? What kind of literacy did they make desirable?</w:t>
      </w:r>
    </w:p>
    <w:p w14:paraId="28042FEF" w14:textId="48437AF2" w:rsidR="00606630" w:rsidRPr="00606630" w:rsidRDefault="00606630" w:rsidP="00606630">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Number </w:t>
      </w:r>
      <w:r w:rsidR="000F3AD5">
        <w:rPr>
          <w:rFonts w:ascii="Times New Roman" w:hAnsi="Times New Roman" w:cs="Times New Roman"/>
          <w:sz w:val="24"/>
          <w:szCs w:val="24"/>
        </w:rPr>
        <w:t>4</w:t>
      </w:r>
      <w:r>
        <w:rPr>
          <w:rFonts w:ascii="Times New Roman" w:hAnsi="Times New Roman" w:cs="Times New Roman"/>
          <w:sz w:val="24"/>
          <w:szCs w:val="24"/>
        </w:rPr>
        <w:t xml:space="preserve"> is the reverse of number 2: it relies on indirect evidence to suggest what literacies we might expect to find in northwestern Arabia. While this presents an inherent risk, </w:t>
      </w:r>
      <w:r w:rsidR="005A0A35">
        <w:rPr>
          <w:rFonts w:ascii="Times New Roman" w:hAnsi="Times New Roman" w:cs="Times New Roman"/>
          <w:sz w:val="24"/>
          <w:szCs w:val="24"/>
        </w:rPr>
        <w:t>inviting</w:t>
      </w:r>
      <w:r>
        <w:rPr>
          <w:rFonts w:ascii="Times New Roman" w:hAnsi="Times New Roman" w:cs="Times New Roman"/>
          <w:sz w:val="24"/>
          <w:szCs w:val="24"/>
        </w:rPr>
        <w:t xml:space="preserve"> us to make assumptions about what Arabs </w:t>
      </w:r>
      <w:r w:rsidRPr="005A0A35">
        <w:rPr>
          <w:rFonts w:ascii="Times New Roman" w:hAnsi="Times New Roman" w:cs="Times New Roman"/>
          <w:i/>
          <w:sz w:val="24"/>
          <w:szCs w:val="24"/>
        </w:rPr>
        <w:t>would</w:t>
      </w:r>
      <w:r>
        <w:rPr>
          <w:rFonts w:ascii="Times New Roman" w:hAnsi="Times New Roman" w:cs="Times New Roman"/>
          <w:sz w:val="24"/>
          <w:szCs w:val="24"/>
        </w:rPr>
        <w:t xml:space="preserve"> have done, it provides an important perspective to fill in the gaps in the epigraphic and literary record. </w:t>
      </w:r>
    </w:p>
    <w:p w14:paraId="7B11E7BC" w14:textId="045950C5" w:rsidR="00FD674C" w:rsidRPr="00C22781" w:rsidRDefault="00FD674C" w:rsidP="00FD674C">
      <w:pPr>
        <w:spacing w:after="0" w:line="480" w:lineRule="auto"/>
        <w:rPr>
          <w:rFonts w:ascii="Times New Roman" w:hAnsi="Times New Roman" w:cs="Times New Roman"/>
          <w:sz w:val="24"/>
          <w:szCs w:val="24"/>
        </w:rPr>
      </w:pPr>
      <w:r>
        <w:rPr>
          <w:rFonts w:ascii="Times New Roman" w:hAnsi="Times New Roman" w:cs="Times New Roman"/>
          <w:sz w:val="24"/>
          <w:szCs w:val="24"/>
        </w:rPr>
        <w:t>This approach is an admission that we cannot know how many residents of northwestern Arabia could read and write in any language, and we may not be well-served by guesses at quantification</w:t>
      </w:r>
      <w:r>
        <w:rPr>
          <w:rStyle w:val="FootnoteReference"/>
          <w:rFonts w:ascii="Times New Roman" w:hAnsi="Times New Roman" w:cs="Times New Roman"/>
          <w:sz w:val="24"/>
          <w:szCs w:val="24"/>
        </w:rPr>
        <w:footnoteReference w:id="18"/>
      </w:r>
      <w:r>
        <w:rPr>
          <w:rFonts w:ascii="Times New Roman" w:hAnsi="Times New Roman" w:cs="Times New Roman"/>
          <w:sz w:val="24"/>
          <w:szCs w:val="24"/>
        </w:rPr>
        <w:t xml:space="preserve">. On the other hand, this approach acknowledges that the evidence can tell us </w:t>
      </w:r>
      <w:r>
        <w:rPr>
          <w:rFonts w:ascii="Times New Roman" w:hAnsi="Times New Roman" w:cs="Times New Roman"/>
          <w:sz w:val="24"/>
          <w:szCs w:val="24"/>
        </w:rPr>
        <w:lastRenderedPageBreak/>
        <w:t xml:space="preserve">something, perhaps a great deal, about some of the people of the region. If we cannot know how large a percentage of the population they represented, we can say that there were in northwestern Arabia some people who practiced kinds of literacy. </w:t>
      </w:r>
    </w:p>
    <w:p w14:paraId="78F418C5" w14:textId="77777777" w:rsidR="00FD674C" w:rsidRDefault="00FD674C" w:rsidP="00FD674C">
      <w:pPr>
        <w:pStyle w:val="Heading1"/>
      </w:pPr>
      <w:r>
        <w:t>A regional versus ethnic, tribal, or script-family approach</w:t>
      </w:r>
    </w:p>
    <w:p w14:paraId="476738F9" w14:textId="77777777" w:rsidR="00FD674C" w:rsidRDefault="00FD674C" w:rsidP="00FD674C">
      <w:pPr>
        <w:spacing w:after="0" w:line="480" w:lineRule="auto"/>
        <w:rPr>
          <w:rFonts w:ascii="Times New Roman" w:hAnsi="Times New Roman" w:cs="Times New Roman"/>
          <w:sz w:val="24"/>
          <w:szCs w:val="24"/>
        </w:rPr>
      </w:pPr>
      <w:r w:rsidRPr="008D6A4F">
        <w:rPr>
          <w:rFonts w:ascii="Times New Roman" w:hAnsi="Times New Roman" w:cs="Times New Roman"/>
          <w:sz w:val="24"/>
          <w:szCs w:val="24"/>
        </w:rPr>
        <w:t xml:space="preserve">The Arabian Peninsula hosted diverse streams of language. Ancient North Arabian (ANA) and Ancient South Arabian (ASA) inscriptions appear in a range of scripts whose relationships are not clear.  </w:t>
      </w:r>
      <w:r>
        <w:rPr>
          <w:rFonts w:ascii="Times New Roman" w:hAnsi="Times New Roman" w:cs="Times New Roman"/>
          <w:sz w:val="24"/>
          <w:szCs w:val="24"/>
        </w:rPr>
        <w:t>Arabic script developed from Nabataean</w:t>
      </w:r>
      <w:r>
        <w:rPr>
          <w:rStyle w:val="FootnoteReference"/>
          <w:rFonts w:ascii="Times New Roman" w:hAnsi="Times New Roman" w:cs="Times New Roman"/>
          <w:sz w:val="24"/>
          <w:szCs w:val="24"/>
        </w:rPr>
        <w:footnoteReference w:id="19"/>
      </w:r>
      <w:r>
        <w:rPr>
          <w:rFonts w:ascii="Times New Roman" w:hAnsi="Times New Roman" w:cs="Times New Roman"/>
          <w:sz w:val="24"/>
          <w:szCs w:val="24"/>
        </w:rPr>
        <w:t>; again, we are not sure of the relationships between spoken languages and script varieties. While there is much value in tracing the development of languages and scripts in the way that Macdonald and Stein</w:t>
      </w:r>
      <w:r w:rsidRPr="005D113C">
        <w:rPr>
          <w:rStyle w:val="FootnoteReference"/>
        </w:rPr>
        <w:footnoteReference w:id="20"/>
      </w:r>
      <w:r>
        <w:rPr>
          <w:rFonts w:ascii="Times New Roman" w:hAnsi="Times New Roman" w:cs="Times New Roman"/>
          <w:sz w:val="24"/>
          <w:szCs w:val="24"/>
        </w:rPr>
        <w:t xml:space="preserve"> have done, my purpose in this project is to describe the functions of literacy in the northwestern Arabian Peninsula, and I am primarily examining the epigraphic evidence from </w:t>
      </w:r>
      <w:proofErr w:type="spellStart"/>
      <w:r>
        <w:rPr>
          <w:rFonts w:ascii="Times New Roman" w:hAnsi="Times New Roman" w:cs="Times New Roman"/>
          <w:sz w:val="24"/>
          <w:szCs w:val="24"/>
        </w:rPr>
        <w:t>Dumat</w:t>
      </w:r>
      <w:proofErr w:type="spellEnd"/>
      <w:r>
        <w:rPr>
          <w:rFonts w:ascii="Times New Roman" w:hAnsi="Times New Roman" w:cs="Times New Roman"/>
          <w:sz w:val="24"/>
          <w:szCs w:val="24"/>
        </w:rPr>
        <w:t xml:space="preserve"> al-</w:t>
      </w:r>
      <w:proofErr w:type="spellStart"/>
      <w:r>
        <w:rPr>
          <w:rFonts w:ascii="Times New Roman" w:hAnsi="Times New Roman" w:cs="Times New Roman"/>
          <w:sz w:val="24"/>
          <w:szCs w:val="24"/>
        </w:rPr>
        <w:t>Jandal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Hegra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Dedan</w:t>
      </w:r>
      <w:proofErr w:type="spellEnd"/>
      <w:r>
        <w:rPr>
          <w:rFonts w:ascii="Times New Roman" w:hAnsi="Times New Roman" w:cs="Times New Roman"/>
          <w:sz w:val="24"/>
          <w:szCs w:val="24"/>
        </w:rPr>
        <w:t xml:space="preserve">, and the routes that linked them. This approach both limits the scope of my inquiry while capturing a cross-section of scripts and peoples. </w:t>
      </w:r>
    </w:p>
    <w:p w14:paraId="5B842377" w14:textId="77777777" w:rsidR="005A0A35" w:rsidRDefault="00FD674C" w:rsidP="00FD674C">
      <w:pPr>
        <w:spacing w:after="0" w:line="480" w:lineRule="auto"/>
        <w:rPr>
          <w:rFonts w:ascii="Times New Roman" w:hAnsi="Times New Roman" w:cs="Times New Roman"/>
          <w:sz w:val="24"/>
          <w:szCs w:val="24"/>
        </w:rPr>
      </w:pPr>
      <w:r>
        <w:rPr>
          <w:rFonts w:ascii="Times New Roman" w:hAnsi="Times New Roman" w:cs="Times New Roman"/>
          <w:sz w:val="24"/>
          <w:szCs w:val="24"/>
        </w:rPr>
        <w:t>Stein, in his recent paper on literary development, excludes Nabataean from his study since it is Aramaic in origin. He also purposes to set aside Christian and Jewish influences on Arabian literacy since he sees them likewise as importations</w:t>
      </w:r>
      <w:r w:rsidRPr="005D113C">
        <w:rPr>
          <w:rStyle w:val="FootnoteReference"/>
        </w:rPr>
        <w:footnoteReference w:id="21"/>
      </w:r>
      <w:r>
        <w:rPr>
          <w:rFonts w:ascii="Times New Roman" w:hAnsi="Times New Roman" w:cs="Times New Roman"/>
          <w:sz w:val="24"/>
          <w:szCs w:val="24"/>
        </w:rPr>
        <w:t xml:space="preserve">. Stein’s interest is in tracing the development of the languages that originated in the Peninsula; while one might see this demarcation as arbitrary, since all Arabian languages were arguably imported at some point, the structure fits his purpose. My goal, however, is different. I am interested in the linguistic experiences of the inhabitants of northwestern Arabia. Thus, no matter whether the language was original to their people or not, I want to identify literary activities in the regions I have chosen. I therefore evaluate inscriptions in any language and script that fit within the time frame of the first six centuries AD and that occur in </w:t>
      </w:r>
      <w:proofErr w:type="spellStart"/>
      <w:r>
        <w:rPr>
          <w:rFonts w:ascii="Times New Roman" w:hAnsi="Times New Roman" w:cs="Times New Roman"/>
          <w:sz w:val="24"/>
          <w:szCs w:val="24"/>
        </w:rPr>
        <w:t>Hegra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Dumat</w:t>
      </w:r>
      <w:proofErr w:type="spellEnd"/>
      <w:r>
        <w:rPr>
          <w:rFonts w:ascii="Times New Roman" w:hAnsi="Times New Roman" w:cs="Times New Roman"/>
          <w:sz w:val="24"/>
          <w:szCs w:val="24"/>
        </w:rPr>
        <w:t xml:space="preserve"> al-</w:t>
      </w:r>
      <w:proofErr w:type="spellStart"/>
      <w:r>
        <w:rPr>
          <w:rFonts w:ascii="Times New Roman" w:hAnsi="Times New Roman" w:cs="Times New Roman"/>
          <w:sz w:val="24"/>
          <w:szCs w:val="24"/>
        </w:rPr>
        <w:t>Jandal</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Dedan</w:t>
      </w:r>
      <w:proofErr w:type="spellEnd"/>
      <w:r>
        <w:rPr>
          <w:rFonts w:ascii="Times New Roman" w:hAnsi="Times New Roman" w:cs="Times New Roman"/>
          <w:sz w:val="24"/>
          <w:szCs w:val="24"/>
        </w:rPr>
        <w:t xml:space="preserve">. In practice, this means that </w:t>
      </w:r>
      <w:proofErr w:type="gramStart"/>
      <w:r>
        <w:rPr>
          <w:rFonts w:ascii="Times New Roman" w:hAnsi="Times New Roman" w:cs="Times New Roman"/>
          <w:sz w:val="24"/>
          <w:szCs w:val="24"/>
        </w:rPr>
        <w:t>the majority of</w:t>
      </w:r>
      <w:proofErr w:type="gramEnd"/>
      <w:r>
        <w:rPr>
          <w:rFonts w:ascii="Times New Roman" w:hAnsi="Times New Roman" w:cs="Times New Roman"/>
          <w:sz w:val="24"/>
          <w:szCs w:val="24"/>
        </w:rPr>
        <w:t xml:space="preserve"> the inscriptions are Nabataean, but there are also examples in other </w:t>
      </w:r>
      <w:r>
        <w:rPr>
          <w:rFonts w:ascii="Times New Roman" w:hAnsi="Times New Roman" w:cs="Times New Roman"/>
          <w:sz w:val="24"/>
          <w:szCs w:val="24"/>
        </w:rPr>
        <w:lastRenderedPageBreak/>
        <w:t>scripts</w:t>
      </w:r>
      <w:r>
        <w:rPr>
          <w:rStyle w:val="FootnoteReference"/>
          <w:rFonts w:ascii="Times New Roman" w:hAnsi="Times New Roman" w:cs="Times New Roman"/>
          <w:sz w:val="24"/>
          <w:szCs w:val="24"/>
        </w:rPr>
        <w:footnoteReference w:id="22"/>
      </w:r>
      <w:r>
        <w:rPr>
          <w:rFonts w:ascii="Times New Roman" w:hAnsi="Times New Roman" w:cs="Times New Roman"/>
          <w:sz w:val="24"/>
          <w:szCs w:val="24"/>
        </w:rPr>
        <w:t xml:space="preserve">. </w:t>
      </w:r>
    </w:p>
    <w:p w14:paraId="5E018897" w14:textId="29FD08F4" w:rsidR="00FD674C" w:rsidRDefault="005A0A35" w:rsidP="00FD674C">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Having identified the area of core interest, however, I also consider trends among Christian communities and Arab literates from across Arabia. </w:t>
      </w:r>
      <w:r w:rsidR="00FD674C">
        <w:rPr>
          <w:rFonts w:ascii="Times New Roman" w:hAnsi="Times New Roman" w:cs="Times New Roman"/>
          <w:sz w:val="24"/>
          <w:szCs w:val="24"/>
        </w:rPr>
        <w:t xml:space="preserve">This approach is premised on the assumption that the inhabitants of the region interacted extensively with members of other tribes and ethnic groups, as demonstrated in the linguistic diversity in the </w:t>
      </w:r>
      <w:proofErr w:type="spellStart"/>
      <w:r w:rsidR="00FD674C">
        <w:rPr>
          <w:rFonts w:ascii="Times New Roman" w:hAnsi="Times New Roman" w:cs="Times New Roman"/>
          <w:sz w:val="24"/>
          <w:szCs w:val="24"/>
        </w:rPr>
        <w:t>Hisma</w:t>
      </w:r>
      <w:proofErr w:type="spellEnd"/>
      <w:r w:rsidR="00FD674C">
        <w:rPr>
          <w:rFonts w:ascii="Times New Roman" w:hAnsi="Times New Roman" w:cs="Times New Roman"/>
          <w:sz w:val="24"/>
          <w:szCs w:val="24"/>
        </w:rPr>
        <w:t xml:space="preserve"> desert</w:t>
      </w:r>
      <w:r w:rsidR="00FD674C" w:rsidRPr="005D113C">
        <w:rPr>
          <w:rStyle w:val="FootnoteReference"/>
        </w:rPr>
        <w:footnoteReference w:id="23"/>
      </w:r>
      <w:r w:rsidR="00FD674C">
        <w:rPr>
          <w:rFonts w:ascii="Times New Roman" w:hAnsi="Times New Roman" w:cs="Times New Roman"/>
          <w:sz w:val="24"/>
          <w:szCs w:val="24"/>
        </w:rPr>
        <w:t xml:space="preserve">. To accurately describe the expectations for literacy of any person, we ought to </w:t>
      </w:r>
      <w:proofErr w:type="gramStart"/>
      <w:r w:rsidR="00FD674C">
        <w:rPr>
          <w:rFonts w:ascii="Times New Roman" w:hAnsi="Times New Roman" w:cs="Times New Roman"/>
          <w:sz w:val="24"/>
          <w:szCs w:val="24"/>
        </w:rPr>
        <w:t>take into account</w:t>
      </w:r>
      <w:proofErr w:type="gramEnd"/>
      <w:r w:rsidR="00FD674C">
        <w:rPr>
          <w:rFonts w:ascii="Times New Roman" w:hAnsi="Times New Roman" w:cs="Times New Roman"/>
          <w:sz w:val="24"/>
          <w:szCs w:val="24"/>
        </w:rPr>
        <w:t xml:space="preserve"> all languages to which she might be exposed.</w:t>
      </w:r>
    </w:p>
    <w:p w14:paraId="5AB1874F" w14:textId="1E011ED7" w:rsidR="001A0438" w:rsidRDefault="00FD674C" w:rsidP="001A0438">
      <w:pPr>
        <w:spacing w:after="0" w:line="480" w:lineRule="auto"/>
        <w:rPr>
          <w:rFonts w:ascii="Times New Roman" w:hAnsi="Times New Roman" w:cs="Times New Roman"/>
          <w:sz w:val="24"/>
          <w:szCs w:val="24"/>
        </w:rPr>
      </w:pPr>
      <w:r>
        <w:rPr>
          <w:rFonts w:ascii="Times New Roman" w:hAnsi="Times New Roman" w:cs="Times New Roman"/>
          <w:sz w:val="24"/>
          <w:szCs w:val="24"/>
        </w:rPr>
        <w:t>Since the evidence for ancient literacy is by nature fragmentary, historians tend to survey not only specific locales but also to extrapolate from other regions. Thomas cautions that this approach can easily lead us to inaccuracies; literate practice may vary widely from one city to another</w:t>
      </w:r>
      <w:r w:rsidRPr="005D113C">
        <w:rPr>
          <w:rStyle w:val="FootnoteReference"/>
        </w:rPr>
        <w:footnoteReference w:id="24"/>
      </w:r>
      <w:r>
        <w:rPr>
          <w:rFonts w:ascii="Times New Roman" w:hAnsi="Times New Roman" w:cs="Times New Roman"/>
          <w:sz w:val="24"/>
          <w:szCs w:val="24"/>
        </w:rPr>
        <w:t xml:space="preserve">. In the case of Arabia, this caution is undoubtedly warranted, since urban centers may have had a very different culture than the nomadic wilderness. However, taking a broad view may also be warranted </w:t>
      </w:r>
      <w:proofErr w:type="gramStart"/>
      <w:r>
        <w:rPr>
          <w:rFonts w:ascii="Times New Roman" w:hAnsi="Times New Roman" w:cs="Times New Roman"/>
          <w:sz w:val="24"/>
          <w:szCs w:val="24"/>
        </w:rPr>
        <w:t>in light of</w:t>
      </w:r>
      <w:proofErr w:type="gramEnd"/>
      <w:r>
        <w:rPr>
          <w:rFonts w:ascii="Times New Roman" w:hAnsi="Times New Roman" w:cs="Times New Roman"/>
          <w:sz w:val="24"/>
          <w:szCs w:val="24"/>
        </w:rPr>
        <w:t xml:space="preserve"> the interconnection between the Peninsula and Syria/Palestine; for instance, Donner notes that a resident of the Negev owned land in Palestine</w:t>
      </w:r>
      <w:r w:rsidRPr="005D113C">
        <w:rPr>
          <w:rStyle w:val="FootnoteReference"/>
        </w:rPr>
        <w:footnoteReference w:id="25"/>
      </w:r>
      <w:r>
        <w:rPr>
          <w:rFonts w:ascii="Times New Roman" w:hAnsi="Times New Roman" w:cs="Times New Roman"/>
          <w:sz w:val="24"/>
          <w:szCs w:val="24"/>
        </w:rPr>
        <w:t xml:space="preserve">. </w:t>
      </w:r>
      <w:proofErr w:type="spellStart"/>
      <w:r>
        <w:rPr>
          <w:rFonts w:ascii="Times New Roman" w:hAnsi="Times New Roman" w:cs="Times New Roman"/>
          <w:sz w:val="24"/>
          <w:szCs w:val="24"/>
        </w:rPr>
        <w:t>Miaphysite</w:t>
      </w:r>
      <w:proofErr w:type="spellEnd"/>
      <w:r>
        <w:rPr>
          <w:rFonts w:ascii="Times New Roman" w:hAnsi="Times New Roman" w:cs="Times New Roman"/>
          <w:sz w:val="24"/>
          <w:szCs w:val="24"/>
        </w:rPr>
        <w:t xml:space="preserve"> Christian networks </w:t>
      </w:r>
      <w:r w:rsidR="005A0A35">
        <w:rPr>
          <w:rFonts w:ascii="Times New Roman" w:hAnsi="Times New Roman" w:cs="Times New Roman"/>
          <w:sz w:val="24"/>
          <w:szCs w:val="24"/>
        </w:rPr>
        <w:t>crisscrossed</w:t>
      </w:r>
      <w:r>
        <w:rPr>
          <w:rFonts w:ascii="Times New Roman" w:hAnsi="Times New Roman" w:cs="Times New Roman"/>
          <w:sz w:val="24"/>
          <w:szCs w:val="24"/>
        </w:rPr>
        <w:t xml:space="preserve"> the Peninsula and modern Syria and Jordan</w:t>
      </w:r>
      <w:r w:rsidRPr="005D113C">
        <w:rPr>
          <w:rStyle w:val="FootnoteReference"/>
        </w:rPr>
        <w:footnoteReference w:id="26"/>
      </w:r>
      <w:r>
        <w:rPr>
          <w:rFonts w:ascii="Times New Roman" w:hAnsi="Times New Roman" w:cs="Times New Roman"/>
          <w:sz w:val="24"/>
          <w:szCs w:val="24"/>
        </w:rPr>
        <w:t xml:space="preserve">. While the geographic distances were vast, at least some inhabitants were mobile and practiced regular contact with each other. </w:t>
      </w:r>
    </w:p>
    <w:p w14:paraId="010AE68E" w14:textId="26302E36" w:rsidR="00FD674C" w:rsidRPr="002D2B1C" w:rsidRDefault="001A0438" w:rsidP="001A0438">
      <w:pPr>
        <w:spacing w:after="0" w:line="480" w:lineRule="auto"/>
        <w:rPr>
          <w:rFonts w:ascii="Times New Roman" w:hAnsi="Times New Roman" w:cs="Times New Roman"/>
          <w:color w:val="000000"/>
          <w:sz w:val="24"/>
          <w:szCs w:val="24"/>
        </w:rPr>
      </w:pPr>
      <w:r>
        <w:rPr>
          <w:rFonts w:ascii="Times New Roman" w:hAnsi="Times New Roman" w:cs="Times New Roman"/>
          <w:sz w:val="24"/>
          <w:szCs w:val="24"/>
        </w:rPr>
        <w:t>Thomas succinctly argued that ‘i</w:t>
      </w:r>
      <w:r w:rsidRPr="001A0438">
        <w:rPr>
          <w:rFonts w:ascii="Times New Roman" w:hAnsi="Times New Roman" w:cs="Times New Roman"/>
          <w:sz w:val="24"/>
          <w:szCs w:val="24"/>
        </w:rPr>
        <w:t>t is the combination both of written and</w:t>
      </w:r>
      <w:r w:rsidRPr="001A0438">
        <w:rPr>
          <w:rFonts w:ascii="Times New Roman" w:hAnsi="Times New Roman" w:cs="Times New Roman"/>
          <w:sz w:val="24"/>
          <w:szCs w:val="24"/>
        </w:rPr>
        <w:t xml:space="preserve"> </w:t>
      </w:r>
      <w:r w:rsidRPr="001A0438">
        <w:rPr>
          <w:rFonts w:ascii="Times New Roman" w:hAnsi="Times New Roman" w:cs="Times New Roman"/>
          <w:sz w:val="24"/>
          <w:szCs w:val="24"/>
        </w:rPr>
        <w:t>of nonwritten activity that tells us about the place of writing in</w:t>
      </w:r>
      <w:r w:rsidRPr="001A0438">
        <w:rPr>
          <w:rFonts w:ascii="Times New Roman" w:hAnsi="Times New Roman" w:cs="Times New Roman"/>
          <w:sz w:val="24"/>
          <w:szCs w:val="24"/>
        </w:rPr>
        <w:t xml:space="preserve"> </w:t>
      </w:r>
      <w:r w:rsidRPr="001A0438">
        <w:rPr>
          <w:rFonts w:ascii="Times New Roman" w:hAnsi="Times New Roman" w:cs="Times New Roman"/>
          <w:sz w:val="24"/>
          <w:szCs w:val="24"/>
        </w:rPr>
        <w:t>the totality of ancient experience</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27"/>
      </w:r>
      <w:r>
        <w:rPr>
          <w:rFonts w:ascii="Times New Roman" w:hAnsi="Times New Roman" w:cs="Times New Roman"/>
          <w:sz w:val="24"/>
          <w:szCs w:val="24"/>
        </w:rPr>
        <w:t xml:space="preserve">. Ironically, by adducing the evidence from </w:t>
      </w:r>
      <w:r w:rsidR="00154F27">
        <w:rPr>
          <w:rFonts w:ascii="Times New Roman" w:hAnsi="Times New Roman" w:cs="Times New Roman"/>
          <w:sz w:val="24"/>
          <w:szCs w:val="24"/>
        </w:rPr>
        <w:t xml:space="preserve">written </w:t>
      </w:r>
      <w:bookmarkStart w:id="0" w:name="_GoBack"/>
      <w:bookmarkEnd w:id="0"/>
      <w:r>
        <w:rPr>
          <w:rFonts w:ascii="Times New Roman" w:hAnsi="Times New Roman" w:cs="Times New Roman"/>
          <w:sz w:val="24"/>
          <w:szCs w:val="24"/>
        </w:rPr>
        <w:t xml:space="preserve">Christian hagiographies and histories of late antiquity, I believe we can supply a portion of this ‘unwritten activity’; that is, we can go beyond what the scribes described directly to deduce the domains of literacy that were popular in the social environment </w:t>
      </w:r>
      <w:r>
        <w:rPr>
          <w:rFonts w:ascii="Times New Roman" w:hAnsi="Times New Roman" w:cs="Times New Roman"/>
          <w:sz w:val="24"/>
          <w:szCs w:val="24"/>
        </w:rPr>
        <w:lastRenderedPageBreak/>
        <w:t xml:space="preserve">of late antiquity. </w:t>
      </w:r>
      <w:r w:rsidR="005441E4">
        <w:rPr>
          <w:rFonts w:ascii="Times New Roman" w:hAnsi="Times New Roman" w:cs="Times New Roman"/>
          <w:color w:val="000000"/>
          <w:sz w:val="24"/>
          <w:szCs w:val="24"/>
        </w:rPr>
        <w:t>I am not only looking for direct evidence of writing activity, as in Epiphanius’ ‘Letter to Arabia’</w:t>
      </w:r>
      <w:r w:rsidR="005441E4">
        <w:rPr>
          <w:rStyle w:val="FootnoteReference"/>
          <w:rFonts w:ascii="Times New Roman" w:hAnsi="Times New Roman" w:cs="Times New Roman"/>
          <w:color w:val="000000"/>
          <w:sz w:val="24"/>
          <w:szCs w:val="24"/>
        </w:rPr>
        <w:footnoteReference w:id="28"/>
      </w:r>
      <w:r w:rsidR="005441E4">
        <w:rPr>
          <w:rFonts w:ascii="Times New Roman" w:hAnsi="Times New Roman" w:cs="Times New Roman"/>
          <w:color w:val="000000"/>
          <w:sz w:val="24"/>
          <w:szCs w:val="24"/>
        </w:rPr>
        <w:t xml:space="preserve">. I am also interested in the ‘unwritten’ testimony for literacy glimpsed in the stories of Arab Christianity. </w:t>
      </w:r>
      <w:r w:rsidR="006D5CB9">
        <w:rPr>
          <w:rFonts w:ascii="Times New Roman" w:hAnsi="Times New Roman" w:cs="Times New Roman"/>
          <w:sz w:val="24"/>
          <w:szCs w:val="24"/>
        </w:rPr>
        <w:t>If ‘a</w:t>
      </w:r>
      <w:r w:rsidR="006D5CB9" w:rsidRPr="006D5CB9">
        <w:rPr>
          <w:rFonts w:ascii="Times New Roman" w:hAnsi="Times New Roman" w:cs="Times New Roman"/>
          <w:color w:val="000000"/>
          <w:sz w:val="24"/>
          <w:szCs w:val="24"/>
        </w:rPr>
        <w:t>ll literacy is functional in the sense that literacy</w:t>
      </w:r>
      <w:r w:rsidR="006D5CB9">
        <w:rPr>
          <w:rFonts w:ascii="Times New Roman" w:hAnsi="Times New Roman" w:cs="Times New Roman"/>
          <w:color w:val="000000"/>
          <w:sz w:val="24"/>
          <w:szCs w:val="24"/>
        </w:rPr>
        <w:t xml:space="preserve"> </w:t>
      </w:r>
      <w:r w:rsidR="006D5CB9" w:rsidRPr="006D5CB9">
        <w:rPr>
          <w:rFonts w:ascii="Times New Roman" w:hAnsi="Times New Roman" w:cs="Times New Roman"/>
          <w:color w:val="000000"/>
          <w:sz w:val="24"/>
          <w:szCs w:val="24"/>
        </w:rPr>
        <w:t>always comes to find a function in the lives of people who become literate</w:t>
      </w:r>
      <w:r w:rsidR="006D5CB9">
        <w:rPr>
          <w:rFonts w:ascii="Times New Roman" w:hAnsi="Times New Roman" w:cs="Times New Roman"/>
          <w:color w:val="000000"/>
          <w:sz w:val="24"/>
          <w:szCs w:val="24"/>
        </w:rPr>
        <w:t>,’ as Bhola wrote</w:t>
      </w:r>
      <w:r w:rsidR="006D5CB9">
        <w:rPr>
          <w:rStyle w:val="FootnoteReference"/>
          <w:rFonts w:ascii="Times New Roman" w:hAnsi="Times New Roman" w:cs="Times New Roman"/>
          <w:color w:val="000000"/>
          <w:sz w:val="24"/>
          <w:szCs w:val="24"/>
        </w:rPr>
        <w:footnoteReference w:id="29"/>
      </w:r>
      <w:r w:rsidR="006D5CB9">
        <w:rPr>
          <w:rFonts w:ascii="Times New Roman" w:hAnsi="Times New Roman" w:cs="Times New Roman"/>
          <w:color w:val="000000"/>
          <w:sz w:val="24"/>
          <w:szCs w:val="24"/>
        </w:rPr>
        <w:t xml:space="preserve">, then Christian sources describe some of the functions that literacy fulfilled in the region. </w:t>
      </w:r>
      <w:r w:rsidR="00FD674C" w:rsidRPr="001A0438">
        <w:rPr>
          <w:rFonts w:ascii="Times New Roman" w:hAnsi="Times New Roman" w:cs="Times New Roman"/>
          <w:sz w:val="24"/>
          <w:szCs w:val="24"/>
        </w:rPr>
        <w:br w:type="page"/>
      </w:r>
    </w:p>
    <w:p w14:paraId="460779C0" w14:textId="77DE21BB" w:rsidR="005A0A35" w:rsidRPr="005A0A35" w:rsidRDefault="005A0A35" w:rsidP="005A0A35">
      <w:pPr>
        <w:keepNext/>
        <w:keepLines/>
        <w:spacing w:before="120" w:after="0" w:line="480" w:lineRule="auto"/>
        <w:outlineLvl w:val="0"/>
        <w:rPr>
          <w:rFonts w:ascii="Times New Roman" w:eastAsia="Times New Roman" w:hAnsi="Times New Roman" w:cs="Times New Roman"/>
          <w:b/>
          <w:sz w:val="26"/>
          <w:szCs w:val="26"/>
        </w:rPr>
      </w:pPr>
      <w:r>
        <w:rPr>
          <w:rFonts w:ascii="Times New Roman" w:eastAsia="Times New Roman" w:hAnsi="Times New Roman" w:cs="Times New Roman"/>
          <w:b/>
          <w:sz w:val="26"/>
          <w:szCs w:val="26"/>
        </w:rPr>
        <w:lastRenderedPageBreak/>
        <w:t>Sources</w:t>
      </w:r>
    </w:p>
    <w:p w14:paraId="4FD130B8" w14:textId="77777777" w:rsidR="003010E3" w:rsidRPr="003010E3" w:rsidRDefault="00FD674C" w:rsidP="000F3AD5">
      <w:pPr>
        <w:pStyle w:val="Bibliography"/>
        <w:spacing w:after="120" w:line="360" w:lineRule="auto"/>
        <w:ind w:left="720" w:hanging="720"/>
        <w:rPr>
          <w:rFonts w:ascii="Times New Roman" w:hAnsi="Times New Roman" w:cs="Times New Roman"/>
          <w:sz w:val="24"/>
        </w:rPr>
      </w:pPr>
      <w:r w:rsidRPr="000571F1">
        <w:fldChar w:fldCharType="begin"/>
      </w:r>
      <w:r>
        <w:instrText xml:space="preserve"> ADDIN ZOTERO_BIBL {"uncited":[],"omitted":[],"custom":[]} CSL_BIBLIOGRAPHY </w:instrText>
      </w:r>
      <w:r w:rsidRPr="000571F1">
        <w:fldChar w:fldCharType="separate"/>
      </w:r>
      <w:r w:rsidR="003010E3" w:rsidRPr="003010E3">
        <w:rPr>
          <w:rFonts w:ascii="Times New Roman" w:hAnsi="Times New Roman" w:cs="Times New Roman"/>
          <w:sz w:val="24"/>
        </w:rPr>
        <w:t xml:space="preserve">Barber, S. (2011) </w:t>
      </w:r>
      <w:r w:rsidR="003010E3" w:rsidRPr="003010E3">
        <w:rPr>
          <w:rFonts w:ascii="Times New Roman" w:hAnsi="Times New Roman" w:cs="Times New Roman"/>
          <w:i/>
          <w:iCs/>
          <w:sz w:val="24"/>
        </w:rPr>
        <w:t>Literacy Use and Incorporation in Culture: The ‘How’ and ‘How Much’ of Literacy</w:t>
      </w:r>
      <w:r w:rsidR="003010E3" w:rsidRPr="003010E3">
        <w:rPr>
          <w:rFonts w:ascii="Times New Roman" w:hAnsi="Times New Roman" w:cs="Times New Roman"/>
          <w:sz w:val="24"/>
        </w:rPr>
        <w:t>. SIL E-Books 28 Dallas: SIL. Available at: https://www.sil.org/resources/publications/entry/43014 (Accessed: 6 December 2018).</w:t>
      </w:r>
    </w:p>
    <w:p w14:paraId="2746D3D8" w14:textId="77777777" w:rsidR="003010E3" w:rsidRPr="003010E3" w:rsidRDefault="003010E3" w:rsidP="000F3AD5">
      <w:pPr>
        <w:pStyle w:val="Bibliography"/>
        <w:spacing w:after="120" w:line="360" w:lineRule="auto"/>
        <w:ind w:left="720" w:hanging="720"/>
        <w:rPr>
          <w:rFonts w:ascii="Times New Roman" w:hAnsi="Times New Roman" w:cs="Times New Roman"/>
          <w:sz w:val="24"/>
        </w:rPr>
      </w:pPr>
      <w:r w:rsidRPr="003010E3">
        <w:rPr>
          <w:rFonts w:ascii="Times New Roman" w:hAnsi="Times New Roman" w:cs="Times New Roman"/>
          <w:sz w:val="24"/>
        </w:rPr>
        <w:t xml:space="preserve">Donner, F. (2016) 'Arabic </w:t>
      </w:r>
      <w:proofErr w:type="spellStart"/>
      <w:r w:rsidRPr="003010E3">
        <w:rPr>
          <w:rFonts w:ascii="Times New Roman" w:hAnsi="Times New Roman" w:cs="Times New Roman"/>
          <w:sz w:val="24"/>
        </w:rPr>
        <w:t>Fatḥ</w:t>
      </w:r>
      <w:proofErr w:type="spellEnd"/>
      <w:r w:rsidRPr="003010E3">
        <w:rPr>
          <w:rFonts w:ascii="Times New Roman" w:hAnsi="Times New Roman" w:cs="Times New Roman"/>
          <w:sz w:val="24"/>
        </w:rPr>
        <w:t xml:space="preserve"> as ‘Conquest’ and Its Origin in Islamic Tradition', </w:t>
      </w:r>
      <w:r w:rsidRPr="003010E3">
        <w:rPr>
          <w:rFonts w:ascii="Times New Roman" w:hAnsi="Times New Roman" w:cs="Times New Roman"/>
          <w:i/>
          <w:iCs/>
          <w:sz w:val="24"/>
        </w:rPr>
        <w:t>Al-</w:t>
      </w:r>
      <w:proofErr w:type="spellStart"/>
      <w:r w:rsidRPr="003010E3">
        <w:rPr>
          <w:rFonts w:ascii="Times New Roman" w:hAnsi="Times New Roman" w:cs="Times New Roman"/>
          <w:i/>
          <w:iCs/>
          <w:sz w:val="24"/>
        </w:rPr>
        <w:t>ʿUṣūr</w:t>
      </w:r>
      <w:proofErr w:type="spellEnd"/>
      <w:r w:rsidRPr="003010E3">
        <w:rPr>
          <w:rFonts w:ascii="Times New Roman" w:hAnsi="Times New Roman" w:cs="Times New Roman"/>
          <w:i/>
          <w:iCs/>
          <w:sz w:val="24"/>
        </w:rPr>
        <w:t xml:space="preserve"> Al-</w:t>
      </w:r>
      <w:proofErr w:type="spellStart"/>
      <w:r w:rsidRPr="003010E3">
        <w:rPr>
          <w:rFonts w:ascii="Times New Roman" w:hAnsi="Times New Roman" w:cs="Times New Roman"/>
          <w:i/>
          <w:iCs/>
          <w:sz w:val="24"/>
        </w:rPr>
        <w:t>Wusṭā</w:t>
      </w:r>
      <w:proofErr w:type="spellEnd"/>
      <w:r w:rsidRPr="003010E3">
        <w:rPr>
          <w:rFonts w:ascii="Times New Roman" w:hAnsi="Times New Roman" w:cs="Times New Roman"/>
          <w:sz w:val="24"/>
        </w:rPr>
        <w:t>, 24, pp. 1–14.</w:t>
      </w:r>
    </w:p>
    <w:p w14:paraId="6339C681" w14:textId="77777777" w:rsidR="003010E3" w:rsidRPr="003010E3" w:rsidRDefault="003010E3" w:rsidP="000F3AD5">
      <w:pPr>
        <w:pStyle w:val="Bibliography"/>
        <w:spacing w:after="120" w:line="360" w:lineRule="auto"/>
        <w:ind w:left="720" w:hanging="720"/>
        <w:rPr>
          <w:rFonts w:ascii="Times New Roman" w:hAnsi="Times New Roman" w:cs="Times New Roman"/>
          <w:sz w:val="24"/>
        </w:rPr>
      </w:pPr>
      <w:r w:rsidRPr="003010E3">
        <w:rPr>
          <w:rFonts w:ascii="Times New Roman" w:hAnsi="Times New Roman" w:cs="Times New Roman"/>
          <w:sz w:val="24"/>
        </w:rPr>
        <w:t xml:space="preserve">Fisher, G. Wood, P. Bevan, G. </w:t>
      </w:r>
      <w:proofErr w:type="spellStart"/>
      <w:r w:rsidRPr="003010E3">
        <w:rPr>
          <w:rFonts w:ascii="Times New Roman" w:hAnsi="Times New Roman" w:cs="Times New Roman"/>
          <w:sz w:val="24"/>
        </w:rPr>
        <w:t>Greatrex</w:t>
      </w:r>
      <w:proofErr w:type="spellEnd"/>
      <w:r w:rsidRPr="003010E3">
        <w:rPr>
          <w:rFonts w:ascii="Times New Roman" w:hAnsi="Times New Roman" w:cs="Times New Roman"/>
          <w:sz w:val="24"/>
        </w:rPr>
        <w:t xml:space="preserve">, G. </w:t>
      </w:r>
      <w:proofErr w:type="spellStart"/>
      <w:r w:rsidRPr="003010E3">
        <w:rPr>
          <w:rFonts w:ascii="Times New Roman" w:hAnsi="Times New Roman" w:cs="Times New Roman"/>
          <w:sz w:val="24"/>
        </w:rPr>
        <w:t>Hamarneh</w:t>
      </w:r>
      <w:proofErr w:type="spellEnd"/>
      <w:r w:rsidRPr="003010E3">
        <w:rPr>
          <w:rFonts w:ascii="Times New Roman" w:hAnsi="Times New Roman" w:cs="Times New Roman"/>
          <w:sz w:val="24"/>
        </w:rPr>
        <w:t xml:space="preserve">, B. </w:t>
      </w:r>
      <w:proofErr w:type="spellStart"/>
      <w:r w:rsidRPr="003010E3">
        <w:rPr>
          <w:rFonts w:ascii="Times New Roman" w:hAnsi="Times New Roman" w:cs="Times New Roman"/>
          <w:sz w:val="24"/>
        </w:rPr>
        <w:t>Schadler</w:t>
      </w:r>
      <w:proofErr w:type="spellEnd"/>
      <w:r w:rsidRPr="003010E3">
        <w:rPr>
          <w:rFonts w:ascii="Times New Roman" w:hAnsi="Times New Roman" w:cs="Times New Roman"/>
          <w:sz w:val="24"/>
        </w:rPr>
        <w:t xml:space="preserve">, P. and Ward, W. (2017) 'Arabs and Christianity', In Greg Fisher, ed. </w:t>
      </w:r>
      <w:r w:rsidRPr="003010E3">
        <w:rPr>
          <w:rFonts w:ascii="Times New Roman" w:hAnsi="Times New Roman" w:cs="Times New Roman"/>
          <w:i/>
          <w:iCs/>
          <w:sz w:val="24"/>
        </w:rPr>
        <w:t>Arabs and Empires before Islam</w:t>
      </w:r>
      <w:r w:rsidRPr="003010E3">
        <w:rPr>
          <w:rFonts w:ascii="Times New Roman" w:hAnsi="Times New Roman" w:cs="Times New Roman"/>
          <w:sz w:val="24"/>
        </w:rPr>
        <w:t>, Reprint edition Oxford: Oxford University Press.</w:t>
      </w:r>
    </w:p>
    <w:p w14:paraId="3A81362E" w14:textId="77777777" w:rsidR="003010E3" w:rsidRPr="003010E3" w:rsidRDefault="003010E3" w:rsidP="000F3AD5">
      <w:pPr>
        <w:pStyle w:val="Bibliography"/>
        <w:spacing w:after="120" w:line="360" w:lineRule="auto"/>
        <w:ind w:left="720" w:hanging="720"/>
        <w:rPr>
          <w:rFonts w:ascii="Times New Roman" w:hAnsi="Times New Roman" w:cs="Times New Roman"/>
          <w:sz w:val="24"/>
        </w:rPr>
      </w:pPr>
      <w:r w:rsidRPr="003010E3">
        <w:rPr>
          <w:rFonts w:ascii="Times New Roman" w:hAnsi="Times New Roman" w:cs="Times New Roman"/>
          <w:sz w:val="24"/>
        </w:rPr>
        <w:t xml:space="preserve">Guadalupe, C. and Cardoso, M. (2011) 'Measuring the Continuum of Literacy Skills among Adults: Educational Testing and the LAMP Experience.', </w:t>
      </w:r>
      <w:r w:rsidRPr="003010E3">
        <w:rPr>
          <w:rFonts w:ascii="Times New Roman" w:hAnsi="Times New Roman" w:cs="Times New Roman"/>
          <w:i/>
          <w:iCs/>
          <w:sz w:val="24"/>
        </w:rPr>
        <w:t xml:space="preserve">International Review of Education / </w:t>
      </w:r>
      <w:proofErr w:type="spellStart"/>
      <w:r w:rsidRPr="003010E3">
        <w:rPr>
          <w:rFonts w:ascii="Times New Roman" w:hAnsi="Times New Roman" w:cs="Times New Roman"/>
          <w:i/>
          <w:iCs/>
          <w:sz w:val="24"/>
        </w:rPr>
        <w:t>Internationale</w:t>
      </w:r>
      <w:proofErr w:type="spellEnd"/>
      <w:r w:rsidRPr="003010E3">
        <w:rPr>
          <w:rFonts w:ascii="Times New Roman" w:hAnsi="Times New Roman" w:cs="Times New Roman"/>
          <w:i/>
          <w:iCs/>
          <w:sz w:val="24"/>
        </w:rPr>
        <w:t xml:space="preserve"> </w:t>
      </w:r>
      <w:proofErr w:type="spellStart"/>
      <w:r w:rsidRPr="003010E3">
        <w:rPr>
          <w:rFonts w:ascii="Times New Roman" w:hAnsi="Times New Roman" w:cs="Times New Roman"/>
          <w:i/>
          <w:iCs/>
          <w:sz w:val="24"/>
        </w:rPr>
        <w:t>Zeitschrift</w:t>
      </w:r>
      <w:proofErr w:type="spellEnd"/>
      <w:r w:rsidRPr="003010E3">
        <w:rPr>
          <w:rFonts w:ascii="Times New Roman" w:hAnsi="Times New Roman" w:cs="Times New Roman"/>
          <w:i/>
          <w:iCs/>
          <w:sz w:val="24"/>
        </w:rPr>
        <w:t xml:space="preserve"> </w:t>
      </w:r>
      <w:proofErr w:type="spellStart"/>
      <w:r w:rsidRPr="003010E3">
        <w:rPr>
          <w:rFonts w:ascii="Times New Roman" w:hAnsi="Times New Roman" w:cs="Times New Roman"/>
          <w:i/>
          <w:iCs/>
          <w:sz w:val="24"/>
        </w:rPr>
        <w:t>Für</w:t>
      </w:r>
      <w:proofErr w:type="spellEnd"/>
      <w:r w:rsidRPr="003010E3">
        <w:rPr>
          <w:rFonts w:ascii="Times New Roman" w:hAnsi="Times New Roman" w:cs="Times New Roman"/>
          <w:i/>
          <w:iCs/>
          <w:sz w:val="24"/>
        </w:rPr>
        <w:t xml:space="preserve"> </w:t>
      </w:r>
      <w:proofErr w:type="spellStart"/>
      <w:r w:rsidRPr="003010E3">
        <w:rPr>
          <w:rFonts w:ascii="Times New Roman" w:hAnsi="Times New Roman" w:cs="Times New Roman"/>
          <w:i/>
          <w:iCs/>
          <w:sz w:val="24"/>
        </w:rPr>
        <w:t>Erziehungswissenschaft</w:t>
      </w:r>
      <w:proofErr w:type="spellEnd"/>
      <w:r w:rsidRPr="003010E3">
        <w:rPr>
          <w:rFonts w:ascii="Times New Roman" w:hAnsi="Times New Roman" w:cs="Times New Roman"/>
          <w:sz w:val="24"/>
        </w:rPr>
        <w:t>, 57(1/2), pp. 199–218. DOI: 10.1007/s11159-011-9203-2.</w:t>
      </w:r>
    </w:p>
    <w:p w14:paraId="0A084B18" w14:textId="77777777" w:rsidR="003010E3" w:rsidRPr="003010E3" w:rsidRDefault="003010E3" w:rsidP="000F3AD5">
      <w:pPr>
        <w:pStyle w:val="Bibliography"/>
        <w:spacing w:after="120" w:line="360" w:lineRule="auto"/>
        <w:ind w:left="720" w:hanging="720"/>
        <w:rPr>
          <w:rFonts w:ascii="Times New Roman" w:hAnsi="Times New Roman" w:cs="Times New Roman"/>
          <w:sz w:val="24"/>
        </w:rPr>
      </w:pPr>
      <w:r w:rsidRPr="003010E3">
        <w:rPr>
          <w:rFonts w:ascii="Times New Roman" w:hAnsi="Times New Roman" w:cs="Times New Roman"/>
          <w:sz w:val="24"/>
        </w:rPr>
        <w:t xml:space="preserve">Harris, W.V. (1991) </w:t>
      </w:r>
      <w:r w:rsidRPr="003010E3">
        <w:rPr>
          <w:rFonts w:ascii="Times New Roman" w:hAnsi="Times New Roman" w:cs="Times New Roman"/>
          <w:i/>
          <w:iCs/>
          <w:sz w:val="24"/>
        </w:rPr>
        <w:t>Ancient Literacy</w:t>
      </w:r>
      <w:r w:rsidRPr="003010E3">
        <w:rPr>
          <w:rFonts w:ascii="Times New Roman" w:hAnsi="Times New Roman" w:cs="Times New Roman"/>
          <w:sz w:val="24"/>
        </w:rPr>
        <w:t>. Cambridge, Mass.: Harvard University Press.</w:t>
      </w:r>
    </w:p>
    <w:p w14:paraId="7B359D06" w14:textId="77777777" w:rsidR="003010E3" w:rsidRPr="003010E3" w:rsidRDefault="003010E3" w:rsidP="000F3AD5">
      <w:pPr>
        <w:pStyle w:val="Bibliography"/>
        <w:spacing w:after="120" w:line="360" w:lineRule="auto"/>
        <w:ind w:left="720" w:hanging="720"/>
        <w:rPr>
          <w:rFonts w:ascii="Times New Roman" w:hAnsi="Times New Roman" w:cs="Times New Roman"/>
          <w:sz w:val="24"/>
        </w:rPr>
      </w:pPr>
      <w:r w:rsidRPr="003010E3">
        <w:rPr>
          <w:rFonts w:ascii="Times New Roman" w:hAnsi="Times New Roman" w:cs="Times New Roman"/>
          <w:sz w:val="24"/>
        </w:rPr>
        <w:t xml:space="preserve">Kim, Y.M. (2011) </w:t>
      </w:r>
      <w:r w:rsidRPr="003010E3">
        <w:rPr>
          <w:rFonts w:ascii="Times New Roman" w:hAnsi="Times New Roman" w:cs="Times New Roman"/>
          <w:i/>
          <w:iCs/>
          <w:sz w:val="24"/>
        </w:rPr>
        <w:t>Development of a National Literacy Assessment Instrument for Cross-Linguistic Use in Nepal</w:t>
      </w:r>
      <w:r w:rsidRPr="003010E3">
        <w:rPr>
          <w:rFonts w:ascii="Times New Roman" w:hAnsi="Times New Roman" w:cs="Times New Roman"/>
          <w:sz w:val="24"/>
        </w:rPr>
        <w:t>. SIL E-Books 48 Dallas: Graduate Institute of Applied Linguistics. Available at: https://www.sil.org/resources/publications/entry/51671 (Accessed: 6 December 2018).</w:t>
      </w:r>
    </w:p>
    <w:p w14:paraId="52D5F00E" w14:textId="1398BE9A" w:rsidR="003010E3" w:rsidRPr="003010E3" w:rsidRDefault="003010E3" w:rsidP="000F3AD5">
      <w:pPr>
        <w:pStyle w:val="Bibliography"/>
        <w:spacing w:after="120" w:line="360" w:lineRule="auto"/>
        <w:ind w:left="720" w:hanging="720"/>
        <w:rPr>
          <w:rFonts w:ascii="Times New Roman" w:hAnsi="Times New Roman" w:cs="Times New Roman"/>
          <w:sz w:val="24"/>
        </w:rPr>
      </w:pPr>
      <w:r w:rsidRPr="003010E3">
        <w:rPr>
          <w:rFonts w:ascii="Times New Roman" w:hAnsi="Times New Roman" w:cs="Times New Roman"/>
          <w:sz w:val="24"/>
        </w:rPr>
        <w:t xml:space="preserve">Macdonald, M.C.A. (2003) 'Languages, Scripts, and the Uses of Writing among the Nabataeans', In Glen </w:t>
      </w:r>
      <w:proofErr w:type="spellStart"/>
      <w:r w:rsidRPr="003010E3">
        <w:rPr>
          <w:rFonts w:ascii="Times New Roman" w:hAnsi="Times New Roman" w:cs="Times New Roman"/>
          <w:sz w:val="24"/>
        </w:rPr>
        <w:t>Markoe</w:t>
      </w:r>
      <w:proofErr w:type="spellEnd"/>
      <w:r w:rsidRPr="003010E3">
        <w:rPr>
          <w:rFonts w:ascii="Times New Roman" w:hAnsi="Times New Roman" w:cs="Times New Roman"/>
          <w:sz w:val="24"/>
        </w:rPr>
        <w:t xml:space="preserve">, ed. </w:t>
      </w:r>
      <w:r w:rsidRPr="003010E3">
        <w:rPr>
          <w:rFonts w:ascii="Times New Roman" w:hAnsi="Times New Roman" w:cs="Times New Roman"/>
          <w:i/>
          <w:iCs/>
          <w:sz w:val="24"/>
        </w:rPr>
        <w:t>Petra Rediscovered: Lost City of the Nabataeans</w:t>
      </w:r>
      <w:r w:rsidRPr="003010E3">
        <w:rPr>
          <w:rFonts w:ascii="Times New Roman" w:hAnsi="Times New Roman" w:cs="Times New Roman"/>
          <w:sz w:val="24"/>
        </w:rPr>
        <w:t xml:space="preserve">, New York: Harry N Abrams. </w:t>
      </w:r>
    </w:p>
    <w:p w14:paraId="7467331B" w14:textId="77777777" w:rsidR="003010E3" w:rsidRPr="003010E3" w:rsidRDefault="003010E3" w:rsidP="000F3AD5">
      <w:pPr>
        <w:pStyle w:val="Bibliography"/>
        <w:spacing w:after="120" w:line="360" w:lineRule="auto"/>
        <w:ind w:left="720" w:hanging="720"/>
        <w:rPr>
          <w:rFonts w:ascii="Times New Roman" w:hAnsi="Times New Roman" w:cs="Times New Roman"/>
          <w:sz w:val="24"/>
        </w:rPr>
      </w:pPr>
      <w:r w:rsidRPr="003010E3">
        <w:rPr>
          <w:rFonts w:ascii="Times New Roman" w:hAnsi="Times New Roman" w:cs="Times New Roman"/>
          <w:sz w:val="24"/>
        </w:rPr>
        <w:t xml:space="preserve">Macdonald, M.C.A. (2005) 'Literacy in an Oral Environment', In Piotr </w:t>
      </w:r>
      <w:proofErr w:type="spellStart"/>
      <w:r w:rsidRPr="003010E3">
        <w:rPr>
          <w:rFonts w:ascii="Times New Roman" w:hAnsi="Times New Roman" w:cs="Times New Roman"/>
          <w:sz w:val="24"/>
        </w:rPr>
        <w:t>Bienkowski</w:t>
      </w:r>
      <w:proofErr w:type="spellEnd"/>
      <w:r w:rsidRPr="003010E3">
        <w:rPr>
          <w:rFonts w:ascii="Times New Roman" w:hAnsi="Times New Roman" w:cs="Times New Roman"/>
          <w:sz w:val="24"/>
        </w:rPr>
        <w:t xml:space="preserve">, C </w:t>
      </w:r>
      <w:proofErr w:type="spellStart"/>
      <w:r w:rsidRPr="003010E3">
        <w:rPr>
          <w:rFonts w:ascii="Times New Roman" w:hAnsi="Times New Roman" w:cs="Times New Roman"/>
          <w:sz w:val="24"/>
        </w:rPr>
        <w:t>Mee</w:t>
      </w:r>
      <w:proofErr w:type="spellEnd"/>
      <w:r w:rsidRPr="003010E3">
        <w:rPr>
          <w:rFonts w:ascii="Times New Roman" w:hAnsi="Times New Roman" w:cs="Times New Roman"/>
          <w:sz w:val="24"/>
        </w:rPr>
        <w:t xml:space="preserve">, and E. A Slater, eds. </w:t>
      </w:r>
      <w:r w:rsidRPr="003010E3">
        <w:rPr>
          <w:rFonts w:ascii="Times New Roman" w:hAnsi="Times New Roman" w:cs="Times New Roman"/>
          <w:i/>
          <w:iCs/>
          <w:sz w:val="24"/>
        </w:rPr>
        <w:t xml:space="preserve">Writing and Ancient Near Eastern Society: Papers in </w:t>
      </w:r>
      <w:proofErr w:type="spellStart"/>
      <w:r w:rsidRPr="003010E3">
        <w:rPr>
          <w:rFonts w:ascii="Times New Roman" w:hAnsi="Times New Roman" w:cs="Times New Roman"/>
          <w:i/>
          <w:iCs/>
          <w:sz w:val="24"/>
        </w:rPr>
        <w:t>Honour</w:t>
      </w:r>
      <w:proofErr w:type="spellEnd"/>
      <w:r w:rsidRPr="003010E3">
        <w:rPr>
          <w:rFonts w:ascii="Times New Roman" w:hAnsi="Times New Roman" w:cs="Times New Roman"/>
          <w:i/>
          <w:iCs/>
          <w:sz w:val="24"/>
        </w:rPr>
        <w:t xml:space="preserve"> of Alan R Millard</w:t>
      </w:r>
      <w:r w:rsidRPr="003010E3">
        <w:rPr>
          <w:rFonts w:ascii="Times New Roman" w:hAnsi="Times New Roman" w:cs="Times New Roman"/>
          <w:sz w:val="24"/>
        </w:rPr>
        <w:t>, New York; London: T &amp; T Clark.</w:t>
      </w:r>
    </w:p>
    <w:p w14:paraId="362093D6" w14:textId="65D4D416" w:rsidR="003010E3" w:rsidRPr="003010E3" w:rsidRDefault="003010E3" w:rsidP="000F3AD5">
      <w:pPr>
        <w:pStyle w:val="Bibliography"/>
        <w:spacing w:after="120" w:line="360" w:lineRule="auto"/>
        <w:ind w:left="720" w:hanging="720"/>
        <w:rPr>
          <w:rFonts w:ascii="Times New Roman" w:hAnsi="Times New Roman" w:cs="Times New Roman"/>
          <w:sz w:val="24"/>
        </w:rPr>
      </w:pPr>
      <w:r w:rsidRPr="003010E3">
        <w:rPr>
          <w:rFonts w:ascii="Times New Roman" w:hAnsi="Times New Roman" w:cs="Times New Roman"/>
          <w:sz w:val="24"/>
        </w:rPr>
        <w:t xml:space="preserve">Macdonald, M.C.A. (2008) 'The Decline of the Epigraphic Habit in Late Antique Arabia: Some Questions', In Christian Julien Robin and </w:t>
      </w:r>
      <w:proofErr w:type="spellStart"/>
      <w:r w:rsidRPr="003010E3">
        <w:rPr>
          <w:rFonts w:ascii="Times New Roman" w:hAnsi="Times New Roman" w:cs="Times New Roman"/>
          <w:sz w:val="24"/>
        </w:rPr>
        <w:t>Jeremie</w:t>
      </w:r>
      <w:proofErr w:type="spellEnd"/>
      <w:r w:rsidRPr="003010E3">
        <w:rPr>
          <w:rFonts w:ascii="Times New Roman" w:hAnsi="Times New Roman" w:cs="Times New Roman"/>
          <w:sz w:val="24"/>
        </w:rPr>
        <w:t xml:space="preserve"> </w:t>
      </w:r>
      <w:proofErr w:type="spellStart"/>
      <w:r w:rsidRPr="003010E3">
        <w:rPr>
          <w:rFonts w:ascii="Times New Roman" w:hAnsi="Times New Roman" w:cs="Times New Roman"/>
          <w:sz w:val="24"/>
        </w:rPr>
        <w:t>Schiettecatie</w:t>
      </w:r>
      <w:proofErr w:type="spellEnd"/>
      <w:r w:rsidRPr="003010E3">
        <w:rPr>
          <w:rFonts w:ascii="Times New Roman" w:hAnsi="Times New Roman" w:cs="Times New Roman"/>
          <w:sz w:val="24"/>
        </w:rPr>
        <w:t xml:space="preserve">, eds. </w:t>
      </w:r>
      <w:proofErr w:type="spellStart"/>
      <w:r w:rsidRPr="003010E3">
        <w:rPr>
          <w:rFonts w:ascii="Times New Roman" w:hAnsi="Times New Roman" w:cs="Times New Roman"/>
          <w:i/>
          <w:iCs/>
          <w:sz w:val="24"/>
        </w:rPr>
        <w:t>L’Arabie</w:t>
      </w:r>
      <w:proofErr w:type="spellEnd"/>
      <w:r w:rsidRPr="003010E3">
        <w:rPr>
          <w:rFonts w:ascii="Times New Roman" w:hAnsi="Times New Roman" w:cs="Times New Roman"/>
          <w:i/>
          <w:iCs/>
          <w:sz w:val="24"/>
        </w:rPr>
        <w:t xml:space="preserve"> à La </w:t>
      </w:r>
      <w:proofErr w:type="spellStart"/>
      <w:r w:rsidRPr="003010E3">
        <w:rPr>
          <w:rFonts w:ascii="Times New Roman" w:hAnsi="Times New Roman" w:cs="Times New Roman"/>
          <w:i/>
          <w:iCs/>
          <w:sz w:val="24"/>
        </w:rPr>
        <w:t>Veille</w:t>
      </w:r>
      <w:proofErr w:type="spellEnd"/>
      <w:r w:rsidRPr="003010E3">
        <w:rPr>
          <w:rFonts w:ascii="Times New Roman" w:hAnsi="Times New Roman" w:cs="Times New Roman"/>
          <w:i/>
          <w:iCs/>
          <w:sz w:val="24"/>
        </w:rPr>
        <w:t xml:space="preserve"> de </w:t>
      </w:r>
      <w:proofErr w:type="spellStart"/>
      <w:r w:rsidRPr="003010E3">
        <w:rPr>
          <w:rFonts w:ascii="Times New Roman" w:hAnsi="Times New Roman" w:cs="Times New Roman"/>
          <w:i/>
          <w:iCs/>
          <w:sz w:val="24"/>
        </w:rPr>
        <w:t>l’Islam</w:t>
      </w:r>
      <w:proofErr w:type="spellEnd"/>
      <w:r w:rsidRPr="003010E3">
        <w:rPr>
          <w:rFonts w:ascii="Times New Roman" w:hAnsi="Times New Roman" w:cs="Times New Roman"/>
          <w:i/>
          <w:iCs/>
          <w:sz w:val="24"/>
        </w:rPr>
        <w:t xml:space="preserve">: </w:t>
      </w:r>
      <w:proofErr w:type="spellStart"/>
      <w:r w:rsidRPr="003010E3">
        <w:rPr>
          <w:rFonts w:ascii="Times New Roman" w:hAnsi="Times New Roman" w:cs="Times New Roman"/>
          <w:i/>
          <w:iCs/>
          <w:sz w:val="24"/>
        </w:rPr>
        <w:t>Bilan</w:t>
      </w:r>
      <w:proofErr w:type="spellEnd"/>
      <w:r w:rsidRPr="003010E3">
        <w:rPr>
          <w:rFonts w:ascii="Times New Roman" w:hAnsi="Times New Roman" w:cs="Times New Roman"/>
          <w:i/>
          <w:iCs/>
          <w:sz w:val="24"/>
        </w:rPr>
        <w:t xml:space="preserve"> Clinique</w:t>
      </w:r>
      <w:r w:rsidRPr="003010E3">
        <w:rPr>
          <w:rFonts w:ascii="Times New Roman" w:hAnsi="Times New Roman" w:cs="Times New Roman"/>
          <w:sz w:val="24"/>
        </w:rPr>
        <w:t xml:space="preserve">, Orient &amp; </w:t>
      </w:r>
      <w:proofErr w:type="spellStart"/>
      <w:r w:rsidRPr="003010E3">
        <w:rPr>
          <w:rFonts w:ascii="Times New Roman" w:hAnsi="Times New Roman" w:cs="Times New Roman"/>
          <w:sz w:val="24"/>
        </w:rPr>
        <w:t>Méditerranée</w:t>
      </w:r>
      <w:proofErr w:type="spellEnd"/>
      <w:r w:rsidRPr="003010E3">
        <w:rPr>
          <w:rFonts w:ascii="Times New Roman" w:hAnsi="Times New Roman" w:cs="Times New Roman"/>
          <w:sz w:val="24"/>
        </w:rPr>
        <w:t xml:space="preserve"> 3 Paris: De </w:t>
      </w:r>
      <w:proofErr w:type="spellStart"/>
      <w:r w:rsidRPr="003010E3">
        <w:rPr>
          <w:rFonts w:ascii="Times New Roman" w:hAnsi="Times New Roman" w:cs="Times New Roman"/>
          <w:sz w:val="24"/>
        </w:rPr>
        <w:t>Boccard</w:t>
      </w:r>
      <w:proofErr w:type="spellEnd"/>
      <w:r w:rsidRPr="003010E3">
        <w:rPr>
          <w:rFonts w:ascii="Times New Roman" w:hAnsi="Times New Roman" w:cs="Times New Roman"/>
          <w:sz w:val="24"/>
        </w:rPr>
        <w:t xml:space="preserve">. </w:t>
      </w:r>
    </w:p>
    <w:p w14:paraId="1AD44A7E" w14:textId="77777777" w:rsidR="003010E3" w:rsidRPr="003010E3" w:rsidRDefault="003010E3" w:rsidP="000F3AD5">
      <w:pPr>
        <w:pStyle w:val="Bibliography"/>
        <w:spacing w:after="120" w:line="360" w:lineRule="auto"/>
        <w:ind w:left="720" w:hanging="720"/>
        <w:rPr>
          <w:rFonts w:ascii="Times New Roman" w:hAnsi="Times New Roman" w:cs="Times New Roman"/>
          <w:sz w:val="24"/>
        </w:rPr>
      </w:pPr>
      <w:r w:rsidRPr="003010E3">
        <w:rPr>
          <w:rFonts w:ascii="Times New Roman" w:hAnsi="Times New Roman" w:cs="Times New Roman"/>
          <w:sz w:val="24"/>
        </w:rPr>
        <w:t xml:space="preserve">Macdonald, M.C.A. (2010) 'Ancient Arabia and the Written Word', In Michael C. A. Macdonald, ed. </w:t>
      </w:r>
      <w:r w:rsidRPr="003010E3">
        <w:rPr>
          <w:rFonts w:ascii="Times New Roman" w:hAnsi="Times New Roman" w:cs="Times New Roman"/>
          <w:i/>
          <w:iCs/>
          <w:sz w:val="24"/>
        </w:rPr>
        <w:t>The Development of Arabic as a Written Language</w:t>
      </w:r>
      <w:r w:rsidRPr="003010E3">
        <w:rPr>
          <w:rFonts w:ascii="Times New Roman" w:hAnsi="Times New Roman" w:cs="Times New Roman"/>
          <w:sz w:val="24"/>
        </w:rPr>
        <w:t xml:space="preserve">, Supplement edition. Vol. 40 Proceedings of the Seminar for Arabian Studies Oxford: </w:t>
      </w:r>
      <w:proofErr w:type="spellStart"/>
      <w:r w:rsidRPr="003010E3">
        <w:rPr>
          <w:rFonts w:ascii="Times New Roman" w:hAnsi="Times New Roman" w:cs="Times New Roman"/>
          <w:sz w:val="24"/>
        </w:rPr>
        <w:t>Archaeopress</w:t>
      </w:r>
      <w:proofErr w:type="spellEnd"/>
      <w:r w:rsidRPr="003010E3">
        <w:rPr>
          <w:rFonts w:ascii="Times New Roman" w:hAnsi="Times New Roman" w:cs="Times New Roman"/>
          <w:sz w:val="24"/>
        </w:rPr>
        <w:t xml:space="preserve"> Archaeology.</w:t>
      </w:r>
    </w:p>
    <w:p w14:paraId="5D3A7DC4" w14:textId="77777777" w:rsidR="003010E3" w:rsidRPr="003010E3" w:rsidRDefault="003010E3" w:rsidP="000F3AD5">
      <w:pPr>
        <w:pStyle w:val="Bibliography"/>
        <w:spacing w:after="120" w:line="360" w:lineRule="auto"/>
        <w:ind w:left="720" w:hanging="720"/>
        <w:rPr>
          <w:rFonts w:ascii="Times New Roman" w:hAnsi="Times New Roman" w:cs="Times New Roman"/>
          <w:sz w:val="24"/>
        </w:rPr>
      </w:pPr>
      <w:r w:rsidRPr="003010E3">
        <w:rPr>
          <w:rFonts w:ascii="Times New Roman" w:hAnsi="Times New Roman" w:cs="Times New Roman"/>
          <w:sz w:val="24"/>
        </w:rPr>
        <w:t xml:space="preserve">Macdonald, M.C.A. (2014) '‘Romans Go Home’? Rome and Other ‘Outsiders’ as Viewed from the </w:t>
      </w:r>
      <w:proofErr w:type="spellStart"/>
      <w:r w:rsidRPr="003010E3">
        <w:rPr>
          <w:rFonts w:ascii="Times New Roman" w:hAnsi="Times New Roman" w:cs="Times New Roman"/>
          <w:sz w:val="24"/>
        </w:rPr>
        <w:t>Syro</w:t>
      </w:r>
      <w:proofErr w:type="spellEnd"/>
      <w:r w:rsidRPr="003010E3">
        <w:rPr>
          <w:rFonts w:ascii="Times New Roman" w:hAnsi="Times New Roman" w:cs="Times New Roman"/>
          <w:sz w:val="24"/>
        </w:rPr>
        <w:t xml:space="preserve">-Arabian Desert', In </w:t>
      </w:r>
      <w:proofErr w:type="spellStart"/>
      <w:r w:rsidRPr="003010E3">
        <w:rPr>
          <w:rFonts w:ascii="Times New Roman" w:hAnsi="Times New Roman" w:cs="Times New Roman"/>
          <w:sz w:val="24"/>
        </w:rPr>
        <w:t>Jitse</w:t>
      </w:r>
      <w:proofErr w:type="spellEnd"/>
      <w:r w:rsidRPr="003010E3">
        <w:rPr>
          <w:rFonts w:ascii="Times New Roman" w:hAnsi="Times New Roman" w:cs="Times New Roman"/>
          <w:sz w:val="24"/>
        </w:rPr>
        <w:t xml:space="preserve"> H. F Dijkstra, ed. </w:t>
      </w:r>
      <w:r w:rsidRPr="003010E3">
        <w:rPr>
          <w:rFonts w:ascii="Times New Roman" w:hAnsi="Times New Roman" w:cs="Times New Roman"/>
          <w:i/>
          <w:iCs/>
          <w:sz w:val="24"/>
        </w:rPr>
        <w:t>Inside and out: Interactions between Rome and the Peoples on the Arabian and Egyptian Frontiers in Late Antiquity</w:t>
      </w:r>
      <w:r w:rsidRPr="003010E3">
        <w:rPr>
          <w:rFonts w:ascii="Times New Roman" w:hAnsi="Times New Roman" w:cs="Times New Roman"/>
          <w:sz w:val="24"/>
        </w:rPr>
        <w:t xml:space="preserve">, Leuven: </w:t>
      </w:r>
      <w:proofErr w:type="spellStart"/>
      <w:r w:rsidRPr="003010E3">
        <w:rPr>
          <w:rFonts w:ascii="Times New Roman" w:hAnsi="Times New Roman" w:cs="Times New Roman"/>
          <w:sz w:val="24"/>
        </w:rPr>
        <w:t>Peeters</w:t>
      </w:r>
      <w:proofErr w:type="spellEnd"/>
      <w:r w:rsidRPr="003010E3">
        <w:rPr>
          <w:rFonts w:ascii="Times New Roman" w:hAnsi="Times New Roman" w:cs="Times New Roman"/>
          <w:sz w:val="24"/>
        </w:rPr>
        <w:t>.</w:t>
      </w:r>
    </w:p>
    <w:p w14:paraId="27F7B8AC" w14:textId="77777777" w:rsidR="003010E3" w:rsidRPr="003010E3" w:rsidRDefault="003010E3" w:rsidP="000F3AD5">
      <w:pPr>
        <w:pStyle w:val="Bibliography"/>
        <w:spacing w:after="120" w:line="360" w:lineRule="auto"/>
        <w:ind w:left="720" w:hanging="720"/>
        <w:rPr>
          <w:rFonts w:ascii="Times New Roman" w:hAnsi="Times New Roman" w:cs="Times New Roman"/>
          <w:sz w:val="24"/>
        </w:rPr>
      </w:pPr>
      <w:r w:rsidRPr="003010E3">
        <w:rPr>
          <w:rFonts w:ascii="Times New Roman" w:hAnsi="Times New Roman" w:cs="Times New Roman"/>
          <w:sz w:val="24"/>
        </w:rPr>
        <w:t xml:space="preserve">Macdonald, M.C.A. (2015) 'On the Uses of Writing in Ancient Arabia and the Role of </w:t>
      </w:r>
      <w:proofErr w:type="spellStart"/>
      <w:r w:rsidRPr="003010E3">
        <w:rPr>
          <w:rFonts w:ascii="Times New Roman" w:hAnsi="Times New Roman" w:cs="Times New Roman"/>
          <w:sz w:val="24"/>
        </w:rPr>
        <w:t>Palaeography</w:t>
      </w:r>
      <w:proofErr w:type="spellEnd"/>
      <w:r w:rsidRPr="003010E3">
        <w:rPr>
          <w:rFonts w:ascii="Times New Roman" w:hAnsi="Times New Roman" w:cs="Times New Roman"/>
          <w:sz w:val="24"/>
        </w:rPr>
        <w:t xml:space="preserve"> in Studying Them', </w:t>
      </w:r>
      <w:r w:rsidRPr="003010E3">
        <w:rPr>
          <w:rFonts w:ascii="Times New Roman" w:hAnsi="Times New Roman" w:cs="Times New Roman"/>
          <w:i/>
          <w:iCs/>
          <w:sz w:val="24"/>
        </w:rPr>
        <w:t>Arabian Epigraphic Notes</w:t>
      </w:r>
      <w:r w:rsidRPr="003010E3">
        <w:rPr>
          <w:rFonts w:ascii="Times New Roman" w:hAnsi="Times New Roman" w:cs="Times New Roman"/>
          <w:sz w:val="24"/>
        </w:rPr>
        <w:t>, 1, pp. 1–50.</w:t>
      </w:r>
    </w:p>
    <w:p w14:paraId="65746A9C" w14:textId="77777777" w:rsidR="003010E3" w:rsidRPr="003010E3" w:rsidRDefault="003010E3" w:rsidP="000F3AD5">
      <w:pPr>
        <w:pStyle w:val="Bibliography"/>
        <w:spacing w:after="120" w:line="360" w:lineRule="auto"/>
        <w:ind w:left="720" w:hanging="720"/>
        <w:rPr>
          <w:rFonts w:ascii="Times New Roman" w:hAnsi="Times New Roman" w:cs="Times New Roman"/>
          <w:sz w:val="24"/>
        </w:rPr>
      </w:pPr>
      <w:proofErr w:type="spellStart"/>
      <w:r w:rsidRPr="003010E3">
        <w:rPr>
          <w:rFonts w:ascii="Times New Roman" w:hAnsi="Times New Roman" w:cs="Times New Roman"/>
          <w:sz w:val="24"/>
        </w:rPr>
        <w:t>Nehmé</w:t>
      </w:r>
      <w:proofErr w:type="spellEnd"/>
      <w:r w:rsidRPr="003010E3">
        <w:rPr>
          <w:rFonts w:ascii="Times New Roman" w:hAnsi="Times New Roman" w:cs="Times New Roman"/>
          <w:sz w:val="24"/>
        </w:rPr>
        <w:t>, L. (2017) 'New Dated Inscriptions (Nabataean and Pre-Islamic Arabic) from a Site near Al-</w:t>
      </w:r>
      <w:proofErr w:type="spellStart"/>
      <w:r w:rsidRPr="003010E3">
        <w:rPr>
          <w:rFonts w:ascii="Times New Roman" w:hAnsi="Times New Roman" w:cs="Times New Roman"/>
          <w:sz w:val="24"/>
        </w:rPr>
        <w:t>Jawf</w:t>
      </w:r>
      <w:proofErr w:type="spellEnd"/>
      <w:r w:rsidRPr="003010E3">
        <w:rPr>
          <w:rFonts w:ascii="Times New Roman" w:hAnsi="Times New Roman" w:cs="Times New Roman"/>
          <w:sz w:val="24"/>
        </w:rPr>
        <w:t xml:space="preserve">, Ancient </w:t>
      </w:r>
      <w:proofErr w:type="spellStart"/>
      <w:r w:rsidRPr="003010E3">
        <w:rPr>
          <w:rFonts w:ascii="Times New Roman" w:hAnsi="Times New Roman" w:cs="Times New Roman"/>
          <w:sz w:val="24"/>
        </w:rPr>
        <w:t>Dūmah</w:t>
      </w:r>
      <w:proofErr w:type="spellEnd"/>
      <w:r w:rsidRPr="003010E3">
        <w:rPr>
          <w:rFonts w:ascii="Times New Roman" w:hAnsi="Times New Roman" w:cs="Times New Roman"/>
          <w:sz w:val="24"/>
        </w:rPr>
        <w:t xml:space="preserve">, Saudi Arabia', </w:t>
      </w:r>
      <w:r w:rsidRPr="003010E3">
        <w:rPr>
          <w:rFonts w:ascii="Times New Roman" w:hAnsi="Times New Roman" w:cs="Times New Roman"/>
          <w:i/>
          <w:iCs/>
          <w:sz w:val="24"/>
        </w:rPr>
        <w:t>Arabian Epigraphic Notes</w:t>
      </w:r>
      <w:r w:rsidRPr="003010E3">
        <w:rPr>
          <w:rFonts w:ascii="Times New Roman" w:hAnsi="Times New Roman" w:cs="Times New Roman"/>
          <w:sz w:val="24"/>
        </w:rPr>
        <w:t>, 3, pp. 121–64.</w:t>
      </w:r>
    </w:p>
    <w:p w14:paraId="3E2AD17E" w14:textId="77777777" w:rsidR="003010E3" w:rsidRPr="003010E3" w:rsidRDefault="003010E3" w:rsidP="000F3AD5">
      <w:pPr>
        <w:pStyle w:val="Bibliography"/>
        <w:spacing w:after="120" w:line="360" w:lineRule="auto"/>
        <w:ind w:left="720" w:hanging="720"/>
        <w:rPr>
          <w:rFonts w:ascii="Times New Roman" w:hAnsi="Times New Roman" w:cs="Times New Roman"/>
          <w:sz w:val="24"/>
        </w:rPr>
      </w:pPr>
      <w:r w:rsidRPr="003010E3">
        <w:rPr>
          <w:rFonts w:ascii="Times New Roman" w:hAnsi="Times New Roman" w:cs="Times New Roman"/>
          <w:sz w:val="24"/>
        </w:rPr>
        <w:t xml:space="preserve">Segal, J.B. (1984) 'Arabs in Syriac Literature before the Rise of Islam', </w:t>
      </w:r>
      <w:r w:rsidRPr="003010E3">
        <w:rPr>
          <w:rFonts w:ascii="Times New Roman" w:hAnsi="Times New Roman" w:cs="Times New Roman"/>
          <w:i/>
          <w:iCs/>
          <w:sz w:val="24"/>
        </w:rPr>
        <w:t>Jerusalem Studies in Arabic and Islam</w:t>
      </w:r>
      <w:r w:rsidRPr="003010E3">
        <w:rPr>
          <w:rFonts w:ascii="Times New Roman" w:hAnsi="Times New Roman" w:cs="Times New Roman"/>
          <w:sz w:val="24"/>
        </w:rPr>
        <w:t>, 4, pp. 89–123.</w:t>
      </w:r>
    </w:p>
    <w:p w14:paraId="0BB39B0E" w14:textId="0D46A987" w:rsidR="003010E3" w:rsidRPr="000F3AD5" w:rsidRDefault="000F3AD5" w:rsidP="000F3AD5">
      <w:pPr>
        <w:spacing w:after="120" w:line="360" w:lineRule="auto"/>
        <w:ind w:left="720" w:hanging="720"/>
        <w:rPr>
          <w:rFonts w:ascii="Times New Roman" w:eastAsia="Times New Roman" w:hAnsi="Times New Roman" w:cs="Times New Roman"/>
          <w:sz w:val="24"/>
          <w:szCs w:val="24"/>
        </w:rPr>
      </w:pPr>
      <w:r w:rsidRPr="000F3AD5">
        <w:rPr>
          <w:rFonts w:ascii="Times New Roman" w:eastAsia="Times New Roman" w:hAnsi="Times New Roman" w:cs="Times New Roman"/>
          <w:sz w:val="24"/>
          <w:szCs w:val="24"/>
        </w:rPr>
        <w:t xml:space="preserve">Stein, P. (2010) 'Literacy in Pre-Islamic Arabia: An Analysis of the Epigraphic Evidence', In </w:t>
      </w:r>
      <w:proofErr w:type="spellStart"/>
      <w:r w:rsidRPr="000F3AD5">
        <w:rPr>
          <w:rFonts w:ascii="Times New Roman" w:eastAsia="Times New Roman" w:hAnsi="Times New Roman" w:cs="Times New Roman"/>
          <w:sz w:val="24"/>
          <w:szCs w:val="24"/>
        </w:rPr>
        <w:t>Smirna</w:t>
      </w:r>
      <w:proofErr w:type="spellEnd"/>
      <w:r w:rsidRPr="000F3AD5">
        <w:rPr>
          <w:rFonts w:ascii="Times New Roman" w:eastAsia="Times New Roman" w:hAnsi="Times New Roman" w:cs="Times New Roman"/>
          <w:sz w:val="24"/>
          <w:szCs w:val="24"/>
        </w:rPr>
        <w:t xml:space="preserve"> Si, Angelika Neuwirth, Nicolai Sinai, and Michael Marx, eds. </w:t>
      </w:r>
      <w:r w:rsidRPr="000F3AD5">
        <w:rPr>
          <w:rFonts w:ascii="Times New Roman" w:eastAsia="Times New Roman" w:hAnsi="Times New Roman" w:cs="Times New Roman"/>
          <w:i/>
          <w:iCs/>
          <w:sz w:val="24"/>
          <w:szCs w:val="24"/>
        </w:rPr>
        <w:t>The Quran in Context: Historical and Literary Investigations into the Qur’anic Milieu</w:t>
      </w:r>
      <w:r w:rsidRPr="000F3AD5">
        <w:rPr>
          <w:rFonts w:ascii="Times New Roman" w:eastAsia="Times New Roman" w:hAnsi="Times New Roman" w:cs="Times New Roman"/>
          <w:sz w:val="24"/>
          <w:szCs w:val="24"/>
        </w:rPr>
        <w:t xml:space="preserve">, Boston: Brill. </w:t>
      </w:r>
    </w:p>
    <w:p w14:paraId="6E2C6DAC" w14:textId="5C009AAC" w:rsidR="000F3AD5" w:rsidRPr="000F3AD5" w:rsidRDefault="000F3AD5" w:rsidP="005A0A35">
      <w:pPr>
        <w:spacing w:after="120" w:line="360" w:lineRule="auto"/>
        <w:ind w:left="720" w:hanging="720"/>
        <w:rPr>
          <w:rFonts w:ascii="Times New Roman" w:eastAsia="Times New Roman" w:hAnsi="Times New Roman" w:cs="Times New Roman"/>
          <w:sz w:val="24"/>
          <w:szCs w:val="24"/>
        </w:rPr>
      </w:pPr>
      <w:r w:rsidRPr="000F3AD5">
        <w:rPr>
          <w:rFonts w:ascii="Times New Roman" w:eastAsia="Times New Roman" w:hAnsi="Times New Roman" w:cs="Times New Roman"/>
          <w:sz w:val="24"/>
          <w:szCs w:val="24"/>
        </w:rPr>
        <w:t xml:space="preserve">Thomas, R. (2011) 'Writing, Reading, Public and Private </w:t>
      </w:r>
      <w:r w:rsidR="005A0A35">
        <w:rPr>
          <w:rFonts w:ascii="Times New Roman" w:eastAsia="Times New Roman" w:hAnsi="Times New Roman" w:cs="Times New Roman"/>
          <w:sz w:val="24"/>
          <w:szCs w:val="24"/>
        </w:rPr>
        <w:t>"</w:t>
      </w:r>
      <w:r w:rsidRPr="000F3AD5">
        <w:rPr>
          <w:rFonts w:ascii="Times New Roman" w:eastAsia="Times New Roman" w:hAnsi="Times New Roman" w:cs="Times New Roman"/>
          <w:sz w:val="24"/>
          <w:szCs w:val="24"/>
        </w:rPr>
        <w:t>Literacies</w:t>
      </w:r>
      <w:r w:rsidR="005A0A35">
        <w:rPr>
          <w:rFonts w:ascii="Times New Roman" w:eastAsia="Times New Roman" w:hAnsi="Times New Roman" w:cs="Times New Roman"/>
          <w:sz w:val="24"/>
          <w:szCs w:val="24"/>
        </w:rPr>
        <w:t>"</w:t>
      </w:r>
      <w:r w:rsidRPr="000F3AD5">
        <w:rPr>
          <w:rFonts w:ascii="Times New Roman" w:eastAsia="Times New Roman" w:hAnsi="Times New Roman" w:cs="Times New Roman"/>
          <w:sz w:val="24"/>
          <w:szCs w:val="24"/>
        </w:rPr>
        <w:t xml:space="preserve">', </w:t>
      </w:r>
      <w:r w:rsidR="005A0A35" w:rsidRPr="005A0A35">
        <w:rPr>
          <w:rFonts w:ascii="Times New Roman" w:eastAsia="Times New Roman" w:hAnsi="Times New Roman" w:cs="Times New Roman"/>
          <w:sz w:val="24"/>
          <w:szCs w:val="24"/>
          <w:lang w:val="en-GB"/>
        </w:rPr>
        <w:t>In</w:t>
      </w:r>
      <w:r w:rsidR="005A0A35">
        <w:rPr>
          <w:rFonts w:ascii="Times New Roman" w:eastAsia="Times New Roman" w:hAnsi="Times New Roman" w:cs="Times New Roman"/>
          <w:sz w:val="24"/>
          <w:szCs w:val="24"/>
        </w:rPr>
        <w:t xml:space="preserve"> </w:t>
      </w:r>
      <w:r w:rsidRPr="000F3AD5">
        <w:rPr>
          <w:rFonts w:ascii="Times New Roman" w:eastAsia="Times New Roman" w:hAnsi="Times New Roman" w:cs="Times New Roman"/>
          <w:i/>
          <w:iCs/>
          <w:sz w:val="24"/>
          <w:szCs w:val="24"/>
        </w:rPr>
        <w:t>Ancient Literacies: The Culture of Reading in Greece and Rome</w:t>
      </w:r>
      <w:r w:rsidRPr="000F3AD5">
        <w:rPr>
          <w:rFonts w:ascii="Times New Roman" w:eastAsia="Times New Roman" w:hAnsi="Times New Roman" w:cs="Times New Roman"/>
          <w:sz w:val="24"/>
          <w:szCs w:val="24"/>
        </w:rPr>
        <w:t>, Oxford University Press.</w:t>
      </w:r>
    </w:p>
    <w:p w14:paraId="0FB9FAF0" w14:textId="77777777" w:rsidR="003010E3" w:rsidRPr="003010E3" w:rsidRDefault="003010E3" w:rsidP="000F3AD5">
      <w:pPr>
        <w:pStyle w:val="Bibliography"/>
        <w:spacing w:after="120" w:line="360" w:lineRule="auto"/>
        <w:ind w:left="720" w:hanging="720"/>
        <w:rPr>
          <w:rFonts w:ascii="Times New Roman" w:hAnsi="Times New Roman" w:cs="Times New Roman"/>
          <w:sz w:val="24"/>
        </w:rPr>
      </w:pPr>
      <w:r w:rsidRPr="003010E3">
        <w:rPr>
          <w:rFonts w:ascii="Times New Roman" w:hAnsi="Times New Roman" w:cs="Times New Roman"/>
          <w:sz w:val="24"/>
        </w:rPr>
        <w:t xml:space="preserve">Woolf, G. (2015) 'Ancient Illiteracy?', </w:t>
      </w:r>
      <w:r w:rsidRPr="003010E3">
        <w:rPr>
          <w:rFonts w:ascii="Times New Roman" w:hAnsi="Times New Roman" w:cs="Times New Roman"/>
          <w:i/>
          <w:iCs/>
          <w:sz w:val="24"/>
        </w:rPr>
        <w:t>Bulletin of the Institute of Classical Studies</w:t>
      </w:r>
      <w:r w:rsidRPr="003010E3">
        <w:rPr>
          <w:rFonts w:ascii="Times New Roman" w:hAnsi="Times New Roman" w:cs="Times New Roman"/>
          <w:sz w:val="24"/>
        </w:rPr>
        <w:t>, 58(2), pp. 31–42. DOI: 10.1111/j.2041-5370.2015.</w:t>
      </w:r>
      <w:proofErr w:type="gramStart"/>
      <w:r w:rsidRPr="003010E3">
        <w:rPr>
          <w:rFonts w:ascii="Times New Roman" w:hAnsi="Times New Roman" w:cs="Times New Roman"/>
          <w:sz w:val="24"/>
        </w:rPr>
        <w:t>12010.x.</w:t>
      </w:r>
      <w:proofErr w:type="gramEnd"/>
    </w:p>
    <w:p w14:paraId="3E518156" w14:textId="7A6E1121" w:rsidR="00FD674C" w:rsidRDefault="00FD674C" w:rsidP="000F3AD5">
      <w:pPr>
        <w:spacing w:after="120" w:line="360" w:lineRule="auto"/>
        <w:ind w:left="720" w:hanging="720"/>
      </w:pPr>
      <w:r w:rsidRPr="000571F1">
        <w:rPr>
          <w:rFonts w:ascii="Times New Roman" w:hAnsi="Times New Roman" w:cs="Times New Roman"/>
          <w:sz w:val="24"/>
        </w:rPr>
        <w:fldChar w:fldCharType="end"/>
      </w:r>
    </w:p>
    <w:p w14:paraId="1C98801D" w14:textId="77777777" w:rsidR="00A97424" w:rsidRDefault="00A97424"/>
    <w:sectPr w:rsidR="00A97424">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C11951" w14:textId="77777777" w:rsidR="00FD674C" w:rsidRDefault="00FD674C" w:rsidP="00FD674C">
      <w:pPr>
        <w:spacing w:after="0" w:line="240" w:lineRule="auto"/>
      </w:pPr>
      <w:r>
        <w:separator/>
      </w:r>
    </w:p>
  </w:endnote>
  <w:endnote w:type="continuationSeparator" w:id="0">
    <w:p w14:paraId="70277825" w14:textId="77777777" w:rsidR="00FD674C" w:rsidRDefault="00FD674C" w:rsidP="00FD67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ource Sans Pro Light">
    <w:panose1 w:val="020B0403030403020204"/>
    <w:charset w:val="00"/>
    <w:family w:val="swiss"/>
    <w:pitch w:val="variable"/>
    <w:sig w:usb0="600002F7" w:usb1="02000001" w:usb2="00000000" w:usb3="00000000" w:csb0="0000019F" w:csb1="00000000"/>
  </w:font>
  <w:font w:name="Source Sans Pro">
    <w:panose1 w:val="020B0503030403020204"/>
    <w:charset w:val="00"/>
    <w:family w:val="swiss"/>
    <w:pitch w:val="variable"/>
    <w:sig w:usb0="600002F7" w:usb1="02000001" w:usb2="00000000" w:usb3="00000000" w:csb0="0000019F" w:csb1="00000000"/>
  </w:font>
  <w:font w:name="Source Sans Pro SemiBold">
    <w:panose1 w:val="020B0603030403020204"/>
    <w:charset w:val="00"/>
    <w:family w:val="swiss"/>
    <w:pitch w:val="variable"/>
    <w:sig w:usb0="600002F7" w:usb1="02000001" w:usb2="00000000" w:usb3="00000000" w:csb0="0000019F" w:csb1="00000000"/>
  </w:font>
  <w:font w:name="DejaVu Serif">
    <w:altName w:val="Cambria"/>
    <w:panose1 w:val="02060603050605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44781074"/>
      <w:docPartObj>
        <w:docPartGallery w:val="Page Numbers (Bottom of Page)"/>
        <w:docPartUnique/>
      </w:docPartObj>
    </w:sdtPr>
    <w:sdtEndPr>
      <w:rPr>
        <w:rFonts w:ascii="Times New Roman" w:hAnsi="Times New Roman" w:cs="Times New Roman"/>
        <w:noProof/>
        <w:sz w:val="24"/>
        <w:szCs w:val="24"/>
      </w:rPr>
    </w:sdtEndPr>
    <w:sdtContent>
      <w:p w14:paraId="6E1966F4" w14:textId="77777777" w:rsidR="008353EB" w:rsidRPr="008353EB" w:rsidRDefault="00480186" w:rsidP="00E22A53">
        <w:pPr>
          <w:pStyle w:val="Footer"/>
          <w:jc w:val="center"/>
          <w:rPr>
            <w:rFonts w:ascii="Times New Roman" w:hAnsi="Times New Roman" w:cs="Times New Roman"/>
            <w:sz w:val="24"/>
            <w:szCs w:val="24"/>
          </w:rPr>
        </w:pPr>
        <w:r w:rsidRPr="008353EB">
          <w:rPr>
            <w:rFonts w:ascii="Times New Roman" w:hAnsi="Times New Roman" w:cs="Times New Roman"/>
            <w:sz w:val="24"/>
            <w:szCs w:val="24"/>
          </w:rPr>
          <w:fldChar w:fldCharType="begin"/>
        </w:r>
        <w:r w:rsidRPr="008353EB">
          <w:rPr>
            <w:rFonts w:ascii="Times New Roman" w:hAnsi="Times New Roman" w:cs="Times New Roman"/>
            <w:sz w:val="24"/>
            <w:szCs w:val="24"/>
          </w:rPr>
          <w:instrText xml:space="preserve"> PAGE   \* MERGEFORMAT </w:instrText>
        </w:r>
        <w:r w:rsidRPr="008353EB">
          <w:rPr>
            <w:rFonts w:ascii="Times New Roman" w:hAnsi="Times New Roman" w:cs="Times New Roman"/>
            <w:sz w:val="24"/>
            <w:szCs w:val="24"/>
          </w:rPr>
          <w:fldChar w:fldCharType="separate"/>
        </w:r>
        <w:r w:rsidRPr="008353EB">
          <w:rPr>
            <w:rFonts w:ascii="Times New Roman" w:hAnsi="Times New Roman" w:cs="Times New Roman"/>
            <w:noProof/>
            <w:sz w:val="24"/>
            <w:szCs w:val="24"/>
          </w:rPr>
          <w:t>2</w:t>
        </w:r>
        <w:r w:rsidRPr="008353EB">
          <w:rPr>
            <w:rFonts w:ascii="Times New Roman" w:hAnsi="Times New Roman" w:cs="Times New Roman"/>
            <w:noProof/>
            <w:sz w:val="24"/>
            <w:szCs w:val="24"/>
          </w:rPr>
          <w:fldChar w:fldCharType="end"/>
        </w:r>
      </w:p>
    </w:sdtContent>
  </w:sdt>
  <w:p w14:paraId="5F8F7F5F" w14:textId="77777777" w:rsidR="00510CC0" w:rsidRDefault="004801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155AF8" w14:textId="77777777" w:rsidR="00FD674C" w:rsidRDefault="00FD674C" w:rsidP="00FD674C">
      <w:pPr>
        <w:spacing w:after="0" w:line="240" w:lineRule="auto"/>
      </w:pPr>
      <w:r>
        <w:separator/>
      </w:r>
    </w:p>
  </w:footnote>
  <w:footnote w:type="continuationSeparator" w:id="0">
    <w:p w14:paraId="42E3ADDC" w14:textId="77777777" w:rsidR="00FD674C" w:rsidRDefault="00FD674C" w:rsidP="00FD674C">
      <w:pPr>
        <w:spacing w:after="0" w:line="240" w:lineRule="auto"/>
      </w:pPr>
      <w:r>
        <w:continuationSeparator/>
      </w:r>
    </w:p>
  </w:footnote>
  <w:footnote w:id="1">
    <w:p w14:paraId="57DB97D5" w14:textId="03493270" w:rsidR="00FD674C" w:rsidRPr="005A0A35" w:rsidRDefault="00FD674C" w:rsidP="00FD674C">
      <w:pPr>
        <w:pStyle w:val="FootnoteText"/>
        <w:rPr>
          <w:rFonts w:ascii="Times New Roman" w:hAnsi="Times New Roman" w:cs="Times New Roman"/>
        </w:rPr>
      </w:pPr>
      <w:r w:rsidRPr="005A0A35">
        <w:rPr>
          <w:rStyle w:val="FootnoteReference"/>
          <w:rFonts w:ascii="Times New Roman" w:hAnsi="Times New Roman" w:cs="Times New Roman"/>
        </w:rPr>
        <w:footnoteRef/>
      </w:r>
      <w:r w:rsidRPr="005A0A35">
        <w:rPr>
          <w:rFonts w:ascii="Times New Roman" w:hAnsi="Times New Roman" w:cs="Times New Roman"/>
        </w:rPr>
        <w:t xml:space="preserve"> </w:t>
      </w:r>
      <w:r w:rsidRPr="005A0A35">
        <w:rPr>
          <w:rFonts w:ascii="Times New Roman" w:hAnsi="Times New Roman" w:cs="Times New Roman"/>
        </w:rPr>
        <w:fldChar w:fldCharType="begin"/>
      </w:r>
      <w:r w:rsidRPr="005A0A35">
        <w:rPr>
          <w:rFonts w:ascii="Times New Roman" w:hAnsi="Times New Roman" w:cs="Times New Roman"/>
        </w:rPr>
        <w:instrText xml:space="preserve"> ADDIN ZOTERO_ITEM CSL_CITATION {"citationID":"G1Phe08x","properties":{"formattedCitation":"Macdonald, 2015, p. 2","plainCitation":"Macdonald, 2015, p. 2","noteIndex":1},"citationItems":[{"id":588,"uris":["http://zotero.org/users/2150440/items/8TC2LUHQ"],"uri":["http://zotero.org/users/2150440/items/8TC2LUHQ"],"itemData":{"id":588,"type":"article-journal","title":"On the uses of writing in ancient Arabia and the role of palaeography in studying them","container-title":"Arabian Epigraphic Notes","page":"1-50","volume":"1","source":"www.academia.edu","abstract":"On the uses of writing in ancient Arabia and the role of palaeography in studying them","language":"en","author":[{"family":"Macdonald","given":"Michael C. A."}],"issued":{"date-parts":[["2015",5,5]]}},"locator":"2"}],"schema":"https://github.com/citation-style-language/schema/raw/master/csl-citation.json"} </w:instrText>
      </w:r>
      <w:r w:rsidRPr="005A0A35">
        <w:rPr>
          <w:rFonts w:ascii="Times New Roman" w:hAnsi="Times New Roman" w:cs="Times New Roman"/>
        </w:rPr>
        <w:fldChar w:fldCharType="separate"/>
      </w:r>
      <w:r w:rsidRPr="005A0A35">
        <w:rPr>
          <w:rFonts w:ascii="Times New Roman" w:hAnsi="Times New Roman" w:cs="Times New Roman"/>
        </w:rPr>
        <w:t>Macdonald, 2015, p. 2</w:t>
      </w:r>
      <w:r w:rsidRPr="005A0A35">
        <w:rPr>
          <w:rFonts w:ascii="Times New Roman" w:hAnsi="Times New Roman" w:cs="Times New Roman"/>
        </w:rPr>
        <w:fldChar w:fldCharType="end"/>
      </w:r>
    </w:p>
  </w:footnote>
  <w:footnote w:id="2">
    <w:p w14:paraId="1E5CAD2F" w14:textId="77777777" w:rsidR="00FD674C" w:rsidRPr="005A0A35" w:rsidRDefault="00FD674C" w:rsidP="00FD674C">
      <w:pPr>
        <w:pStyle w:val="FootnoteText"/>
        <w:rPr>
          <w:rFonts w:ascii="Times New Roman" w:hAnsi="Times New Roman" w:cs="Times New Roman"/>
        </w:rPr>
      </w:pPr>
      <w:r w:rsidRPr="005A0A35">
        <w:rPr>
          <w:rStyle w:val="FootnoteReference"/>
          <w:rFonts w:ascii="Times New Roman" w:hAnsi="Times New Roman" w:cs="Times New Roman"/>
        </w:rPr>
        <w:footnoteRef/>
      </w:r>
      <w:r w:rsidRPr="005A0A35">
        <w:rPr>
          <w:rFonts w:ascii="Times New Roman" w:hAnsi="Times New Roman" w:cs="Times New Roman"/>
        </w:rPr>
        <w:t xml:space="preserve">For instance: </w:t>
      </w:r>
      <w:r w:rsidRPr="005A0A35">
        <w:rPr>
          <w:rFonts w:ascii="Times New Roman" w:hAnsi="Times New Roman" w:cs="Times New Roman"/>
        </w:rPr>
        <w:fldChar w:fldCharType="begin"/>
      </w:r>
      <w:r w:rsidRPr="005A0A35">
        <w:rPr>
          <w:rFonts w:ascii="Times New Roman" w:hAnsi="Times New Roman" w:cs="Times New Roman"/>
        </w:rPr>
        <w:instrText xml:space="preserve"> ADDIN ZOTERO_ITEM CSL_CITATION {"citationID":"U43d3RyB","properties":{"formattedCitation":"Barber, 2011; Thomas, 2011; see also Kim, 2011; Woolf, 2015 is an example of restricted domain literacy.","plainCitation":"Barber, 2011; Thomas, 2011; see also Kim, 2011; Woolf, 2015 is an example of restricted domain literacy.","noteIndex":2},"citationItems":[{"id":498,"uris":["http://zotero.org/users/2150440/items/ESMVYBDP"],"uri":["http://zotero.org/users/2150440/items/ESMVYBDP"],"itemData":{"id":498,"type":"book","title":"Literacy Use and Incorporation in Culture: The \"How\" and \"How Much\" of Literacy","collection-title":"SIL e-Books","collection-number":"28","publisher":"SIL","publisher-place":"Dallas","number-of-pages":"179","event-place":"Dallas","abstract":"This study reports on a broad-based study examining “how” and “how much” literacy is used in different cultural contexts. An underlying assumption is that any expression of literacy occurs within a cultural context and is shaped by the structures of that culture. Literacy use, the “how” of literacy, is explored in an analysis of interviews with 36 field linguists working with SIL International in ethnolinguistic minority communities. Community social environment is shown to be a strong factor in determining literacy use. Literacy incorporation, the “how much” of literacy, is explored in an analysis of data from survey questionnaires returned by 143 SIL field linguists working in 25 countries. Economic level and available education, along with the social environments of the community and the church, are shown to be strong factors in determining literacy incorporation.\n\nThis book is a revised version of the author’s 1995 Ph.D. Dissertation presented to the Faculty of the School of Intercultural Studies, Biola University. The data are from the early 1990s.","URL":"https://www.sil.org/resources/publications/entry/43014","shortTitle":"Literacy Use and Incorporation in Culture","language":"en","author":[{"family":"Barber","given":"Stephen"}],"issued":{"date-parts":[["2011"]]},"accessed":{"date-parts":[["2018",12,6]]}}},{"id":336,"uris":["http://zotero.org/users/2150440/items/PGTVR35N"],"uri":["http://zotero.org/users/2150440/items/PGTVR35N"],"itemData":{"id":336,"type":"chapter","title":"Writing, Reading, Public and Private “Literacies”: Functional Literacy and Democratic Literacy in Greece","container-title":"Ancient Literacies","publisher":"Oxford University Press","source":"whel-primo.com","abstract":"This chapter begins with an observation of literacies that have developed in different ways and contexts. This is followed by a discussion of the literacy practices that are associated with various social, economic, and political groups. It focuses on the ways that different uses of reading and writing are embedded in specific institutions in classical Athens, such as the distinct uses of literacy in banking and other commercial activities, the use of names and lists in citizenship activities, and the particular needs and uses of reading and writing among Athenian officials.","shortTitle":"Writing, Reading, Public and Private “Literacies”","language":"eng","author":[{"family":"Thomas","given":"Rosalind"}],"issued":{"date-parts":[["2011"]]}}},{"id":496,"uris":["http://zotero.org/users/2150440/items/ZN8HICVI"],"uri":["http://zotero.org/users/2150440/items/ZN8HICVI"],"itemData":{"id":496,"type":"book","title":"Development of a National Literacy Assessment Instrument for Cross-Linguistic Use in Nepal","collection-title":"SIL e-Books","collection-number":"48","publisher":"Graduate Institute of Applied Linguistics","publisher-place":"Dallas","number-of-pages":"284","event-place":"Dallas","abstract":"This thesis presents a criterion-referenced assessment instrument to measure literacy performance proficiencies of Eastern Tamang adult learners, which can be adaptable for other indigenous language groups of Nepal. Following introduction of Nepal, Tamang, and a brief history of Non-Formal Education in Nepal, chapter 2 reviews various methods and models to establish a theoretical framework for developing literacy assessment in Nepal. Chapter 3 proposes general guidelines for an assessment development procedure, an operational definition of literacy, specific literacy skills and test components selected, and minimum skill levels posited as criteria for success for the Eastern Tamang adults. Chapter 4 describes the assessment instrument which mainly consists of an entry point diagnostic, oral, and written tests with different test items for different skill levels. Chapter 5 provides a broad methodological sketch of all the phases of developing the assessment and finally chapter 6 summarizes the motivation and justification of the literacy assessment.","URL":"https://www.sil.org/resources/publications/entry/51671","language":"en","author":[{"family":"Kim","given":"Young Mee"}],"issued":{"date-parts":[["2011",6]]},"accessed":{"date-parts":[["2018",12,6]]}},"prefix":"see also"},{"id":292,"uris":["http://zotero.org/users/2150440/items/J7KTR8EL"],"uri":["http://zotero.org/users/2150440/items/J7KTR8EL"],"itemData":{"id":292,"type":"article-journal","title":"Ancient Illiteracy?","container-title":"Bulletin of the Institute of Classical Studies","page":"31-42","volume":"58","issue":"2","source":"EBSCOhost","abstract":"Ancient writing is conventionally approached as a counterpart of speech, as in the dyad orality/literacy. Alphabetical writing systems are often regarded as superior precisely because they are better able to record speech. This paper takes inspiration from the work on ancient Near Eastern writing systems and considers ancient literacy as a general competence in handling sign systems that are often as much about numbers and quantities as about phonetic transcription. Means of recording proper names assume a special importance in transactions between strangers, and in documents that circulate without much context. But judged in terms of a capacity to handle numbers, signs, diagrams, and other symbols the debate over ancient literacy, and illiteracy, looks rather different. The paper argues that relative to their need to handle sign systems of this kind, very few members of the ancient world can be considered as functionally illiterate. Moving away from orality/literacy also raises questions about the widespread (but incomplete) spread of alphabets and abjads in the last and first millennia.","DOI":"10.1111/j.2041-5370.2015.12010.x","ISSN":"00760730","journalAbbreviation":"Bulletin of the Institute of Classical Studies","author":[{"family":"Woolf","given":"Greg"}],"issued":{"date-parts":[["2015",12]]}},"suffix":"is an example of restricted domain literacy."}],"schema":"https://github.com/citation-style-language/schema/raw/master/csl-citation.json"} </w:instrText>
      </w:r>
      <w:r w:rsidRPr="005A0A35">
        <w:rPr>
          <w:rFonts w:ascii="Times New Roman" w:hAnsi="Times New Roman" w:cs="Times New Roman"/>
        </w:rPr>
        <w:fldChar w:fldCharType="separate"/>
      </w:r>
      <w:r w:rsidRPr="005A0A35">
        <w:rPr>
          <w:rFonts w:ascii="Times New Roman" w:hAnsi="Times New Roman" w:cs="Times New Roman"/>
        </w:rPr>
        <w:t>Barber, 2011; Thomas, 2011; see also Kim, 2011; Woolf, 2015 is an example of restricted domain literacy.</w:t>
      </w:r>
      <w:r w:rsidRPr="005A0A35">
        <w:rPr>
          <w:rFonts w:ascii="Times New Roman" w:hAnsi="Times New Roman" w:cs="Times New Roman"/>
        </w:rPr>
        <w:fldChar w:fldCharType="end"/>
      </w:r>
    </w:p>
  </w:footnote>
  <w:footnote w:id="3">
    <w:p w14:paraId="46AD34FD" w14:textId="4A5A4CBC" w:rsidR="005441E4" w:rsidRPr="005A0A35" w:rsidRDefault="005441E4">
      <w:pPr>
        <w:pStyle w:val="FootnoteText"/>
        <w:rPr>
          <w:rFonts w:ascii="Times New Roman" w:hAnsi="Times New Roman" w:cs="Times New Roman"/>
        </w:rPr>
      </w:pPr>
      <w:r w:rsidRPr="005A0A35">
        <w:rPr>
          <w:rStyle w:val="FootnoteReference"/>
          <w:rFonts w:ascii="Times New Roman" w:hAnsi="Times New Roman" w:cs="Times New Roman"/>
        </w:rPr>
        <w:footnoteRef/>
      </w:r>
      <w:r w:rsidRPr="005A0A35">
        <w:rPr>
          <w:rFonts w:ascii="Times New Roman" w:hAnsi="Times New Roman" w:cs="Times New Roman"/>
        </w:rPr>
        <w:t xml:space="preserve"> </w:t>
      </w:r>
      <w:r w:rsidRPr="005A0A35">
        <w:rPr>
          <w:rFonts w:ascii="Times New Roman" w:hAnsi="Times New Roman" w:cs="Times New Roman"/>
        </w:rPr>
        <w:fldChar w:fldCharType="begin"/>
      </w:r>
      <w:r w:rsidRPr="005A0A35">
        <w:rPr>
          <w:rFonts w:ascii="Times New Roman" w:hAnsi="Times New Roman" w:cs="Times New Roman"/>
        </w:rPr>
        <w:instrText xml:space="preserve"> ADDIN ZOTERO_ITEM CSL_CITATION {"citationID":"veNXwOv8","properties":{"formattedCitation":"Thomas, 2011, p. 16","plainCitation":"Thomas, 2011, p. 16","noteIndex":3},"citationItems":[{"id":336,"uris":["http://zotero.org/users/2150440/items/PGTVR35N"],"uri":["http://zotero.org/users/2150440/items/PGTVR35N"],"itemData":{"id":336,"type":"chapter","title":"Writing, Reading, Public and Private “Literacies”: Functional Literacy and Democratic Literacy in Greece","container-title":"Ancient Literacies","publisher":"Oxford University Press","source":"whel-primo.com","abstract":"This chapter begins with an observation of literacies that have developed in different ways and contexts. This is followed by a discussion of the literacy practices that are associated with various social, economic, and political groups. It focuses on the ways that different uses of reading and writing are embedded in specific institutions in classical Athens, such as the distinct uses of literacy in banking and other commercial activities, the use of names and lists in citizenship activities, and the particular needs and uses of reading and writing among Athenian officials.","shortTitle":"Writing, Reading, Public and Private “Literacies”","language":"eng","author":[{"family":"Thomas","given":"Rosalind"}],"issued":{"date-parts":[["2011"]]}},"locator":"16"}],"schema":"https://github.com/citation-style-language/schema/raw/master/csl-citation.json"} </w:instrText>
      </w:r>
      <w:r w:rsidRPr="005A0A35">
        <w:rPr>
          <w:rFonts w:ascii="Times New Roman" w:hAnsi="Times New Roman" w:cs="Times New Roman"/>
        </w:rPr>
        <w:fldChar w:fldCharType="separate"/>
      </w:r>
      <w:r w:rsidRPr="005A0A35">
        <w:rPr>
          <w:rFonts w:ascii="Times New Roman" w:hAnsi="Times New Roman" w:cs="Times New Roman"/>
        </w:rPr>
        <w:t>Thomas, 2011, p. 16</w:t>
      </w:r>
      <w:r w:rsidRPr="005A0A35">
        <w:rPr>
          <w:rFonts w:ascii="Times New Roman" w:hAnsi="Times New Roman" w:cs="Times New Roman"/>
        </w:rPr>
        <w:fldChar w:fldCharType="end"/>
      </w:r>
    </w:p>
  </w:footnote>
  <w:footnote w:id="4">
    <w:p w14:paraId="30B142E9" w14:textId="7C230788" w:rsidR="003010E3" w:rsidRPr="005A0A35" w:rsidRDefault="003010E3">
      <w:pPr>
        <w:pStyle w:val="FootnoteText"/>
        <w:rPr>
          <w:rFonts w:ascii="Times New Roman" w:hAnsi="Times New Roman" w:cs="Times New Roman"/>
        </w:rPr>
      </w:pPr>
      <w:r w:rsidRPr="005A0A35">
        <w:rPr>
          <w:rStyle w:val="FootnoteReference"/>
          <w:rFonts w:ascii="Times New Roman" w:hAnsi="Times New Roman" w:cs="Times New Roman"/>
        </w:rPr>
        <w:footnoteRef/>
      </w:r>
      <w:r w:rsidRPr="005A0A35">
        <w:rPr>
          <w:rFonts w:ascii="Times New Roman" w:hAnsi="Times New Roman" w:cs="Times New Roman"/>
        </w:rPr>
        <w:t xml:space="preserve"> </w:t>
      </w:r>
      <w:r w:rsidRPr="005A0A35">
        <w:rPr>
          <w:rFonts w:ascii="Times New Roman" w:hAnsi="Times New Roman" w:cs="Times New Roman"/>
        </w:rPr>
        <w:fldChar w:fldCharType="begin"/>
      </w:r>
      <w:r w:rsidRPr="005A0A35">
        <w:rPr>
          <w:rFonts w:ascii="Times New Roman" w:hAnsi="Times New Roman" w:cs="Times New Roman"/>
        </w:rPr>
        <w:instrText xml:space="preserve"> ADDIN ZOTERO_ITEM CSL_CITATION {"citationID":"zI2efXzk","properties":{"formattedCitation":"Thomas, 2011, pp. 16\\uc0\\u8211{}17; Woolf, 2015; Macdonald, 2005","plainCitation":"Thomas, 2011, pp. 16–17; Woolf, 2015; Macdonald, 2005","noteIndex":4},"citationItems":[{"id":336,"uris":["http://zotero.org/users/2150440/items/PGTVR35N"],"uri":["http://zotero.org/users/2150440/items/PGTVR35N"],"itemData":{"id":336,"type":"chapter","title":"Writing, Reading, Public and Private “Literacies”: Functional Literacy and Democratic Literacy in Greece","container-title":"Ancient Literacies","publisher":"Oxford University Press","source":"whel-primo.com","abstract":"This chapter begins with an observation of literacies that have developed in different ways and contexts. This is followed by a discussion of the literacy practices that are associated with various social, economic, and political groups. It focuses on the ways that different uses of reading and writing are embedded in specific institutions in classical Athens, such as the distinct uses of literacy in banking and other commercial activities, the use of names and lists in citizenship activities, and the particular needs and uses of reading and writing among Athenian officials.","shortTitle":"Writing, Reading, Public and Private “Literacies”","language":"eng","author":[{"family":"Thomas","given":"Rosalind"}],"issued":{"date-parts":[["2011"]]}},"locator":"16-17"},{"id":292,"uris":["http://zotero.org/users/2150440/items/J7KTR8EL"],"uri":["http://zotero.org/users/2150440/items/J7KTR8EL"],"itemData":{"id":292,"type":"article-journal","title":"Ancient Illiteracy?","container-title":"Bulletin of the Institute of Classical Studies","page":"31-42","volume":"58","issue":"2","source":"EBSCOhost","abstract":"Ancient writing is conventionally approached as a counterpart of speech, as in the dyad orality/literacy. Alphabetical writing systems are often regarded as superior precisely because they are better able to record speech. This paper takes inspiration from the work on ancient Near Eastern writing systems and considers ancient literacy as a general competence in handling sign systems that are often as much about numbers and quantities as about phonetic transcription. Means of recording proper names assume a special importance in transactions between strangers, and in documents that circulate without much context. But judged in terms of a capacity to handle numbers, signs, diagrams, and other symbols the debate over ancient literacy, and illiteracy, looks rather different. The paper argues that relative to their need to handle sign systems of this kind, very few members of the ancient world can be considered as functionally illiterate. Moving away from orality/literacy also raises questions about the widespread (but incomplete) spread of alphabets and abjads in the last and first millennia.","DOI":"10.1111/j.2041-5370.2015.12010.x","ISSN":"00760730","journalAbbreviation":"Bulletin of the Institute of Classical Studies","author":[{"family":"Woolf","given":"Greg"}],"issued":{"date-parts":[["2015",12]]}}},{"id":407,"uris":["http://zotero.org/users/2150440/items/C9RQQRJA"],"uri":["http://zotero.org/users/2150440/items/C9RQQRJA"],"itemData":{"id":407,"type":"chapter","title":"Literacy in an oral environment","container-title":"Writing and ancient Near Eastern society: papers in honour of Alan R. Millard","publisher":"T &amp; T Clark","publisher-place":"New York; London","source":"Open WorldCat","event-place":"New York; London","ISBN":"978-0-567-02691-0","note":"OCLC: 60603117","language":"English","author":[{"family":"Macdonald","given":"Michael C. A."}],"editor":[{"family":"Bienkowski","given":"Piotr"},{"family":"Mee","given":"C"},{"family":"Slater","given":"E. A"}],"issued":{"date-parts":[["2005"]]}}}],"schema":"https://github.com/citation-style-language/schema/raw/master/csl-citation.json"} </w:instrText>
      </w:r>
      <w:r w:rsidRPr="005A0A35">
        <w:rPr>
          <w:rFonts w:ascii="Times New Roman" w:hAnsi="Times New Roman" w:cs="Times New Roman"/>
        </w:rPr>
        <w:fldChar w:fldCharType="separate"/>
      </w:r>
      <w:r w:rsidRPr="005A0A35">
        <w:rPr>
          <w:rFonts w:ascii="Times New Roman" w:hAnsi="Times New Roman" w:cs="Times New Roman"/>
        </w:rPr>
        <w:t>Thomas, 2011, pp. 16–17; Woolf, 2015; Macdonald, 2005</w:t>
      </w:r>
      <w:r w:rsidRPr="005A0A35">
        <w:rPr>
          <w:rFonts w:ascii="Times New Roman" w:hAnsi="Times New Roman" w:cs="Times New Roman"/>
        </w:rPr>
        <w:fldChar w:fldCharType="end"/>
      </w:r>
    </w:p>
  </w:footnote>
  <w:footnote w:id="5">
    <w:p w14:paraId="646C9FA4" w14:textId="788CB900" w:rsidR="00FD674C" w:rsidRPr="005A0A35" w:rsidRDefault="00FD674C" w:rsidP="00FD674C">
      <w:pPr>
        <w:pStyle w:val="FootnoteText"/>
        <w:rPr>
          <w:rFonts w:ascii="Times New Roman" w:hAnsi="Times New Roman" w:cs="Times New Roman"/>
        </w:rPr>
      </w:pPr>
      <w:r w:rsidRPr="005A0A35">
        <w:rPr>
          <w:rStyle w:val="FootnoteReference"/>
          <w:rFonts w:ascii="Times New Roman" w:hAnsi="Times New Roman" w:cs="Times New Roman"/>
        </w:rPr>
        <w:footnoteRef/>
      </w:r>
      <w:r w:rsidRPr="005A0A35">
        <w:rPr>
          <w:rFonts w:ascii="Times New Roman" w:hAnsi="Times New Roman" w:cs="Times New Roman"/>
        </w:rPr>
        <w:t xml:space="preserve"> </w:t>
      </w:r>
      <w:r w:rsidRPr="005A0A35">
        <w:rPr>
          <w:rFonts w:ascii="Times New Roman" w:hAnsi="Times New Roman" w:cs="Times New Roman"/>
        </w:rPr>
        <w:fldChar w:fldCharType="begin"/>
      </w:r>
      <w:r w:rsidRPr="005A0A35">
        <w:rPr>
          <w:rFonts w:ascii="Times New Roman" w:hAnsi="Times New Roman" w:cs="Times New Roman"/>
        </w:rPr>
        <w:instrText xml:space="preserve"> ADDIN ZOTERO_ITEM CSL_CITATION {"citationID":"q6jNXG7h","properties":{"formattedCitation":"Macdonald, 2008, pp. 17\\uc0\\u8211{}18, 22, and throughout, describes the evidence.","plainCitation":"Macdonald, 2008, pp. 17–18, 22, and throughout, describes the evidence.","noteIndex":3},"citationItems":[{"id":452,"uris":["http://zotero.org/users/2150440/items/LSX4TC3G"],"uri":["http://zotero.org/users/2150440/items/LSX4TC3G"],"itemData":{"id":452,"type":"chapter","title":"The decline of the epigraphic habit in late antique Arabia: Some Questions","container-title":"L'Arabie à la veille de l'Islam: bilan clinique","collection-title":"Orient &amp; Méditerranée","collection-number":"3","publisher":"De Boccard","publisher-place":"Paris","source":"www.academia.edu","event-place":"Paris","abstract":"The decline of the epigraphic habit in late antique Arabia_some questions","URL":"https://www.academia.edu/4421634/The_decline_of_the_epigraphic_habit_in_late_antique_Arabia_some_questions","language":"en","author":[{"family":"Macdonald","given":"Michael C. A."}],"editor":[{"family":"Robin","given":"Christian Julien"},{"family":"Schiettecatie","given":"Jeremie"}],"issued":{"date-parts":[["2008"]]},"accessed":{"date-parts":[["2018",11,15]]}},"locator":"17-18, 22","suffix":", and throughout, describes the evidence."}],"schema":"https://github.com/citation-style-language/schema/raw/master/csl-citation.json"} </w:instrText>
      </w:r>
      <w:r w:rsidRPr="005A0A35">
        <w:rPr>
          <w:rFonts w:ascii="Times New Roman" w:hAnsi="Times New Roman" w:cs="Times New Roman"/>
        </w:rPr>
        <w:fldChar w:fldCharType="separate"/>
      </w:r>
      <w:r w:rsidRPr="005A0A35">
        <w:rPr>
          <w:rFonts w:ascii="Times New Roman" w:hAnsi="Times New Roman" w:cs="Times New Roman"/>
        </w:rPr>
        <w:t>Macdonald, 2008, pp. 17–18, 22, and throughout, describes the evidence.</w:t>
      </w:r>
      <w:r w:rsidRPr="005A0A35">
        <w:rPr>
          <w:rFonts w:ascii="Times New Roman" w:hAnsi="Times New Roman" w:cs="Times New Roman"/>
        </w:rPr>
        <w:fldChar w:fldCharType="end"/>
      </w:r>
    </w:p>
  </w:footnote>
  <w:footnote w:id="6">
    <w:p w14:paraId="36353FEE" w14:textId="77777777" w:rsidR="00FD674C" w:rsidRPr="005A0A35" w:rsidRDefault="00FD674C" w:rsidP="00FD674C">
      <w:pPr>
        <w:pStyle w:val="FootnoteText"/>
        <w:rPr>
          <w:rFonts w:ascii="Times New Roman" w:hAnsi="Times New Roman" w:cs="Times New Roman"/>
        </w:rPr>
      </w:pPr>
      <w:r w:rsidRPr="005A0A35">
        <w:rPr>
          <w:rStyle w:val="FootnoteReference"/>
          <w:rFonts w:ascii="Times New Roman" w:hAnsi="Times New Roman" w:cs="Times New Roman"/>
        </w:rPr>
        <w:footnoteRef/>
      </w:r>
      <w:r w:rsidRPr="005A0A35">
        <w:rPr>
          <w:rFonts w:ascii="Times New Roman" w:hAnsi="Times New Roman" w:cs="Times New Roman"/>
        </w:rPr>
        <w:t xml:space="preserve"> </w:t>
      </w:r>
      <w:r w:rsidRPr="005A0A35">
        <w:rPr>
          <w:rFonts w:ascii="Times New Roman" w:hAnsi="Times New Roman" w:cs="Times New Roman"/>
        </w:rPr>
        <w:fldChar w:fldCharType="begin"/>
      </w:r>
      <w:r w:rsidRPr="005A0A35">
        <w:rPr>
          <w:rFonts w:ascii="Times New Roman" w:hAnsi="Times New Roman" w:cs="Times New Roman"/>
        </w:rPr>
        <w:instrText xml:space="preserve"> ADDIN ZOTERO_ITEM CSL_CITATION {"citationID":"dBMqC1D9","properties":{"formattedCitation":"Guadalupe and Cardoso, 2011, pp. 204\\uc0\\u8211{}10","plainCitation":"Guadalupe and Cardoso, 2011, pp. 204–10","noteIndex":4},"citationItems":[{"id":489,"uris":["http://zotero.org/users/2150440/items/QPKQ7XCM"],"uri":["http://zotero.org/users/2150440/items/QPKQ7XCM"],"itemData":{"id":489,"type":"article-journal","title":"Measuring the continuum of literacy skills among adults: educational testing and the LAMP experience.","container-title":"International Review of Education / Internationale Zeitschrift für Erziehungswissenschaft","page":"199–218","volume":"57","issue":"1/2","source":"whel-primo.com","abstract":"The field of educational testing has become increasingly important for providing different stakeholders and decision-makers with information. This paper discusses basic standards for methodological approaches used in measuring literacy skills among adults. The authors address the increasing interest in skills measurement, the discourses on how this should be done with scientific integrity and UNESCO's experience regarding the Literacy Assessment and Monitoring Programme (LAMP). The increase in interest is due to the evolving notion of literacy as a continuum. Its recognition in surveys and data collection is ensured in the first commitment in section 11 of the Belém Framework for Action. The discourse on how measurements should be carried out concerns the need to find valid parsimonious approaches, also their relevance in different institutional, cultural and linguistic contexts as well as issues of ownership and sustainability. Finally, UNESCO's experience with LAMP shows how important addressing these different issues is in order to equip countries with an approach that is fit for purpose.","DOI":"10.1007/s11159-011-9203-2","ISSN":"0020-8566","shortTitle":"Measuring the continuum of literacy skills among adults","language":"eng","author":[{"family":"Guadalupe","given":"Cesar"},{"family":"Cardoso","given":"Manuel"}],"issued":{"date-parts":[["2011",1,1]]}},"locator":"204-10"}],"schema":"https://github.com/citation-style-language/schema/raw/master/csl-citation.json"} </w:instrText>
      </w:r>
      <w:r w:rsidRPr="005A0A35">
        <w:rPr>
          <w:rFonts w:ascii="Times New Roman" w:hAnsi="Times New Roman" w:cs="Times New Roman"/>
        </w:rPr>
        <w:fldChar w:fldCharType="separate"/>
      </w:r>
      <w:r w:rsidRPr="005A0A35">
        <w:rPr>
          <w:rFonts w:ascii="Times New Roman" w:hAnsi="Times New Roman" w:cs="Times New Roman"/>
        </w:rPr>
        <w:t>Guadalupe and Cardoso, 2011, pp. 204–10</w:t>
      </w:r>
      <w:r w:rsidRPr="005A0A35">
        <w:rPr>
          <w:rFonts w:ascii="Times New Roman" w:hAnsi="Times New Roman" w:cs="Times New Roman"/>
        </w:rPr>
        <w:fldChar w:fldCharType="end"/>
      </w:r>
    </w:p>
  </w:footnote>
  <w:footnote w:id="7">
    <w:p w14:paraId="33E24FC6" w14:textId="77777777" w:rsidR="00FD674C" w:rsidRPr="005A0A35" w:rsidRDefault="00FD674C" w:rsidP="00FD674C">
      <w:pPr>
        <w:pStyle w:val="FootnoteText"/>
        <w:rPr>
          <w:rFonts w:ascii="Times New Roman" w:hAnsi="Times New Roman" w:cs="Times New Roman"/>
        </w:rPr>
      </w:pPr>
      <w:r w:rsidRPr="005A0A35">
        <w:rPr>
          <w:rStyle w:val="FootnoteReference"/>
          <w:rFonts w:ascii="Times New Roman" w:hAnsi="Times New Roman" w:cs="Times New Roman"/>
        </w:rPr>
        <w:footnoteRef/>
      </w:r>
      <w:r w:rsidRPr="005A0A35">
        <w:rPr>
          <w:rFonts w:ascii="Times New Roman" w:hAnsi="Times New Roman" w:cs="Times New Roman"/>
        </w:rPr>
        <w:t xml:space="preserve"> </w:t>
      </w:r>
      <w:r w:rsidRPr="005A0A35">
        <w:rPr>
          <w:rFonts w:ascii="Times New Roman" w:hAnsi="Times New Roman" w:cs="Times New Roman"/>
        </w:rPr>
        <w:fldChar w:fldCharType="begin"/>
      </w:r>
      <w:r w:rsidRPr="005A0A35">
        <w:rPr>
          <w:rFonts w:ascii="Times New Roman" w:hAnsi="Times New Roman" w:cs="Times New Roman"/>
        </w:rPr>
        <w:instrText xml:space="preserve"> ADDIN ZOTERO_ITEM CSL_CITATION {"citationID":"uEgr6tOr","properties":{"formattedCitation":"Guadalupe and Cardoso, 2011, p. 204","plainCitation":"Guadalupe and Cardoso, 2011, p. 204","noteIndex":5},"citationItems":[{"id":489,"uris":["http://zotero.org/users/2150440/items/QPKQ7XCM"],"uri":["http://zotero.org/users/2150440/items/QPKQ7XCM"],"itemData":{"id":489,"type":"article-journal","title":"Measuring the continuum of literacy skills among adults: educational testing and the LAMP experience.","container-title":"International Review of Education / Internationale Zeitschrift für Erziehungswissenschaft","page":"199–218","volume":"57","issue":"1/2","source":"whel-primo.com","abstract":"The field of educational testing has become increasingly important for providing different stakeholders and decision-makers with information. This paper discusses basic standards for methodological approaches used in measuring literacy skills among adults. The authors address the increasing interest in skills measurement, the discourses on how this should be done with scientific integrity and UNESCO's experience regarding the Literacy Assessment and Monitoring Programme (LAMP). The increase in interest is due to the evolving notion of literacy as a continuum. Its recognition in surveys and data collection is ensured in the first commitment in section 11 of the Belém Framework for Action. The discourse on how measurements should be carried out concerns the need to find valid parsimonious approaches, also their relevance in different institutional, cultural and linguistic contexts as well as issues of ownership and sustainability. Finally, UNESCO's experience with LAMP shows how important addressing these different issues is in order to equip countries with an approach that is fit for purpose.","DOI":"10.1007/s11159-011-9203-2","ISSN":"0020-8566","shortTitle":"Measuring the continuum of literacy skills among adults","language":"eng","author":[{"family":"Guadalupe","given":"Cesar"},{"family":"Cardoso","given":"Manuel"}],"issued":{"date-parts":[["2011",1,1]]}},"locator":"204"}],"schema":"https://github.com/citation-style-language/schema/raw/master/csl-citation.json"} </w:instrText>
      </w:r>
      <w:r w:rsidRPr="005A0A35">
        <w:rPr>
          <w:rFonts w:ascii="Times New Roman" w:hAnsi="Times New Roman" w:cs="Times New Roman"/>
        </w:rPr>
        <w:fldChar w:fldCharType="separate"/>
      </w:r>
      <w:r w:rsidRPr="005A0A35">
        <w:rPr>
          <w:rFonts w:ascii="Times New Roman" w:hAnsi="Times New Roman" w:cs="Times New Roman"/>
        </w:rPr>
        <w:t>Guadalupe and Cardoso, 2011, p. 204</w:t>
      </w:r>
      <w:r w:rsidRPr="005A0A35">
        <w:rPr>
          <w:rFonts w:ascii="Times New Roman" w:hAnsi="Times New Roman" w:cs="Times New Roman"/>
        </w:rPr>
        <w:fldChar w:fldCharType="end"/>
      </w:r>
    </w:p>
  </w:footnote>
  <w:footnote w:id="8">
    <w:p w14:paraId="0C1B2F42" w14:textId="77777777" w:rsidR="00FD674C" w:rsidRPr="005A0A35" w:rsidRDefault="00FD674C" w:rsidP="00FD674C">
      <w:pPr>
        <w:pStyle w:val="FootnoteText"/>
        <w:rPr>
          <w:rFonts w:ascii="Times New Roman" w:hAnsi="Times New Roman" w:cs="Times New Roman"/>
        </w:rPr>
      </w:pPr>
      <w:r w:rsidRPr="005A0A35">
        <w:rPr>
          <w:rStyle w:val="FootnoteReference"/>
          <w:rFonts w:ascii="Times New Roman" w:hAnsi="Times New Roman" w:cs="Times New Roman"/>
        </w:rPr>
        <w:footnoteRef/>
      </w:r>
      <w:r w:rsidRPr="005A0A35">
        <w:rPr>
          <w:rFonts w:ascii="Times New Roman" w:hAnsi="Times New Roman" w:cs="Times New Roman"/>
        </w:rPr>
        <w:t xml:space="preserve"> </w:t>
      </w:r>
      <w:r w:rsidRPr="005A0A35">
        <w:rPr>
          <w:rFonts w:ascii="Times New Roman" w:hAnsi="Times New Roman" w:cs="Times New Roman"/>
        </w:rPr>
        <w:fldChar w:fldCharType="begin"/>
      </w:r>
      <w:r w:rsidRPr="005A0A35">
        <w:rPr>
          <w:rFonts w:ascii="Times New Roman" w:hAnsi="Times New Roman" w:cs="Times New Roman"/>
        </w:rPr>
        <w:instrText xml:space="preserve"> ADDIN ZOTERO_ITEM CSL_CITATION {"citationID":"KcPGu9SB","properties":{"formattedCitation":"Guadalupe and Cardoso, 2011, p. 205","plainCitation":"Guadalupe and Cardoso, 2011, p. 205","noteIndex":6},"citationItems":[{"id":489,"uris":["http://zotero.org/users/2150440/items/QPKQ7XCM"],"uri":["http://zotero.org/users/2150440/items/QPKQ7XCM"],"itemData":{"id":489,"type":"article-journal","title":"Measuring the continuum of literacy skills among adults: educational testing and the LAMP experience.","container-title":"International Review of Education / Internationale Zeitschrift für Erziehungswissenschaft","page":"199–218","volume":"57","issue":"1/2","source":"whel-primo.com","abstract":"The field of educational testing has become increasingly important for providing different stakeholders and decision-makers with information. This paper discusses basic standards for methodological approaches used in measuring literacy skills among adults. The authors address the increasing interest in skills measurement, the discourses on how this should be done with scientific integrity and UNESCO's experience regarding the Literacy Assessment and Monitoring Programme (LAMP). The increase in interest is due to the evolving notion of literacy as a continuum. Its recognition in surveys and data collection is ensured in the first commitment in section 11 of the Belém Framework for Action. The discourse on how measurements should be carried out concerns the need to find valid parsimonious approaches, also their relevance in different institutional, cultural and linguistic contexts as well as issues of ownership and sustainability. Finally, UNESCO's experience with LAMP shows how important addressing these different issues is in order to equip countries with an approach that is fit for purpose.","DOI":"10.1007/s11159-011-9203-2","ISSN":"0020-8566","shortTitle":"Measuring the continuum of literacy skills among adults","language":"eng","author":[{"family":"Guadalupe","given":"Cesar"},{"family":"Cardoso","given":"Manuel"}],"issued":{"date-parts":[["2011",1,1]]}},"locator":"205"}],"schema":"https://github.com/citation-style-language/schema/raw/master/csl-citation.json"} </w:instrText>
      </w:r>
      <w:r w:rsidRPr="005A0A35">
        <w:rPr>
          <w:rFonts w:ascii="Times New Roman" w:hAnsi="Times New Roman" w:cs="Times New Roman"/>
        </w:rPr>
        <w:fldChar w:fldCharType="separate"/>
      </w:r>
      <w:r w:rsidRPr="005A0A35">
        <w:rPr>
          <w:rFonts w:ascii="Times New Roman" w:hAnsi="Times New Roman" w:cs="Times New Roman"/>
        </w:rPr>
        <w:t>Guadalupe and Cardoso, 2011, p. 205</w:t>
      </w:r>
      <w:r w:rsidRPr="005A0A35">
        <w:rPr>
          <w:rFonts w:ascii="Times New Roman" w:hAnsi="Times New Roman" w:cs="Times New Roman"/>
        </w:rPr>
        <w:fldChar w:fldCharType="end"/>
      </w:r>
    </w:p>
  </w:footnote>
  <w:footnote w:id="9">
    <w:p w14:paraId="09F09FAB" w14:textId="77777777" w:rsidR="00FD674C" w:rsidRPr="005A0A35" w:rsidRDefault="00FD674C" w:rsidP="00FD674C">
      <w:pPr>
        <w:pStyle w:val="FootnoteText"/>
        <w:rPr>
          <w:rFonts w:ascii="Times New Roman" w:hAnsi="Times New Roman" w:cs="Times New Roman"/>
        </w:rPr>
      </w:pPr>
      <w:r w:rsidRPr="005A0A35">
        <w:rPr>
          <w:rStyle w:val="FootnoteReference"/>
          <w:rFonts w:ascii="Times New Roman" w:hAnsi="Times New Roman" w:cs="Times New Roman"/>
        </w:rPr>
        <w:footnoteRef/>
      </w:r>
      <w:r w:rsidRPr="005A0A35">
        <w:rPr>
          <w:rFonts w:ascii="Times New Roman" w:hAnsi="Times New Roman" w:cs="Times New Roman"/>
        </w:rPr>
        <w:t xml:space="preserve"> </w:t>
      </w:r>
      <w:r w:rsidRPr="005A0A35">
        <w:rPr>
          <w:rFonts w:ascii="Times New Roman" w:hAnsi="Times New Roman" w:cs="Times New Roman"/>
        </w:rPr>
        <w:fldChar w:fldCharType="begin"/>
      </w:r>
      <w:r w:rsidRPr="005A0A35">
        <w:rPr>
          <w:rFonts w:ascii="Times New Roman" w:hAnsi="Times New Roman" w:cs="Times New Roman"/>
        </w:rPr>
        <w:instrText xml:space="preserve"> ADDIN ZOTERO_ITEM CSL_CITATION {"citationID":"thNn5Dhm","properties":{"formattedCitation":"Guadalupe and Cardoso, 2011, pp. 208\\uc0\\u8211{}10","plainCitation":"Guadalupe and Cardoso, 2011, pp. 208–10","noteIndex":7},"citationItems":[{"id":489,"uris":["http://zotero.org/users/2150440/items/QPKQ7XCM"],"uri":["http://zotero.org/users/2150440/items/QPKQ7XCM"],"itemData":{"id":489,"type":"article-journal","title":"Measuring the continuum of literacy skills among adults: educational testing and the LAMP experience.","container-title":"International Review of Education / Internationale Zeitschrift für Erziehungswissenschaft","page":"199–218","volume":"57","issue":"1/2","source":"whel-primo.com","abstract":"The field of educational testing has become increasingly important for providing different stakeholders and decision-makers with information. This paper discusses basic standards for methodological approaches used in measuring literacy skills among adults. The authors address the increasing interest in skills measurement, the discourses on how this should be done with scientific integrity and UNESCO's experience regarding the Literacy Assessment and Monitoring Programme (LAMP). The increase in interest is due to the evolving notion of literacy as a continuum. Its recognition in surveys and data collection is ensured in the first commitment in section 11 of the Belém Framework for Action. The discourse on how measurements should be carried out concerns the need to find valid parsimonious approaches, also their relevance in different institutional, cultural and linguistic contexts as well as issues of ownership and sustainability. Finally, UNESCO's experience with LAMP shows how important addressing these different issues is in order to equip countries with an approach that is fit for purpose.","DOI":"10.1007/s11159-011-9203-2","ISSN":"0020-8566","shortTitle":"Measuring the continuum of literacy skills among adults","language":"eng","author":[{"family":"Guadalupe","given":"Cesar"},{"family":"Cardoso","given":"Manuel"}],"issued":{"date-parts":[["2011",1,1]]}},"locator":"208-10"}],"schema":"https://github.com/citation-style-language/schema/raw/master/csl-citation.json"} </w:instrText>
      </w:r>
      <w:r w:rsidRPr="005A0A35">
        <w:rPr>
          <w:rFonts w:ascii="Times New Roman" w:hAnsi="Times New Roman" w:cs="Times New Roman"/>
        </w:rPr>
        <w:fldChar w:fldCharType="separate"/>
      </w:r>
      <w:r w:rsidRPr="005A0A35">
        <w:rPr>
          <w:rFonts w:ascii="Times New Roman" w:hAnsi="Times New Roman" w:cs="Times New Roman"/>
        </w:rPr>
        <w:t>Guadalupe and Cardoso, 2011, pp. 208–10</w:t>
      </w:r>
      <w:r w:rsidRPr="005A0A35">
        <w:rPr>
          <w:rFonts w:ascii="Times New Roman" w:hAnsi="Times New Roman" w:cs="Times New Roman"/>
        </w:rPr>
        <w:fldChar w:fldCharType="end"/>
      </w:r>
    </w:p>
  </w:footnote>
  <w:footnote w:id="10">
    <w:p w14:paraId="6F2A086F" w14:textId="77777777" w:rsidR="00FD674C" w:rsidRPr="005A0A35" w:rsidRDefault="00FD674C" w:rsidP="00FD674C">
      <w:pPr>
        <w:pStyle w:val="FootnoteText"/>
        <w:rPr>
          <w:rFonts w:ascii="Times New Roman" w:hAnsi="Times New Roman" w:cs="Times New Roman"/>
        </w:rPr>
      </w:pPr>
      <w:r w:rsidRPr="005A0A35">
        <w:rPr>
          <w:rStyle w:val="FootnoteReference"/>
          <w:rFonts w:ascii="Times New Roman" w:hAnsi="Times New Roman" w:cs="Times New Roman"/>
        </w:rPr>
        <w:footnoteRef/>
      </w:r>
      <w:r w:rsidRPr="005A0A35">
        <w:rPr>
          <w:rFonts w:ascii="Times New Roman" w:hAnsi="Times New Roman" w:cs="Times New Roman"/>
        </w:rPr>
        <w:t xml:space="preserve"> </w:t>
      </w:r>
      <w:r w:rsidRPr="005A0A35">
        <w:rPr>
          <w:rFonts w:ascii="Times New Roman" w:hAnsi="Times New Roman" w:cs="Times New Roman"/>
        </w:rPr>
        <w:fldChar w:fldCharType="begin"/>
      </w:r>
      <w:r w:rsidRPr="005A0A35">
        <w:rPr>
          <w:rFonts w:ascii="Times New Roman" w:hAnsi="Times New Roman" w:cs="Times New Roman"/>
        </w:rPr>
        <w:instrText xml:space="preserve"> ADDIN ZOTERO_ITEM CSL_CITATION {"citationID":"pxDJxcnD","properties":{"formattedCitation":"Guadalupe and Cardoso, 2011, pp. 208\\uc0\\u8211{}9","plainCitation":"Guadalupe and Cardoso, 2011, pp. 208–9","noteIndex":8},"citationItems":[{"id":489,"uris":["http://zotero.org/users/2150440/items/QPKQ7XCM"],"uri":["http://zotero.org/users/2150440/items/QPKQ7XCM"],"itemData":{"id":489,"type":"article-journal","title":"Measuring the continuum of literacy skills among adults: educational testing and the LAMP experience.","container-title":"International Review of Education / Internationale Zeitschrift für Erziehungswissenschaft","page":"199–218","volume":"57","issue":"1/2","source":"whel-primo.com","abstract":"The field of educational testing has become increasingly important for providing different stakeholders and decision-makers with information. This paper discusses basic standards for methodological approaches used in measuring literacy skills among adults. The authors address the increasing interest in skills measurement, the discourses on how this should be done with scientific integrity and UNESCO's experience regarding the Literacy Assessment and Monitoring Programme (LAMP). The increase in interest is due to the evolving notion of literacy as a continuum. Its recognition in surveys and data collection is ensured in the first commitment in section 11 of the Belém Framework for Action. The discourse on how measurements should be carried out concerns the need to find valid parsimonious approaches, also their relevance in different institutional, cultural and linguistic contexts as well as issues of ownership and sustainability. Finally, UNESCO's experience with LAMP shows how important addressing these different issues is in order to equip countries with an approach that is fit for purpose.","DOI":"10.1007/s11159-011-9203-2","ISSN":"0020-8566","shortTitle":"Measuring the continuum of literacy skills among adults","language":"eng","author":[{"family":"Guadalupe","given":"Cesar"},{"family":"Cardoso","given":"Manuel"}],"issued":{"date-parts":[["2011",1,1]]}},"locator":"208-9"}],"schema":"https://github.com/citation-style-language/schema/raw/master/csl-citation.json"} </w:instrText>
      </w:r>
      <w:r w:rsidRPr="005A0A35">
        <w:rPr>
          <w:rFonts w:ascii="Times New Roman" w:hAnsi="Times New Roman" w:cs="Times New Roman"/>
        </w:rPr>
        <w:fldChar w:fldCharType="separate"/>
      </w:r>
      <w:r w:rsidRPr="005A0A35">
        <w:rPr>
          <w:rFonts w:ascii="Times New Roman" w:hAnsi="Times New Roman" w:cs="Times New Roman"/>
        </w:rPr>
        <w:t>Guadalupe and Cardoso, 2011, pp. 208–9</w:t>
      </w:r>
      <w:r w:rsidRPr="005A0A35">
        <w:rPr>
          <w:rFonts w:ascii="Times New Roman" w:hAnsi="Times New Roman" w:cs="Times New Roman"/>
        </w:rPr>
        <w:fldChar w:fldCharType="end"/>
      </w:r>
    </w:p>
  </w:footnote>
  <w:footnote w:id="11">
    <w:p w14:paraId="3A9275B2" w14:textId="77777777" w:rsidR="00FD674C" w:rsidRPr="005A0A35" w:rsidRDefault="00FD674C" w:rsidP="00FD674C">
      <w:pPr>
        <w:pStyle w:val="FootnoteText"/>
        <w:rPr>
          <w:rFonts w:ascii="Times New Roman" w:hAnsi="Times New Roman" w:cs="Times New Roman"/>
        </w:rPr>
      </w:pPr>
      <w:r w:rsidRPr="005A0A35">
        <w:rPr>
          <w:rStyle w:val="FootnoteReference"/>
          <w:rFonts w:ascii="Times New Roman" w:hAnsi="Times New Roman" w:cs="Times New Roman"/>
        </w:rPr>
        <w:footnoteRef/>
      </w:r>
      <w:r w:rsidRPr="005A0A35">
        <w:rPr>
          <w:rFonts w:ascii="Times New Roman" w:hAnsi="Times New Roman" w:cs="Times New Roman"/>
        </w:rPr>
        <w:t xml:space="preserve"> </w:t>
      </w:r>
      <w:r w:rsidRPr="005A0A35">
        <w:rPr>
          <w:rFonts w:ascii="Times New Roman" w:hAnsi="Times New Roman" w:cs="Times New Roman"/>
        </w:rPr>
        <w:fldChar w:fldCharType="begin"/>
      </w:r>
      <w:r w:rsidRPr="005A0A35">
        <w:rPr>
          <w:rFonts w:ascii="Times New Roman" w:hAnsi="Times New Roman" w:cs="Times New Roman"/>
        </w:rPr>
        <w:instrText xml:space="preserve"> ADDIN ZOTERO_ITEM CSL_CITATION {"citationID":"i4AUAziG","properties":{"formattedCitation":"Segal, 1984, p. 89: \\uc0\\u8216{}Epigraphic material is notoriously subject to the vicissitudes of field archaeology\\uc0\\u8217{}.","plainCitation":"Segal, 1984, p. 89: ‘Epigraphic material is notoriously subject to the vicissitudes of field archaeology’.","noteIndex":9},"citationItems":[{"id":575,"uris":["http://zotero.org/users/2150440/items/NNG7PH3K"],"uri":["http://zotero.org/users/2150440/items/NNG7PH3K"],"itemData":{"id":575,"type":"article-journal","title":"Arabs in Syriac Literature before the Rise of Islam","container-title":"Jerusalem Studies in Arabic and Islam","page":"89-123","volume":"4","journalAbbreviation":"JSAI","author":[{"family":"Segal","given":"J.B."}],"issued":{"date-parts":[["1984"]]}},"locator":"89","suffix":": \"Epigraphic material is notoriously subject to the vicissitudes of field archaeology\"."}],"schema":"https://github.com/citation-style-language/schema/raw/master/csl-citation.json"} </w:instrText>
      </w:r>
      <w:r w:rsidRPr="005A0A35">
        <w:rPr>
          <w:rFonts w:ascii="Times New Roman" w:hAnsi="Times New Roman" w:cs="Times New Roman"/>
        </w:rPr>
        <w:fldChar w:fldCharType="separate"/>
      </w:r>
      <w:r w:rsidRPr="005A0A35">
        <w:rPr>
          <w:rFonts w:ascii="Times New Roman" w:hAnsi="Times New Roman" w:cs="Times New Roman"/>
        </w:rPr>
        <w:t>Segal, 1984, p. 89: ‘Epigraphic material is notoriously subject to the vicissitudes of field archaeology’.</w:t>
      </w:r>
      <w:r w:rsidRPr="005A0A35">
        <w:rPr>
          <w:rFonts w:ascii="Times New Roman" w:hAnsi="Times New Roman" w:cs="Times New Roman"/>
        </w:rPr>
        <w:fldChar w:fldCharType="end"/>
      </w:r>
    </w:p>
  </w:footnote>
  <w:footnote w:id="12">
    <w:p w14:paraId="1FBA12BF" w14:textId="77777777" w:rsidR="00FD674C" w:rsidRPr="005A0A35" w:rsidRDefault="00FD674C" w:rsidP="00FD674C">
      <w:pPr>
        <w:pStyle w:val="FootnoteText"/>
        <w:rPr>
          <w:rFonts w:ascii="Times New Roman" w:hAnsi="Times New Roman" w:cs="Times New Roman"/>
        </w:rPr>
      </w:pPr>
      <w:r w:rsidRPr="005A0A35">
        <w:rPr>
          <w:rStyle w:val="FootnoteReference"/>
          <w:rFonts w:ascii="Times New Roman" w:hAnsi="Times New Roman" w:cs="Times New Roman"/>
        </w:rPr>
        <w:footnoteRef/>
      </w:r>
      <w:r w:rsidRPr="005A0A35">
        <w:rPr>
          <w:rFonts w:ascii="Times New Roman" w:hAnsi="Times New Roman" w:cs="Times New Roman"/>
        </w:rPr>
        <w:t xml:space="preserve"> </w:t>
      </w:r>
      <w:r w:rsidRPr="005A0A35">
        <w:rPr>
          <w:rFonts w:ascii="Times New Roman" w:hAnsi="Times New Roman" w:cs="Times New Roman"/>
        </w:rPr>
        <w:fldChar w:fldCharType="begin"/>
      </w:r>
      <w:r w:rsidRPr="005A0A35">
        <w:rPr>
          <w:rFonts w:ascii="Times New Roman" w:hAnsi="Times New Roman" w:cs="Times New Roman"/>
        </w:rPr>
        <w:instrText xml:space="preserve"> ADDIN ZOTERO_ITEM CSL_CITATION {"citationID":"Hx48NJcR","properties":{"formattedCitation":"Macdonald, 2003, p. 51","plainCitation":"Macdonald, 2003, p. 51","noteIndex":10},"citationItems":[{"id":541,"uris":["http://zotero.org/users/2150440/items/VPKMFG25"],"uri":["http://zotero.org/users/2150440/items/VPKMFG25"],"itemData":{"id":541,"type":"chapter","title":"Languages, Scripts, and the Uses of Writing among the Nabataeans","container-title":"Petra Rediscovered: Lost City of the Nabataeans","publisher":"Harry N Abrams","publisher-place":"New York","page":"288","source":"www.academia.edu","event-place":"New York","abstract":"Languages, scripts, and the uses of writing among the Nabataeans","URL":"https://www.academia.edu/4587486/Languages_scripts_and_the_uses_of_writing_among_the_Nabataeans","ISBN":"978-0-8109-9128-6","shortTitle":"Petra Rediscovered","language":"en","author":[{"family":"Macdonald","given":"Michael C. A."}],"editor":[{"family":"Markoe","given":"Glen"}],"issued":{"date-parts":[["2003"]]},"accessed":{"date-parts":[["2019",1,3]]}},"locator":"51"}],"schema":"https://github.com/citation-style-language/schema/raw/master/csl-citation.json"} </w:instrText>
      </w:r>
      <w:r w:rsidRPr="005A0A35">
        <w:rPr>
          <w:rFonts w:ascii="Times New Roman" w:hAnsi="Times New Roman" w:cs="Times New Roman"/>
        </w:rPr>
        <w:fldChar w:fldCharType="separate"/>
      </w:r>
      <w:r w:rsidRPr="005A0A35">
        <w:rPr>
          <w:rFonts w:ascii="Times New Roman" w:hAnsi="Times New Roman" w:cs="Times New Roman"/>
        </w:rPr>
        <w:t>Macdonald, 2003, p. 51</w:t>
      </w:r>
      <w:r w:rsidRPr="005A0A35">
        <w:rPr>
          <w:rFonts w:ascii="Times New Roman" w:hAnsi="Times New Roman" w:cs="Times New Roman"/>
        </w:rPr>
        <w:fldChar w:fldCharType="end"/>
      </w:r>
    </w:p>
  </w:footnote>
  <w:footnote w:id="13">
    <w:p w14:paraId="406DDE23" w14:textId="77777777" w:rsidR="00FD674C" w:rsidRPr="005A0A35" w:rsidRDefault="00FD674C" w:rsidP="00FD674C">
      <w:pPr>
        <w:pStyle w:val="FootnoteText"/>
        <w:rPr>
          <w:rFonts w:ascii="Times New Roman" w:hAnsi="Times New Roman" w:cs="Times New Roman"/>
        </w:rPr>
      </w:pPr>
      <w:r w:rsidRPr="005A0A35">
        <w:rPr>
          <w:rStyle w:val="FootnoteReference"/>
          <w:rFonts w:ascii="Times New Roman" w:hAnsi="Times New Roman" w:cs="Times New Roman"/>
        </w:rPr>
        <w:footnoteRef/>
      </w:r>
      <w:r w:rsidRPr="005A0A35">
        <w:rPr>
          <w:rFonts w:ascii="Times New Roman" w:hAnsi="Times New Roman" w:cs="Times New Roman"/>
        </w:rPr>
        <w:t xml:space="preserve"> </w:t>
      </w:r>
      <w:r w:rsidRPr="005A0A35">
        <w:rPr>
          <w:rFonts w:ascii="Times New Roman" w:hAnsi="Times New Roman" w:cs="Times New Roman"/>
        </w:rPr>
        <w:fldChar w:fldCharType="begin"/>
      </w:r>
      <w:r w:rsidRPr="005A0A35">
        <w:rPr>
          <w:rFonts w:ascii="Times New Roman" w:hAnsi="Times New Roman" w:cs="Times New Roman"/>
        </w:rPr>
        <w:instrText xml:space="preserve"> ADDIN ZOTERO_ITEM CSL_CITATION {"citationID":"4RTUwtjT","properties":{"formattedCitation":"Macdonald, 2003, p. 51: Taymanitic and Dadanitic \\uc0\\u8216{}ceased to be written and seem to have disappeared well before the early second century.\\uc0\\u8217{}; Harris, 1991, p. 294","plainCitation":"Macdonald, 2003, p. 51: Taymanitic and Dadanitic ‘ceased to be written and seem to have disappeared well before the early second century.’; Harris, 1991, p. 294","noteIndex":11},"citationItems":[{"id":541,"uris":["http://zotero.org/users/2150440/items/VPKMFG25"],"uri":["http://zotero.org/users/2150440/items/VPKMFG25"],"itemData":{"id":541,"type":"chapter","title":"Languages, Scripts, and the Uses of Writing among the Nabataeans","container-title":"Petra Rediscovered: Lost City of the Nabataeans","publisher":"Harry N Abrams","publisher-place":"New York","page":"288","source":"www.academia.edu","event-place":"New York","abstract":"Languages, scripts, and the uses of writing among the Nabataeans","URL":"https://www.academia.edu/4587486/Languages_scripts_and_the_uses_of_writing_among_the_Nabataeans","ISBN":"978-0-8109-9128-6","shortTitle":"Petra Rediscovered","language":"en","author":[{"family":"Macdonald","given":"Michael C. A."}],"editor":[{"family":"Markoe","given":"Glen"}],"issued":{"date-parts":[["2003"]]},"accessed":{"date-parts":[["2019",1,3]]}},"locator":"51","suffix":": Taymanitic and Dadanitic \"ceased to be written and seem to have disappeared well before the early second century.\""},{"id":353,"uris":["http://zotero.org/users/2150440/items/2Z8TTX44"],"uri":["http://zotero.org/users/2150440/items/2Z8TTX44"],"itemData":{"id":353,"type":"book","title":"Ancient Literacy","publisher":"Harvard University Press","publisher-place":"Cambridge, Mass.","number-of-pages":"406","source":"Amazon","event-place":"Cambridge, Mass.","abstract":"How many people could read and write in the ancient world of the Greeks and Romans? No one has previously tried to give a systematic answer to this question. Most historians who have considered the problem at all have given optimistic assessments, since they have been impressed by large bodies of ancient written material such as the graffiti at Pompeii. They have also been influenced by a tendency to idealize the Greek and Roman world and its educational system. In Ancient Literacy W. V. Harris provides the first thorough exploration of the levels, types, and functions of literacy in the classical world, from the invention of the Greek alphabet about 800 B.C. down to the fifth century A.D. Investigations of other societies show that literacy ceases to be the accomplishment of a small elite only in specific circumstances. Harris argues that the social and technological conditions of the ancient world were such as to make mass literacy unthinkable. Noting that a society on the verge of mass literacy always possesses an elaborate school system, Harris stresses the limitations of Greek and Roman schooling, pointing out the meagerness of funding for elementary education.Neither the Greeks nor the Romans came anywhere near to completing the transition to a modern kind of written culture. They relied more heavily on oral communication than has generally been imagined. Harris examines the partial transition to written culture, taking into consideration the economic sphere and everyday life, as well as law, politics, administration, and religion. He has much to say also about the circulation of literary texts throughout classical antiquity.The limited spread of literacy in the classical world had diverse effects. It gave some stimulus to critical thought and assisted the accumulation of knowledge, and the minority that did learn to read and write was to some extent able to assert itself politically. The written word was also an instrument of power, and its use was indispensable for the construction and maintenance of empires. Most intriguing is the role of writing in the new religious culture of the late Roman Empire, in which it was more and more revered but less and less practiced.Harris explores these and related themes in this highly original work of social and cultural history. Ancient Literacy is important reading for anyone interested in the classical world, the problem of literacy, or the history of the written word.","ISBN":"978-0-674-03381-8","language":"English","author":[{"family":"Harris","given":"William V."}],"issued":{"date-parts":[["1991",10,1]]}},"locator":"294"}],"schema":"https://github.com/citation-style-language/schema/raw/master/csl-citation.json"} </w:instrText>
      </w:r>
      <w:r w:rsidRPr="005A0A35">
        <w:rPr>
          <w:rFonts w:ascii="Times New Roman" w:hAnsi="Times New Roman" w:cs="Times New Roman"/>
        </w:rPr>
        <w:fldChar w:fldCharType="separate"/>
      </w:r>
      <w:r w:rsidRPr="005A0A35">
        <w:rPr>
          <w:rFonts w:ascii="Times New Roman" w:hAnsi="Times New Roman" w:cs="Times New Roman"/>
        </w:rPr>
        <w:t>Macdonald, 2003, p. 51: Taymanitic and Dadanitic ‘ceased to be written and seem to have disappeared well before the early second century.’; Harris, 1991, p. 294</w:t>
      </w:r>
      <w:r w:rsidRPr="005A0A35">
        <w:rPr>
          <w:rFonts w:ascii="Times New Roman" w:hAnsi="Times New Roman" w:cs="Times New Roman"/>
        </w:rPr>
        <w:fldChar w:fldCharType="end"/>
      </w:r>
    </w:p>
  </w:footnote>
  <w:footnote w:id="14">
    <w:p w14:paraId="51EFB9C2" w14:textId="77777777" w:rsidR="00FD674C" w:rsidRPr="005A0A35" w:rsidRDefault="00FD674C" w:rsidP="00FD674C">
      <w:pPr>
        <w:pStyle w:val="FootnoteText"/>
        <w:rPr>
          <w:rFonts w:ascii="Times New Roman" w:hAnsi="Times New Roman" w:cs="Times New Roman"/>
        </w:rPr>
      </w:pPr>
      <w:r w:rsidRPr="005A0A35">
        <w:rPr>
          <w:rStyle w:val="FootnoteReference"/>
          <w:rFonts w:ascii="Times New Roman" w:hAnsi="Times New Roman" w:cs="Times New Roman"/>
        </w:rPr>
        <w:footnoteRef/>
      </w:r>
      <w:r w:rsidRPr="005A0A35">
        <w:rPr>
          <w:rFonts w:ascii="Times New Roman" w:hAnsi="Times New Roman" w:cs="Times New Roman"/>
        </w:rPr>
        <w:t xml:space="preserve"> </w:t>
      </w:r>
      <w:r w:rsidRPr="005A0A35">
        <w:rPr>
          <w:rFonts w:ascii="Times New Roman" w:hAnsi="Times New Roman" w:cs="Times New Roman"/>
        </w:rPr>
        <w:fldChar w:fldCharType="begin"/>
      </w:r>
      <w:r w:rsidRPr="005A0A35">
        <w:rPr>
          <w:rFonts w:ascii="Times New Roman" w:hAnsi="Times New Roman" w:cs="Times New Roman"/>
        </w:rPr>
        <w:instrText xml:space="preserve"> ADDIN ZOTERO_ITEM CSL_CITATION {"citationID":"yo8YTGLu","properties":{"formattedCitation":"Harris, 1991, p. 294","plainCitation":"Harris, 1991, p. 294","noteIndex":12},"citationItems":[{"id":353,"uris":["http://zotero.org/users/2150440/items/2Z8TTX44"],"uri":["http://zotero.org/users/2150440/items/2Z8TTX44"],"itemData":{"id":353,"type":"book","title":"Ancient Literacy","publisher":"Harvard University Press","publisher-place":"Cambridge, Mass.","number-of-pages":"406","source":"Amazon","event-place":"Cambridge, Mass.","abstract":"How many people could read and write in the ancient world of the Greeks and Romans? No one has previously tried to give a systematic answer to this question. Most historians who have considered the problem at all have given optimistic assessments, since they have been impressed by large bodies of ancient written material such as the graffiti at Pompeii. They have also been influenced by a tendency to idealize the Greek and Roman world and its educational system. In Ancient Literacy W. V. Harris provides the first thorough exploration of the levels, types, and functions of literacy in the classical world, from the invention of the Greek alphabet about 800 B.C. down to the fifth century A.D. Investigations of other societies show that literacy ceases to be the accomplishment of a small elite only in specific circumstances. Harris argues that the social and technological conditions of the ancient world were such as to make mass literacy unthinkable. Noting that a society on the verge of mass literacy always possesses an elaborate school system, Harris stresses the limitations of Greek and Roman schooling, pointing out the meagerness of funding for elementary education.Neither the Greeks nor the Romans came anywhere near to completing the transition to a modern kind of written culture. They relied more heavily on oral communication than has generally been imagined. Harris examines the partial transition to written culture, taking into consideration the economic sphere and everyday life, as well as law, politics, administration, and religion. He has much to say also about the circulation of literary texts throughout classical antiquity.The limited spread of literacy in the classical world had diverse effects. It gave some stimulus to critical thought and assisted the accumulation of knowledge, and the minority that did learn to read and write was to some extent able to assert itself politically. The written word was also an instrument of power, and its use was indispensable for the construction and maintenance of empires. Most intriguing is the role of writing in the new religious culture of the late Roman Empire, in which it was more and more revered but less and less practiced.Harris explores these and related themes in this highly original work of social and cultural history. Ancient Literacy is important reading for anyone interested in the classical world, the problem of literacy, or the history of the written word.","ISBN":"978-0-674-03381-8","language":"English","author":[{"family":"Harris","given":"William V."}],"issued":{"date-parts":[["1991",10,1]]}},"locator":"294"}],"schema":"https://github.com/citation-style-language/schema/raw/master/csl-citation.json"} </w:instrText>
      </w:r>
      <w:r w:rsidRPr="005A0A35">
        <w:rPr>
          <w:rFonts w:ascii="Times New Roman" w:hAnsi="Times New Roman" w:cs="Times New Roman"/>
        </w:rPr>
        <w:fldChar w:fldCharType="separate"/>
      </w:r>
      <w:r w:rsidRPr="005A0A35">
        <w:rPr>
          <w:rFonts w:ascii="Times New Roman" w:hAnsi="Times New Roman" w:cs="Times New Roman"/>
        </w:rPr>
        <w:t>Harris, 1991, p. 294</w:t>
      </w:r>
      <w:r w:rsidRPr="005A0A35">
        <w:rPr>
          <w:rFonts w:ascii="Times New Roman" w:hAnsi="Times New Roman" w:cs="Times New Roman"/>
        </w:rPr>
        <w:fldChar w:fldCharType="end"/>
      </w:r>
    </w:p>
  </w:footnote>
  <w:footnote w:id="15">
    <w:p w14:paraId="74B62788" w14:textId="2E40879B" w:rsidR="00FD674C" w:rsidRPr="005A0A35" w:rsidRDefault="00FD674C" w:rsidP="00FD674C">
      <w:pPr>
        <w:pStyle w:val="FootnoteText"/>
        <w:rPr>
          <w:rFonts w:ascii="Times New Roman" w:hAnsi="Times New Roman" w:cs="Times New Roman"/>
        </w:rPr>
      </w:pPr>
      <w:r w:rsidRPr="005A0A35">
        <w:rPr>
          <w:rStyle w:val="FootnoteReference"/>
          <w:rFonts w:ascii="Times New Roman" w:hAnsi="Times New Roman" w:cs="Times New Roman"/>
        </w:rPr>
        <w:footnoteRef/>
      </w:r>
      <w:r w:rsidRPr="005A0A35">
        <w:rPr>
          <w:rFonts w:ascii="Times New Roman" w:hAnsi="Times New Roman" w:cs="Times New Roman"/>
        </w:rPr>
        <w:t xml:space="preserve"> </w:t>
      </w:r>
      <w:r w:rsidRPr="005A0A35">
        <w:rPr>
          <w:rFonts w:ascii="Times New Roman" w:hAnsi="Times New Roman" w:cs="Times New Roman"/>
        </w:rPr>
        <w:fldChar w:fldCharType="begin"/>
      </w:r>
      <w:r w:rsidRPr="005A0A35">
        <w:rPr>
          <w:rFonts w:ascii="Times New Roman" w:hAnsi="Times New Roman" w:cs="Times New Roman"/>
        </w:rPr>
        <w:instrText xml:space="preserve"> ADDIN ZOTERO_ITEM CSL_CITATION {"citationID":"niZalekG","properties":{"formattedCitation":"MacMullen, 1982, quoted in Macdonald, 2008, p. 18","plainCitation":"MacMullen, 1982, quoted in Macdonald, 2008, p. 18","noteIndex":13},"citationItems":[{"id":452,"uris":["http://zotero.org/users/2150440/items/LSX4TC3G"],"uri":["http://zotero.org/users/2150440/items/LSX4TC3G"],"itemData":{"id":452,"type":"chapter","title":"The decline of the epigraphic habit in late antique Arabia: Some Questions","container-title":"L'Arabie à la veille de l'Islam: bilan clinique","collection-title":"Orient &amp; Méditerranée","collection-number":"3","publisher":"De Boccard","publisher-place":"Paris","source":"www.academia.edu","event-place":"Paris","abstract":"The decline of the epigraphic habit in late antique Arabia_some questions","URL":"https://www.academia.edu/4421634/The_decline_of_the_epigraphic_habit_in_late_antique_Arabia_some_questions","language":"en","author":[{"family":"Macdonald","given":"Michael C. A."}],"editor":[{"family":"Robin","given":"Christian Julien"},{"family":"Schiettecatie","given":"Jeremie"}],"issued":{"date-parts":[["2008"]]},"accessed":{"date-parts":[["2018",11,15]]}},"locator":"18","prefix":"MacMullen, 1982, quoted in"}],"schema":"https://github.com/citation-style-language/schema/raw/master/csl-citation.json"} </w:instrText>
      </w:r>
      <w:r w:rsidRPr="005A0A35">
        <w:rPr>
          <w:rFonts w:ascii="Times New Roman" w:hAnsi="Times New Roman" w:cs="Times New Roman"/>
        </w:rPr>
        <w:fldChar w:fldCharType="separate"/>
      </w:r>
      <w:proofErr w:type="spellStart"/>
      <w:r w:rsidRPr="005A0A35">
        <w:rPr>
          <w:rFonts w:ascii="Times New Roman" w:hAnsi="Times New Roman" w:cs="Times New Roman"/>
        </w:rPr>
        <w:t>MacMullen</w:t>
      </w:r>
      <w:proofErr w:type="spellEnd"/>
      <w:r w:rsidRPr="005A0A35">
        <w:rPr>
          <w:rFonts w:ascii="Times New Roman" w:hAnsi="Times New Roman" w:cs="Times New Roman"/>
        </w:rPr>
        <w:t>, 1982, quoted in Macdonald, 2008, p. 18</w:t>
      </w:r>
      <w:r w:rsidRPr="005A0A35">
        <w:rPr>
          <w:rFonts w:ascii="Times New Roman" w:hAnsi="Times New Roman" w:cs="Times New Roman"/>
        </w:rPr>
        <w:fldChar w:fldCharType="end"/>
      </w:r>
    </w:p>
  </w:footnote>
  <w:footnote w:id="16">
    <w:p w14:paraId="0B17875E" w14:textId="5340F03D" w:rsidR="00FD674C" w:rsidRPr="005A0A35" w:rsidRDefault="00FD674C" w:rsidP="00FD674C">
      <w:pPr>
        <w:pStyle w:val="FootnoteText"/>
        <w:rPr>
          <w:rFonts w:ascii="Times New Roman" w:hAnsi="Times New Roman" w:cs="Times New Roman"/>
        </w:rPr>
      </w:pPr>
      <w:r w:rsidRPr="005A0A35">
        <w:rPr>
          <w:rStyle w:val="FootnoteReference"/>
          <w:rFonts w:ascii="Times New Roman" w:hAnsi="Times New Roman" w:cs="Times New Roman"/>
        </w:rPr>
        <w:footnoteRef/>
      </w:r>
      <w:r w:rsidRPr="005A0A35">
        <w:rPr>
          <w:rFonts w:ascii="Times New Roman" w:hAnsi="Times New Roman" w:cs="Times New Roman"/>
        </w:rPr>
        <w:t xml:space="preserve"> </w:t>
      </w:r>
      <w:r w:rsidRPr="005A0A35">
        <w:rPr>
          <w:rFonts w:ascii="Times New Roman" w:hAnsi="Times New Roman" w:cs="Times New Roman"/>
        </w:rPr>
        <w:fldChar w:fldCharType="begin"/>
      </w:r>
      <w:r w:rsidRPr="005A0A35">
        <w:rPr>
          <w:rFonts w:ascii="Times New Roman" w:hAnsi="Times New Roman" w:cs="Times New Roman"/>
        </w:rPr>
        <w:instrText xml:space="preserve"> ADDIN ZOTERO_ITEM CSL_CITATION {"citationID":"MEVokBqE","properties":{"formattedCitation":"Macdonald, 2008, p. 19","plainCitation":"Macdonald, 2008, p. 19","noteIndex":14},"citationItems":[{"id":452,"uris":["http://zotero.org/users/2150440/items/LSX4TC3G"],"uri":["http://zotero.org/users/2150440/items/LSX4TC3G"],"itemData":{"id":452,"type":"chapter","title":"The decline of the epigraphic habit in late antique Arabia: Some Questions","container-title":"L'Arabie à la veille de l'Islam: bilan clinique","collection-title":"Orient &amp; Méditerranée","collection-number":"3","publisher":"De Boccard","publisher-place":"Paris","source":"www.academia.edu","event-place":"Paris","abstract":"The decline of the epigraphic habit in late antique Arabia_some questions","URL":"https://www.academia.edu/4421634/The_decline_of_the_epigraphic_habit_in_late_antique_Arabia_some_questions","language":"en","author":[{"family":"Macdonald","given":"Michael C. A."}],"editor":[{"family":"Robin","given":"Christian Julien"},{"family":"Schiettecatie","given":"Jeremie"}],"issued":{"date-parts":[["2008"]]},"accessed":{"date-parts":[["2018",11,15]]}},"locator":"19"}],"schema":"https://github.com/citation-style-language/schema/raw/master/csl-citation.json"} </w:instrText>
      </w:r>
      <w:r w:rsidRPr="005A0A35">
        <w:rPr>
          <w:rFonts w:ascii="Times New Roman" w:hAnsi="Times New Roman" w:cs="Times New Roman"/>
        </w:rPr>
        <w:fldChar w:fldCharType="separate"/>
      </w:r>
      <w:r w:rsidRPr="005A0A35">
        <w:rPr>
          <w:rFonts w:ascii="Times New Roman" w:hAnsi="Times New Roman" w:cs="Times New Roman"/>
        </w:rPr>
        <w:t>Macdonald, 2008, p. 19</w:t>
      </w:r>
      <w:r w:rsidRPr="005A0A35">
        <w:rPr>
          <w:rFonts w:ascii="Times New Roman" w:hAnsi="Times New Roman" w:cs="Times New Roman"/>
        </w:rPr>
        <w:fldChar w:fldCharType="end"/>
      </w:r>
    </w:p>
  </w:footnote>
  <w:footnote w:id="17">
    <w:p w14:paraId="20B0D779" w14:textId="77777777" w:rsidR="00FD674C" w:rsidRPr="005A0A35" w:rsidRDefault="00FD674C" w:rsidP="00FD674C">
      <w:pPr>
        <w:pStyle w:val="FootnoteText"/>
        <w:rPr>
          <w:rFonts w:ascii="Times New Roman" w:hAnsi="Times New Roman" w:cs="Times New Roman"/>
        </w:rPr>
      </w:pPr>
      <w:r w:rsidRPr="005A0A35">
        <w:rPr>
          <w:rStyle w:val="FootnoteReference"/>
          <w:rFonts w:ascii="Times New Roman" w:hAnsi="Times New Roman" w:cs="Times New Roman"/>
        </w:rPr>
        <w:footnoteRef/>
      </w:r>
      <w:r w:rsidRPr="005A0A35">
        <w:rPr>
          <w:rFonts w:ascii="Times New Roman" w:hAnsi="Times New Roman" w:cs="Times New Roman"/>
        </w:rPr>
        <w:t xml:space="preserve"> </w:t>
      </w:r>
      <w:r w:rsidRPr="005A0A35">
        <w:rPr>
          <w:rFonts w:ascii="Times New Roman" w:hAnsi="Times New Roman" w:cs="Times New Roman"/>
        </w:rPr>
        <w:fldChar w:fldCharType="begin"/>
      </w:r>
      <w:r w:rsidRPr="005A0A35">
        <w:rPr>
          <w:rFonts w:ascii="Times New Roman" w:hAnsi="Times New Roman" w:cs="Times New Roman"/>
        </w:rPr>
        <w:instrText xml:space="preserve"> ADDIN ZOTERO_ITEM CSL_CITATION {"citationID":"1wtMuhnc","properties":{"formattedCitation":"Thomas, 2011","plainCitation":"Thomas, 2011","noteIndex":15},"citationItems":[{"id":336,"uris":["http://zotero.org/users/2150440/items/PGTVR35N"],"uri":["http://zotero.org/users/2150440/items/PGTVR35N"],"itemData":{"id":336,"type":"chapter","title":"Writing, Reading, Public and Private “Literacies”: Functional Literacy and Democratic Literacy in Greece","container-title":"Ancient Literacies","publisher":"Oxford University Press","source":"whel-primo.com","abstract":"This chapter begins with an observation of literacies that have developed in different ways and contexts. This is followed by a discussion of the literacy practices that are associated with various social, economic, and political groups. It focuses on the ways that different uses of reading and writing are embedded in specific institutions in classical Athens, such as the distinct uses of literacy in banking and other commercial activities, the use of names and lists in citizenship activities, and the particular needs and uses of reading and writing among Athenian officials.","shortTitle":"Writing, Reading, Public and Private “Literacies”","language":"eng","author":[{"family":"Thomas","given":"Rosalind"}],"issued":{"date-parts":[["2011"]]}}}],"schema":"https://github.com/citation-style-language/schema/raw/master/csl-citation.json"} </w:instrText>
      </w:r>
      <w:r w:rsidRPr="005A0A35">
        <w:rPr>
          <w:rFonts w:ascii="Times New Roman" w:hAnsi="Times New Roman" w:cs="Times New Roman"/>
        </w:rPr>
        <w:fldChar w:fldCharType="separate"/>
      </w:r>
      <w:r w:rsidRPr="005A0A35">
        <w:rPr>
          <w:rFonts w:ascii="Times New Roman" w:hAnsi="Times New Roman" w:cs="Times New Roman"/>
        </w:rPr>
        <w:t>Thomas, 2011</w:t>
      </w:r>
      <w:r w:rsidRPr="005A0A35">
        <w:rPr>
          <w:rFonts w:ascii="Times New Roman" w:hAnsi="Times New Roman" w:cs="Times New Roman"/>
        </w:rPr>
        <w:fldChar w:fldCharType="end"/>
      </w:r>
    </w:p>
  </w:footnote>
  <w:footnote w:id="18">
    <w:p w14:paraId="3B470AE2" w14:textId="7BD2A61B" w:rsidR="00FD674C" w:rsidRPr="005A0A35" w:rsidRDefault="00FD674C" w:rsidP="00FD674C">
      <w:pPr>
        <w:pStyle w:val="FootnoteText"/>
        <w:rPr>
          <w:rFonts w:ascii="Times New Roman" w:hAnsi="Times New Roman" w:cs="Times New Roman"/>
        </w:rPr>
      </w:pPr>
      <w:r w:rsidRPr="005A0A35">
        <w:rPr>
          <w:rStyle w:val="FootnoteReference"/>
          <w:rFonts w:ascii="Times New Roman" w:hAnsi="Times New Roman" w:cs="Times New Roman"/>
        </w:rPr>
        <w:footnoteRef/>
      </w:r>
      <w:r w:rsidRPr="005A0A35">
        <w:rPr>
          <w:rFonts w:ascii="Times New Roman" w:hAnsi="Times New Roman" w:cs="Times New Roman"/>
        </w:rPr>
        <w:t xml:space="preserve"> </w:t>
      </w:r>
      <w:r w:rsidRPr="005A0A35">
        <w:rPr>
          <w:rFonts w:ascii="Times New Roman" w:hAnsi="Times New Roman" w:cs="Times New Roman"/>
        </w:rPr>
        <w:fldChar w:fldCharType="begin"/>
      </w:r>
      <w:r w:rsidRPr="005A0A35">
        <w:rPr>
          <w:rFonts w:ascii="Times New Roman" w:hAnsi="Times New Roman" w:cs="Times New Roman"/>
        </w:rPr>
        <w:instrText xml:space="preserve"> ADDIN ZOTERO_ITEM CSL_CITATION {"citationID":"f3cxpGrY","properties":{"formattedCitation":"Macdonald, 2015, p. 2","plainCitation":"Macdonald, 2015, p. 2","noteIndex":16},"citationItems":[{"id":588,"uris":["http://zotero.org/users/2150440/items/8TC2LUHQ"],"uri":["http://zotero.org/users/2150440/items/8TC2LUHQ"],"itemData":{"id":588,"type":"article-journal","title":"On the uses of writing in ancient Arabia and the role of palaeography in studying them","container-title":"Arabian Epigraphic Notes","page":"1-50","volume":"1","source":"www.academia.edu","abstract":"On the uses of writing in ancient Arabia and the role of palaeography in studying them","language":"en","author":[{"family":"Macdonald","given":"Michael C. A."}],"issued":{"date-parts":[["2015",5,5]]}},"locator":"2"}],"schema":"https://github.com/citation-style-language/schema/raw/master/csl-citation.json"} </w:instrText>
      </w:r>
      <w:r w:rsidRPr="005A0A35">
        <w:rPr>
          <w:rFonts w:ascii="Times New Roman" w:hAnsi="Times New Roman" w:cs="Times New Roman"/>
        </w:rPr>
        <w:fldChar w:fldCharType="separate"/>
      </w:r>
      <w:r w:rsidRPr="005A0A35">
        <w:rPr>
          <w:rFonts w:ascii="Times New Roman" w:hAnsi="Times New Roman" w:cs="Times New Roman"/>
        </w:rPr>
        <w:t>Macdonald, 2015, p. 2</w:t>
      </w:r>
      <w:r w:rsidRPr="005A0A35">
        <w:rPr>
          <w:rFonts w:ascii="Times New Roman" w:hAnsi="Times New Roman" w:cs="Times New Roman"/>
        </w:rPr>
        <w:fldChar w:fldCharType="end"/>
      </w:r>
    </w:p>
  </w:footnote>
  <w:footnote w:id="19">
    <w:p w14:paraId="2F795658" w14:textId="77777777" w:rsidR="00FD674C" w:rsidRPr="005A0A35" w:rsidRDefault="00FD674C" w:rsidP="00FD674C">
      <w:pPr>
        <w:pStyle w:val="FootnoteText"/>
        <w:rPr>
          <w:rFonts w:ascii="Times New Roman" w:hAnsi="Times New Roman" w:cs="Times New Roman"/>
        </w:rPr>
      </w:pPr>
      <w:r w:rsidRPr="005A0A35">
        <w:rPr>
          <w:rStyle w:val="FootnoteReference"/>
          <w:rFonts w:ascii="Times New Roman" w:hAnsi="Times New Roman" w:cs="Times New Roman"/>
        </w:rPr>
        <w:footnoteRef/>
      </w:r>
      <w:r w:rsidRPr="005A0A35">
        <w:rPr>
          <w:rFonts w:ascii="Times New Roman" w:hAnsi="Times New Roman" w:cs="Times New Roman"/>
        </w:rPr>
        <w:t xml:space="preserve"> </w:t>
      </w:r>
      <w:r w:rsidRPr="005A0A35">
        <w:rPr>
          <w:rFonts w:ascii="Times New Roman" w:hAnsi="Times New Roman" w:cs="Times New Roman"/>
        </w:rPr>
        <w:fldChar w:fldCharType="begin"/>
      </w:r>
      <w:r w:rsidRPr="005A0A35">
        <w:rPr>
          <w:rFonts w:ascii="Times New Roman" w:hAnsi="Times New Roman" w:cs="Times New Roman"/>
        </w:rPr>
        <w:instrText xml:space="preserve"> ADDIN ZOTERO_ITEM CSL_CITATION {"citationID":"cfJtkalZ","properties":{"formattedCitation":"Macdonald, 2003, n. n. 92","plainCitation":"Macdonald, 2003, n. n. 92","dontUpdate":true,"noteIndex":17},"citationItems":[{"id":541,"uris":["http://zotero.org/users/2150440/items/VPKMFG25"],"uri":["http://zotero.org/users/2150440/items/VPKMFG25"],"itemData":{"id":541,"type":"chapter","title":"Languages, Scripts, and the Uses of Writing among the Nabataeans","container-title":"Petra Rediscovered: Lost City of the Nabataeans","publisher":"Harry N Abrams","publisher-place":"New York","page":"288","source":"www.academia.edu","event-place":"New York","abstract":"Languages, scripts, and the uses of writing among the Nabataeans","URL":"https://www.academia.edu/4587486/Languages_scripts_and_the_uses_of_writing_among_the_Nabataeans","ISBN":"978-0-8109-9128-6","shortTitle":"Petra Rediscovered","language":"en","author":[{"family":"Macdonald","given":"Michael C. A."}],"editor":[{"family":"Markoe","given":"Glen"}],"issued":{"date-parts":[["2003"]]},"accessed":{"date-parts":[["2019",1,3]]}},"locator":"92","label":"note"}],"schema":"https://github.com/citation-style-language/schema/raw/master/csl-citation.json"} </w:instrText>
      </w:r>
      <w:r w:rsidRPr="005A0A35">
        <w:rPr>
          <w:rFonts w:ascii="Times New Roman" w:hAnsi="Times New Roman" w:cs="Times New Roman"/>
        </w:rPr>
        <w:fldChar w:fldCharType="separate"/>
      </w:r>
      <w:r w:rsidRPr="005A0A35">
        <w:rPr>
          <w:rFonts w:ascii="Times New Roman" w:hAnsi="Times New Roman" w:cs="Times New Roman"/>
        </w:rPr>
        <w:t>Macdonald, 2003, n. 92</w:t>
      </w:r>
      <w:r w:rsidRPr="005A0A35">
        <w:rPr>
          <w:rFonts w:ascii="Times New Roman" w:hAnsi="Times New Roman" w:cs="Times New Roman"/>
        </w:rPr>
        <w:fldChar w:fldCharType="end"/>
      </w:r>
    </w:p>
  </w:footnote>
  <w:footnote w:id="20">
    <w:p w14:paraId="5CF24A6E" w14:textId="0ECEA71D" w:rsidR="00FD674C" w:rsidRPr="005A0A35" w:rsidRDefault="00FD674C" w:rsidP="00FD674C">
      <w:pPr>
        <w:pStyle w:val="FootnoteText"/>
        <w:rPr>
          <w:rFonts w:ascii="Times New Roman" w:hAnsi="Times New Roman" w:cs="Times New Roman"/>
        </w:rPr>
      </w:pPr>
      <w:r w:rsidRPr="005A0A35">
        <w:rPr>
          <w:rStyle w:val="FootnoteReference"/>
          <w:rFonts w:ascii="Times New Roman" w:hAnsi="Times New Roman" w:cs="Times New Roman"/>
        </w:rPr>
        <w:footnoteRef/>
      </w:r>
      <w:r w:rsidRPr="005A0A35">
        <w:rPr>
          <w:rFonts w:ascii="Times New Roman" w:hAnsi="Times New Roman" w:cs="Times New Roman"/>
        </w:rPr>
        <w:t xml:space="preserve"> </w:t>
      </w:r>
      <w:r w:rsidRPr="005A0A35">
        <w:rPr>
          <w:rFonts w:ascii="Times New Roman" w:hAnsi="Times New Roman" w:cs="Times New Roman"/>
        </w:rPr>
        <w:fldChar w:fldCharType="begin"/>
      </w:r>
      <w:r w:rsidRPr="005A0A35">
        <w:rPr>
          <w:rFonts w:ascii="Times New Roman" w:hAnsi="Times New Roman" w:cs="Times New Roman"/>
        </w:rPr>
        <w:instrText xml:space="preserve"> ADDIN ZOTERO_ITEM CSL_CITATION {"citationID":"LFQ03kss","properties":{"formattedCitation":"Macdonald, 2010 but note that he does not attempt to trace the progression of the script precisely; Stein, 2018","plainCitation":"Macdonald, 2010 but note that he does not attempt to trace the progression of the script precisely; Stein, 2018","noteIndex":18},"citationItems":[{"id":429,"uris":["http://zotero.org/users/2150440/items/JEJWN67U"],"uri":["http://zotero.org/users/2150440/items/JEJWN67U"],"itemData":{"id":429,"type":"chapter","title":"Ancient Arabia and the Written Word","container-title":"The Development of Arabic as a Written Language","collection-title":"Proceedings of the Seminar for Arabian Studies","publisher":"Archaeopress Archaeology","publisher-place":"Oxford","volume":"40","edition":"Supplement edition","source":"Amazon","event-place":"Oxford","abstract":"Introduction: The development of Arabic as a written language (Christian Julien Robin); Ancient Arabia and the written word (M.C.A. Macdonald); Mount Nebo, Jabal Ramm, and the status of Christian Palestinian Aramaic and Old Arabic in Late Roman Palestine and Arabia (Robert Hoyland); A glimpse of the development of the Nabataean script into Arabic based on old and new epigraphic material (Laïla Nehmé); The evolution of the Arabic script in the period of the Prophet Mu?ammad and the Orthodox Caliphs in the light of new inscriptions discovered in the Kingdom of Saudi Arabia (Ali Ibrahim Al-Ghabban); In search of a standard: dialect variation and New Arabic features in the oldest Arabic written documents (Pierre Larcher); The codex Parisino-petropolitanus and the Hijazi scripts (Francois Déroche); The relationship of literacy and memory in the second/eighth century (Gregor Schoeler); The Use of the Arabic script in magic (Venetia Porter); The Old Arabic graffito at Jabal Usays: A new reading of line 1 M.C.A. Macdonald).","ISBN":"978-1-905739-34-9","language":"English","author":[{"family":"Macdonald","given":"Michael C. A."}],"editor":[{"family":"Macdonald","given":"Michael C. A."}],"issued":{"date-parts":[["2010",7,15]]}},"suffix":"but note that he does not attempt to trace the progression of the script precisely"},{"id":"T32F8UKY/nfXREgno","uris":["http://zotero.org/users/2150440/items/XQHI9LLT"],"uri":["http://zotero.org/users/2150440/items/XQHI9LLT"],"itemData":{"id":"dwvWQTIg/FMKdfnlE","type":"article-journal","title":"Literacy in Pre-Islamic Arabia: An Analysis of the Epigraphic Evidence. In: A. Neuwirth/N. Sinai/M. Marx (edd.), The Qur&amp;#39;an in Context. Historical and Literary Investigations into the Qur&amp;#39;anic Milieu, Leiden/Boston 2010, pp. 255-280","source":"www.academia.edu","abstract":"Literacy in Pre-Islamic Arabia: An Analysis of the Epigraphic Evidence. In: A. Neuwirth/N. Sinai/M. Marx (edd.), The Qur'an in Context. Historical and Literary Investigations into the Qur'anic Milieu, Leiden/Boston 2010, pp. 255-280","URL":"https://www.academia.edu/7131359/Literacy_in_Pre-Islamic_Arabia_An_Analysis_of_the_Epigraphic_Evidence._In_A._Neuwirth_N._Sinai_M._Marx_edd._The_Quran_in_Context._Historical_and_Literary_Investigations_into_the_Quranic_Milieu_Leiden_Boston_2010_pp._255-280","shortTitle":"Literacy in Pre-Islamic Arabia","language":"en","author":[{"family":"Stein","given":"Peter"}],"accessed":{"date-parts":[["2018",12,26]]}}}],"schema":"https://github.com/citation-style-language/schema/raw/master/csl-citation.json"} </w:instrText>
      </w:r>
      <w:r w:rsidRPr="005A0A35">
        <w:rPr>
          <w:rFonts w:ascii="Times New Roman" w:hAnsi="Times New Roman" w:cs="Times New Roman"/>
        </w:rPr>
        <w:fldChar w:fldCharType="separate"/>
      </w:r>
      <w:r w:rsidRPr="005A0A35">
        <w:rPr>
          <w:rFonts w:ascii="Times New Roman" w:hAnsi="Times New Roman" w:cs="Times New Roman"/>
        </w:rPr>
        <w:t>Macdonald, 2010 but note that he does not attempt to trace the progression of the script precisely; Stein, 2018</w:t>
      </w:r>
      <w:r w:rsidRPr="005A0A35">
        <w:rPr>
          <w:rFonts w:ascii="Times New Roman" w:hAnsi="Times New Roman" w:cs="Times New Roman"/>
        </w:rPr>
        <w:fldChar w:fldCharType="end"/>
      </w:r>
    </w:p>
  </w:footnote>
  <w:footnote w:id="21">
    <w:p w14:paraId="561E3D58" w14:textId="0D0D515D" w:rsidR="00FD674C" w:rsidRPr="005A0A35" w:rsidRDefault="00FD674C" w:rsidP="00FD674C">
      <w:pPr>
        <w:pStyle w:val="FootnoteText"/>
        <w:rPr>
          <w:rFonts w:ascii="Times New Roman" w:hAnsi="Times New Roman" w:cs="Times New Roman"/>
        </w:rPr>
      </w:pPr>
      <w:r w:rsidRPr="005A0A35">
        <w:rPr>
          <w:rStyle w:val="FootnoteReference"/>
          <w:rFonts w:ascii="Times New Roman" w:hAnsi="Times New Roman" w:cs="Times New Roman"/>
        </w:rPr>
        <w:footnoteRef/>
      </w:r>
      <w:r w:rsidRPr="005A0A35">
        <w:rPr>
          <w:rFonts w:ascii="Times New Roman" w:hAnsi="Times New Roman" w:cs="Times New Roman"/>
        </w:rPr>
        <w:t xml:space="preserve"> </w:t>
      </w:r>
      <w:r w:rsidRPr="005A0A35">
        <w:rPr>
          <w:rFonts w:ascii="Times New Roman" w:hAnsi="Times New Roman" w:cs="Times New Roman"/>
        </w:rPr>
        <w:fldChar w:fldCharType="begin"/>
      </w:r>
      <w:r w:rsidRPr="005A0A35">
        <w:rPr>
          <w:rFonts w:ascii="Times New Roman" w:hAnsi="Times New Roman" w:cs="Times New Roman"/>
        </w:rPr>
        <w:instrText xml:space="preserve"> ADDIN ZOTERO_ITEM CSL_CITATION {"citationID":"TjypWVXE","properties":{"formattedCitation":"Stein, 2018, pp. 255\\uc0\\u8211{}56","plainCitation":"Stein, 2018, pp. 255–56","noteIndex":19},"citationItems":[{"id":"T32F8UKY/nfXREgno","uris":["http://zotero.org/users/2150440/items/XQHI9LLT"],"uri":["http://zotero.org/users/2150440/items/XQHI9LLT"],"itemData":{"id":"jgOhAR72/u0Bh9KCA","type":"article-journal","title":"Literacy in Pre-Islamic Arabia: An Analysis of the Epigraphic Evidence. In: A. Neuwirth/N. Sinai/M. Marx (edd.), The Qur&amp;#39;an in Context. Historical and Literary Investigations into the Qur&amp;#39;anic Milieu, Leiden/Boston 2010, pp. 255-280","source":"www.academia.edu","abstract":"Literacy in Pre-Islamic Arabia: An Analysis of the Epigraphic Evidence. In: A. Neuwirth/N. Sinai/M. Marx (edd.), The Qur'an in Context. Historical and Literary Investigations into the Qur'anic Milieu, Leiden/Boston 2010, pp. 255-280","URL":"https://www.academia.edu/7131359/Literacy_in_Pre-Islamic_Arabia_An_Analysis_of_the_Epigraphic_Evidence._In_A._Neuwirth_N._Sinai_M._Marx_edd._The_Quran_in_Context._Historical_and_Literary_Investigations_into_the_Quranic_Milieu_Leiden_Boston_2010_pp._255-280","shortTitle":"Literacy in Pre-Islamic Arabia","language":"en","author":[{"family":"Stein","given":"Peter"}],"accessed":{"date-parts":[["2018",12,26]]}},"locator":"255-56"}],"schema":"https://github.com/citation-style-language/schema/raw/master/csl-citation.json"} </w:instrText>
      </w:r>
      <w:r w:rsidRPr="005A0A35">
        <w:rPr>
          <w:rFonts w:ascii="Times New Roman" w:hAnsi="Times New Roman" w:cs="Times New Roman"/>
        </w:rPr>
        <w:fldChar w:fldCharType="separate"/>
      </w:r>
      <w:r w:rsidRPr="005A0A35">
        <w:rPr>
          <w:rFonts w:ascii="Times New Roman" w:hAnsi="Times New Roman" w:cs="Times New Roman"/>
        </w:rPr>
        <w:t>Stein, 2018, pp. 255–56</w:t>
      </w:r>
      <w:r w:rsidRPr="005A0A35">
        <w:rPr>
          <w:rFonts w:ascii="Times New Roman" w:hAnsi="Times New Roman" w:cs="Times New Roman"/>
        </w:rPr>
        <w:fldChar w:fldCharType="end"/>
      </w:r>
    </w:p>
  </w:footnote>
  <w:footnote w:id="22">
    <w:p w14:paraId="61243B93" w14:textId="77777777" w:rsidR="00FD674C" w:rsidRPr="005A0A35" w:rsidRDefault="00FD674C" w:rsidP="00FD674C">
      <w:pPr>
        <w:pStyle w:val="FootnoteText"/>
        <w:rPr>
          <w:rFonts w:ascii="Times New Roman" w:hAnsi="Times New Roman" w:cs="Times New Roman"/>
        </w:rPr>
      </w:pPr>
      <w:r w:rsidRPr="005A0A35">
        <w:rPr>
          <w:rStyle w:val="FootnoteReference"/>
          <w:rFonts w:ascii="Times New Roman" w:hAnsi="Times New Roman" w:cs="Times New Roman"/>
        </w:rPr>
        <w:footnoteRef/>
      </w:r>
      <w:r w:rsidRPr="005A0A35">
        <w:rPr>
          <w:rFonts w:ascii="Times New Roman" w:hAnsi="Times New Roman" w:cs="Times New Roman"/>
        </w:rPr>
        <w:t xml:space="preserve"> </w:t>
      </w:r>
      <w:r w:rsidRPr="005A0A35">
        <w:rPr>
          <w:rFonts w:ascii="Times New Roman" w:hAnsi="Times New Roman" w:cs="Times New Roman"/>
        </w:rPr>
        <w:fldChar w:fldCharType="begin"/>
      </w:r>
      <w:r w:rsidRPr="005A0A35">
        <w:rPr>
          <w:rFonts w:ascii="Times New Roman" w:hAnsi="Times New Roman" w:cs="Times New Roman"/>
        </w:rPr>
        <w:instrText xml:space="preserve"> ADDIN ZOTERO_ITEM CSL_CITATION {"citationID":"cMcpvh6s","properties":{"formattedCitation":"Macdonald, 2003, pp. 49, 51; Nehm\\uc0\\u233{}, 2017, DaJ144PAr1","plainCitation":"Macdonald, 2003, pp. 49, 51; Nehmé, 2017, DaJ144PAr1","noteIndex":20},"citationItems":[{"id":541,"uris":["http://zotero.org/users/2150440/items/VPKMFG25"],"uri":["http://zotero.org/users/2150440/items/VPKMFG25"],"itemData":{"id":541,"type":"chapter","title":"Languages, Scripts, and the Uses of Writing among the Nabataeans","container-title":"Petra Rediscovered: Lost City of the Nabataeans","publisher":"Harry N Abrams","publisher-place":"New York","page":"288","source":"www.academia.edu","event-place":"New York","abstract":"Languages, scripts, and the uses of writing among the Nabataeans","URL":"https://www.academia.edu/4587486/Languages_scripts_and_the_uses_of_writing_among_the_Nabataeans","ISBN":"978-0-8109-9128-6","shortTitle":"Petra Rediscovered","language":"en","author":[{"family":"Macdonald","given":"Michael C. A."}],"editor":[{"family":"Markoe","given":"Glen"}],"issued":{"date-parts":[["2003"]]},"accessed":{"date-parts":[["2019",1,3]]}},"locator":"49, 51"},{"id":334,"uris":["http://zotero.org/users/2150440/items/RZURACSX"],"uri":["http://zotero.org/users/2150440/items/RZURACSX"],"itemData":{"id":334,"type":"article-journal","title":"New dated inscriptions (Nabataean and pre-Islamic Arabic) from a site near al-Jawf, ancient Dūmah, Saudi Arabia","container-title":"Arabian Epigraphic Notes","page":"121-164","volume":"3","source":"www.academia.edu","abstract":"This article publishes eighteen inscriptions: seventeen in the Nabataean script and one in the pre-Islamic Arabic script, all from the area of al-Jawf, ancient Dūmat al-Jandal, in north-west Arabia. It includes the edition of the texts as well as a","language":"en","author":[{"family":"Nehmé","given":"Laila"}],"issued":{"date-parts":[["2017",10,27]]}},"suffix":", DaJ144PAr1"}],"schema":"https://github.com/citation-style-language/schema/raw/master/csl-citation.json"} </w:instrText>
      </w:r>
      <w:r w:rsidRPr="005A0A35">
        <w:rPr>
          <w:rFonts w:ascii="Times New Roman" w:hAnsi="Times New Roman" w:cs="Times New Roman"/>
        </w:rPr>
        <w:fldChar w:fldCharType="separate"/>
      </w:r>
      <w:r w:rsidRPr="005A0A35">
        <w:rPr>
          <w:rFonts w:ascii="Times New Roman" w:hAnsi="Times New Roman" w:cs="Times New Roman"/>
        </w:rPr>
        <w:t>Macdonald, 2003, pp. 49, 51; Nehmé, 2017, DaJ144PAr1</w:t>
      </w:r>
      <w:r w:rsidRPr="005A0A35">
        <w:rPr>
          <w:rFonts w:ascii="Times New Roman" w:hAnsi="Times New Roman" w:cs="Times New Roman"/>
        </w:rPr>
        <w:fldChar w:fldCharType="end"/>
      </w:r>
    </w:p>
  </w:footnote>
  <w:footnote w:id="23">
    <w:p w14:paraId="460E51BD" w14:textId="77777777" w:rsidR="00FD674C" w:rsidRPr="005A0A35" w:rsidRDefault="00FD674C" w:rsidP="00FD674C">
      <w:pPr>
        <w:pStyle w:val="FootnoteText"/>
        <w:rPr>
          <w:rFonts w:ascii="Times New Roman" w:hAnsi="Times New Roman" w:cs="Times New Roman"/>
        </w:rPr>
      </w:pPr>
      <w:r w:rsidRPr="005A0A35">
        <w:rPr>
          <w:rStyle w:val="FootnoteReference"/>
          <w:rFonts w:ascii="Times New Roman" w:hAnsi="Times New Roman" w:cs="Times New Roman"/>
        </w:rPr>
        <w:footnoteRef/>
      </w:r>
      <w:r w:rsidRPr="005A0A35">
        <w:rPr>
          <w:rFonts w:ascii="Times New Roman" w:hAnsi="Times New Roman" w:cs="Times New Roman"/>
        </w:rPr>
        <w:t xml:space="preserve"> </w:t>
      </w:r>
      <w:r w:rsidRPr="005A0A35">
        <w:rPr>
          <w:rFonts w:ascii="Times New Roman" w:hAnsi="Times New Roman" w:cs="Times New Roman"/>
        </w:rPr>
        <w:fldChar w:fldCharType="begin"/>
      </w:r>
      <w:r w:rsidRPr="005A0A35">
        <w:rPr>
          <w:rFonts w:ascii="Times New Roman" w:hAnsi="Times New Roman" w:cs="Times New Roman"/>
        </w:rPr>
        <w:instrText xml:space="preserve"> ADDIN ZOTERO_ITEM CSL_CITATION {"citationID":"83pwmLd1","properties":{"formattedCitation":"Macdonald, 2003, pp. 42\\uc0\\u8211{}43, 49","plainCitation":"Macdonald, 2003, pp. 42–43, 49","noteIndex":21},"citationItems":[{"id":541,"uris":["http://zotero.org/users/2150440/items/VPKMFG25"],"uri":["http://zotero.org/users/2150440/items/VPKMFG25"],"itemData":{"id":541,"type":"chapter","title":"Languages, Scripts, and the Uses of Writing among the Nabataeans","container-title":"Petra Rediscovered: Lost City of the Nabataeans","publisher":"Harry N Abrams","publisher-place":"New York","page":"288","source":"www.academia.edu","event-place":"New York","abstract":"Languages, scripts, and the uses of writing among the Nabataeans","URL":"https://www.academia.edu/4587486/Languages_scripts_and_the_uses_of_writing_among_the_Nabataeans","ISBN":"978-0-8109-9128-6","shortTitle":"Petra Rediscovered","language":"en","author":[{"family":"Macdonald","given":"Michael C. A."}],"editor":[{"family":"Markoe","given":"Glen"}],"issued":{"date-parts":[["2003"]]},"accessed":{"date-parts":[["2019",1,3]]}},"locator":"42-43, 49"}],"schema":"https://github.com/citation-style-language/schema/raw/master/csl-citation.json"} </w:instrText>
      </w:r>
      <w:r w:rsidRPr="005A0A35">
        <w:rPr>
          <w:rFonts w:ascii="Times New Roman" w:hAnsi="Times New Roman" w:cs="Times New Roman"/>
        </w:rPr>
        <w:fldChar w:fldCharType="separate"/>
      </w:r>
      <w:r w:rsidRPr="005A0A35">
        <w:rPr>
          <w:rFonts w:ascii="Times New Roman" w:hAnsi="Times New Roman" w:cs="Times New Roman"/>
        </w:rPr>
        <w:t>Macdonald, 2003, pp. 42–43, 49</w:t>
      </w:r>
      <w:r w:rsidRPr="005A0A35">
        <w:rPr>
          <w:rFonts w:ascii="Times New Roman" w:hAnsi="Times New Roman" w:cs="Times New Roman"/>
        </w:rPr>
        <w:fldChar w:fldCharType="end"/>
      </w:r>
      <w:r w:rsidRPr="005A0A35">
        <w:rPr>
          <w:rFonts w:ascii="Times New Roman" w:hAnsi="Times New Roman" w:cs="Times New Roman"/>
        </w:rPr>
        <w:t xml:space="preserve">. </w:t>
      </w:r>
    </w:p>
  </w:footnote>
  <w:footnote w:id="24">
    <w:p w14:paraId="2E62A99C" w14:textId="6F7ABB19" w:rsidR="00FD674C" w:rsidRPr="005A0A35" w:rsidRDefault="00FD674C" w:rsidP="00FD674C">
      <w:pPr>
        <w:pStyle w:val="FootnoteText"/>
        <w:rPr>
          <w:rFonts w:ascii="Times New Roman" w:hAnsi="Times New Roman" w:cs="Times New Roman"/>
        </w:rPr>
      </w:pPr>
      <w:r w:rsidRPr="005A0A35">
        <w:rPr>
          <w:rStyle w:val="FootnoteReference"/>
          <w:rFonts w:ascii="Times New Roman" w:hAnsi="Times New Roman" w:cs="Times New Roman"/>
        </w:rPr>
        <w:footnoteRef/>
      </w:r>
      <w:r w:rsidRPr="005A0A35">
        <w:rPr>
          <w:rFonts w:ascii="Times New Roman" w:hAnsi="Times New Roman" w:cs="Times New Roman"/>
        </w:rPr>
        <w:t xml:space="preserve"> </w:t>
      </w:r>
      <w:r w:rsidRPr="005A0A35">
        <w:rPr>
          <w:rFonts w:ascii="Times New Roman" w:hAnsi="Times New Roman" w:cs="Times New Roman"/>
        </w:rPr>
        <w:fldChar w:fldCharType="begin"/>
      </w:r>
      <w:r w:rsidRPr="005A0A35">
        <w:rPr>
          <w:rFonts w:ascii="Times New Roman" w:hAnsi="Times New Roman" w:cs="Times New Roman"/>
        </w:rPr>
        <w:instrText xml:space="preserve"> ADDIN ZOTERO_ITEM CSL_CITATION {"citationID":"jRmML7T8","properties":{"formattedCitation":"Thomas, 2011, p. 14","plainCitation":"Thomas, 2011, p. 14","noteIndex":22},"citationItems":[{"id":336,"uris":["http://zotero.org/users/2150440/items/PGTVR35N"],"uri":["http://zotero.org/users/2150440/items/PGTVR35N"],"itemData":{"id":336,"type":"chapter","title":"Writing, Reading, Public and Private “Literacies”: Functional Literacy and Democratic Literacy in Greece","container-title":"Ancient Literacies","publisher":"Oxford University Press","source":"whel-primo.com","abstract":"This chapter begins with an observation of literacies that have developed in different ways and contexts. This is followed by a discussion of the literacy practices that are associated with various social, economic, and political groups. It focuses on the ways that different uses of reading and writing are embedded in specific institutions in classical Athens, such as the distinct uses of literacy in banking and other commercial activities, the use of names and lists in citizenship activities, and the particular needs and uses of reading and writing among Athenian officials.","shortTitle":"Writing, Reading, Public and Private “Literacies”","language":"eng","author":[{"family":"Thomas","given":"Rosalind"}],"issued":{"date-parts":[["2011"]]}},"locator":"14"}],"schema":"https://github.com/citation-style-language/schema/raw/master/csl-citation.json"} </w:instrText>
      </w:r>
      <w:r w:rsidRPr="005A0A35">
        <w:rPr>
          <w:rFonts w:ascii="Times New Roman" w:hAnsi="Times New Roman" w:cs="Times New Roman"/>
        </w:rPr>
        <w:fldChar w:fldCharType="separate"/>
      </w:r>
      <w:r w:rsidRPr="005A0A35">
        <w:rPr>
          <w:rFonts w:ascii="Times New Roman" w:hAnsi="Times New Roman" w:cs="Times New Roman"/>
        </w:rPr>
        <w:t>Thomas, 2011, p. 14</w:t>
      </w:r>
      <w:r w:rsidRPr="005A0A35">
        <w:rPr>
          <w:rFonts w:ascii="Times New Roman" w:hAnsi="Times New Roman" w:cs="Times New Roman"/>
        </w:rPr>
        <w:fldChar w:fldCharType="end"/>
      </w:r>
    </w:p>
  </w:footnote>
  <w:footnote w:id="25">
    <w:p w14:paraId="1A11995F" w14:textId="1BDB3A5F" w:rsidR="00FD674C" w:rsidRPr="005A0A35" w:rsidRDefault="00FD674C" w:rsidP="00FD674C">
      <w:pPr>
        <w:pStyle w:val="FootnoteText"/>
        <w:rPr>
          <w:rFonts w:ascii="Times New Roman" w:hAnsi="Times New Roman" w:cs="Times New Roman"/>
        </w:rPr>
      </w:pPr>
      <w:r w:rsidRPr="005A0A35">
        <w:rPr>
          <w:rStyle w:val="FootnoteReference"/>
          <w:rFonts w:ascii="Times New Roman" w:hAnsi="Times New Roman" w:cs="Times New Roman"/>
        </w:rPr>
        <w:footnoteRef/>
      </w:r>
      <w:r w:rsidRPr="005A0A35">
        <w:rPr>
          <w:rFonts w:ascii="Times New Roman" w:hAnsi="Times New Roman" w:cs="Times New Roman"/>
        </w:rPr>
        <w:t xml:space="preserve"> </w:t>
      </w:r>
      <w:r w:rsidRPr="005A0A35">
        <w:rPr>
          <w:rFonts w:ascii="Times New Roman" w:hAnsi="Times New Roman" w:cs="Times New Roman"/>
        </w:rPr>
        <w:fldChar w:fldCharType="begin"/>
      </w:r>
      <w:r w:rsidRPr="005A0A35">
        <w:rPr>
          <w:rFonts w:ascii="Times New Roman" w:hAnsi="Times New Roman" w:cs="Times New Roman"/>
        </w:rPr>
        <w:instrText xml:space="preserve"> ADDIN ZOTERO_ITEM CSL_CITATION {"citationID":"u4WKHURj","properties":{"formattedCitation":"Donner, 2016, pp. 9\\uc0\\u8211{}10; See also Macdonald, 2014; Fisher et al., 2017, p. 285","plainCitation":"Donner, 2016, pp. 9–10; See also Macdonald, 2014; Fisher et al., 2017, p. 285","noteIndex":23},"citationItems":[{"id":563,"uris":["http://zotero.org/users/2150440/items/X536ADUZ"],"uri":["http://zotero.org/users/2150440/items/X536ADUZ"],"itemData":{"id":563,"type":"article-journal","title":"Arabic Fatḥ as ‘Conquest’ and its Origin in Islamic Tradition","container-title":"Al-ʿUṣūr al-Wusṭā","page":"1-14","volume":"24","author":[{"family":"Donner","given":"Fred"}],"issued":{"date-parts":[["2016"]]}},"locator":"9-10"},{"id":573,"uris":["http://zotero.org/users/2150440/items/3CRJ9YBP"],"uri":["http://zotero.org/users/2150440/items/3CRJ9YBP"],"itemData":{"id":573,"type":"chapter","title":"'Romans Go Home'? Rome and Other 'Outsiders' as Viewed from the Syro-Arabian Desert","container-title":"Inside and out: interactions between Rome and the peoples on the Arabian and Egyptian frontiers in late Antiquity","publisher":"Peeters","publisher-place":"Leuven","page":"145-164","source":"Open WorldCat","event-place":"Leuven","ISBN":"978-90-429-3124-4","note":"OCLC: 997378995","language":"English","editor":[{"family":"Dijkstra","given":"Jitse H. F"}],"author":[{"family":"Macdonald","given":"Michael C. A"}],"issued":{"date-parts":[["2014"]]}},"prefix":"See also"},{"id":574,"uris":["http://zotero.org/users/2150440/items/RL2GNGHA"],"uri":["http://zotero.org/users/2150440/items/RL2GNGHA"],"itemData":{"id":574,"type":"chapter","title":"Arabs and Christianity","container-title":"Arabs and Empires before Islam","publisher":"Oxford University Press","publisher-place":"Oxford","page":"276-372","edition":"Reprint edition","source":"Amazon","event-place":"Oxford","abstract":"Arabs and Empires before Islam illuminates the history of the Arabs before the emergence of Islam, collating nearly 250 translated extracts from an extensive array of ancient sources. Drawn from a broad period between the eighth century BC and the Middle Ages, the sources include texts originally written in Greek, Latin, Syriac, Persian, and Arabic, inscriptions in a variety of languages and alphabets, and discussions of archaeological sites from across the Near East. More than twenty international experts from the fields of archaeology, classics and ancient history, linguistics and philology, epigraphy, and art history provide detailed commentary on and analysis of this diverse selection of material. Richly illustrated with sixteen colour plates, fifteen maps, and over seventy in-text images, the volume provides a comprehensive, wide-ranging, and up-to-date examination of what ancient sources had to say about the politics, culture, and religion of the Arabs in the pre-Islamic period. It offers a full consideration of the traces which the Arabs have left in the epigraphic, literary, and archaeological records, and sheds light on their relationship with their often more-powerful neighbours: the states and empires of the ancient Near East. Arabs and Empires before Islam gathers together a host of material never before collected into a single volume--some of which appears in English translation for the very first time--and provides a single point of reference for a vibrant and dynamic area of research.","ISBN":"978-0-19-881014-8","language":"English","editor":[{"family":"Fisher","given":"Greg"}],"author":[{"family":"Fisher","given":"Greg"},{"family":"Wood","given":"Philip"},{"family":"Bevan","given":"George"},{"family":"Greatrex","given":"Geoffrey"},{"family":"Hamarneh","given":"Basema"},{"family":"Schadler","given":"Peter"},{"family":"Ward","given":"Walter"}],"issued":{"date-parts":[["2017",12,19]]}},"locator":"285"}],"schema":"https://github.com/citation-style-language/schema/raw/master/csl-citation.json"} </w:instrText>
      </w:r>
      <w:r w:rsidRPr="005A0A35">
        <w:rPr>
          <w:rFonts w:ascii="Times New Roman" w:hAnsi="Times New Roman" w:cs="Times New Roman"/>
        </w:rPr>
        <w:fldChar w:fldCharType="separate"/>
      </w:r>
      <w:r w:rsidRPr="005A0A35">
        <w:rPr>
          <w:rFonts w:ascii="Times New Roman" w:hAnsi="Times New Roman" w:cs="Times New Roman"/>
        </w:rPr>
        <w:t>Donner, 2016, pp. 9–10; See also Macdonald, 2014; Fisher et al., 2017, p. 285</w:t>
      </w:r>
      <w:r w:rsidRPr="005A0A35">
        <w:rPr>
          <w:rFonts w:ascii="Times New Roman" w:hAnsi="Times New Roman" w:cs="Times New Roman"/>
        </w:rPr>
        <w:fldChar w:fldCharType="end"/>
      </w:r>
    </w:p>
  </w:footnote>
  <w:footnote w:id="26">
    <w:p w14:paraId="303580DE" w14:textId="77777777" w:rsidR="00FD674C" w:rsidRPr="005A0A35" w:rsidRDefault="00FD674C" w:rsidP="00FD674C">
      <w:pPr>
        <w:pStyle w:val="FootnoteText"/>
        <w:rPr>
          <w:rFonts w:ascii="Times New Roman" w:hAnsi="Times New Roman" w:cs="Times New Roman"/>
        </w:rPr>
      </w:pPr>
      <w:r w:rsidRPr="005A0A35">
        <w:rPr>
          <w:rStyle w:val="FootnoteReference"/>
          <w:rFonts w:ascii="Times New Roman" w:hAnsi="Times New Roman" w:cs="Times New Roman"/>
        </w:rPr>
        <w:footnoteRef/>
      </w:r>
      <w:r w:rsidRPr="005A0A35">
        <w:rPr>
          <w:rFonts w:ascii="Times New Roman" w:hAnsi="Times New Roman" w:cs="Times New Roman"/>
        </w:rPr>
        <w:t xml:space="preserve"> </w:t>
      </w:r>
      <w:r w:rsidRPr="005A0A35">
        <w:rPr>
          <w:rFonts w:ascii="Times New Roman" w:hAnsi="Times New Roman" w:cs="Times New Roman"/>
        </w:rPr>
        <w:fldChar w:fldCharType="begin"/>
      </w:r>
      <w:r w:rsidRPr="005A0A35">
        <w:rPr>
          <w:rFonts w:ascii="Times New Roman" w:hAnsi="Times New Roman" w:cs="Times New Roman"/>
        </w:rPr>
        <w:instrText xml:space="preserve"> ADDIN ZOTERO_ITEM CSL_CITATION {"citationID":"FayJ3A3g","properties":{"formattedCitation":"Fisher et al., 2017","plainCitation":"Fisher et al., 2017","noteIndex":24},"citationItems":[{"id":574,"uris":["http://zotero.org/users/2150440/items/RL2GNGHA"],"uri":["http://zotero.org/users/2150440/items/RL2GNGHA"],"itemData":{"id":574,"type":"chapter","title":"Arabs and Christianity","container-title":"Arabs and Empires before Islam","publisher":"Oxford University Press","publisher-place":"Oxford","page":"276-372","edition":"Reprint edition","source":"Amazon","event-place":"Oxford","abstract":"Arabs and Empires before Islam illuminates the history of the Arabs before the emergence of Islam, collating nearly 250 translated extracts from an extensive array of ancient sources. Drawn from a broad period between the eighth century BC and the Middle Ages, the sources include texts originally written in Greek, Latin, Syriac, Persian, and Arabic, inscriptions in a variety of languages and alphabets, and discussions of archaeological sites from across the Near East. More than twenty international experts from the fields of archaeology, classics and ancient history, linguistics and philology, epigraphy, and art history provide detailed commentary on and analysis of this diverse selection of material. Richly illustrated with sixteen colour plates, fifteen maps, and over seventy in-text images, the volume provides a comprehensive, wide-ranging, and up-to-date examination of what ancient sources had to say about the politics, culture, and religion of the Arabs in the pre-Islamic period. It offers a full consideration of the traces which the Arabs have left in the epigraphic, literary, and archaeological records, and sheds light on their relationship with their often more-powerful neighbours: the states and empires of the ancient Near East. Arabs and Empires before Islam gathers together a host of material never before collected into a single volume--some of which appears in English translation for the very first time--and provides a single point of reference for a vibrant and dynamic area of research.","ISBN":"978-0-19-881014-8","language":"English","editor":[{"family":"Fisher","given":"Greg"}],"author":[{"family":"Fisher","given":"Greg"},{"family":"Wood","given":"Philip"},{"family":"Bevan","given":"George"},{"family":"Greatrex","given":"Geoffrey"},{"family":"Hamarneh","given":"Basema"},{"family":"Schadler","given":"Peter"},{"family":"Ward","given":"Walter"}],"issued":{"date-parts":[["2017",12,19]]}}}],"schema":"https://github.com/citation-style-language/schema/raw/master/csl-citation.json"} </w:instrText>
      </w:r>
      <w:r w:rsidRPr="005A0A35">
        <w:rPr>
          <w:rFonts w:ascii="Times New Roman" w:hAnsi="Times New Roman" w:cs="Times New Roman"/>
        </w:rPr>
        <w:fldChar w:fldCharType="separate"/>
      </w:r>
      <w:r w:rsidRPr="005A0A35">
        <w:rPr>
          <w:rFonts w:ascii="Times New Roman" w:hAnsi="Times New Roman" w:cs="Times New Roman"/>
        </w:rPr>
        <w:t>Fisher et al., 2017</w:t>
      </w:r>
      <w:r w:rsidRPr="005A0A35">
        <w:rPr>
          <w:rFonts w:ascii="Times New Roman" w:hAnsi="Times New Roman" w:cs="Times New Roman"/>
        </w:rPr>
        <w:fldChar w:fldCharType="end"/>
      </w:r>
    </w:p>
  </w:footnote>
  <w:footnote w:id="27">
    <w:p w14:paraId="57A7B930" w14:textId="4E0A825B" w:rsidR="001A0438" w:rsidRPr="005A0A35" w:rsidRDefault="001A0438">
      <w:pPr>
        <w:pStyle w:val="FootnoteText"/>
        <w:rPr>
          <w:rFonts w:ascii="Times New Roman" w:hAnsi="Times New Roman" w:cs="Times New Roman"/>
        </w:rPr>
      </w:pPr>
      <w:r w:rsidRPr="005A0A35">
        <w:rPr>
          <w:rStyle w:val="FootnoteReference"/>
          <w:rFonts w:ascii="Times New Roman" w:hAnsi="Times New Roman" w:cs="Times New Roman"/>
        </w:rPr>
        <w:footnoteRef/>
      </w:r>
      <w:r w:rsidRPr="005A0A35">
        <w:rPr>
          <w:rFonts w:ascii="Times New Roman" w:hAnsi="Times New Roman" w:cs="Times New Roman"/>
        </w:rPr>
        <w:t xml:space="preserve"> </w:t>
      </w:r>
      <w:r w:rsidRPr="005A0A35">
        <w:rPr>
          <w:rFonts w:ascii="Times New Roman" w:hAnsi="Times New Roman" w:cs="Times New Roman"/>
        </w:rPr>
        <w:fldChar w:fldCharType="begin"/>
      </w:r>
      <w:r w:rsidRPr="005A0A35">
        <w:rPr>
          <w:rFonts w:ascii="Times New Roman" w:hAnsi="Times New Roman" w:cs="Times New Roman"/>
        </w:rPr>
        <w:instrText xml:space="preserve"> ADDIN ZOTERO_ITEM CSL_CITATION {"citationID":"YjmEigRl","properties":{"formattedCitation":"Thomas, 2011, p. 15","plainCitation":"Thomas, 2011, p. 15","noteIndex":25},"citationItems":[{"id":336,"uris":["http://zotero.org/users/2150440/items/PGTVR35N"],"uri":["http://zotero.org/users/2150440/items/PGTVR35N"],"itemData":{"id":336,"type":"chapter","title":"Writing, Reading, Public and Private “Literacies”: Functional Literacy and Democratic Literacy in Greece","container-title":"Ancient Literacies","publisher":"Oxford University Press","source":"whel-primo.com","abstract":"This chapter begins with an observation of literacies that have developed in different ways and contexts. This is followed by a discussion of the literacy practices that are associated with various social, economic, and political groups. It focuses on the ways that different uses of reading and writing are embedded in specific institutions in classical Athens, such as the distinct uses of literacy in banking and other commercial activities, the use of names and lists in citizenship activities, and the particular needs and uses of reading and writing among Athenian officials.","shortTitle":"Writing, Reading, Public and Private “Literacies”","language":"eng","author":[{"family":"Thomas","given":"Rosalind"}],"issued":{"date-parts":[["2011"]]}},"locator":"15"}],"schema":"https://github.com/citation-style-language/schema/raw/master/csl-citation.json"} </w:instrText>
      </w:r>
      <w:r w:rsidRPr="005A0A35">
        <w:rPr>
          <w:rFonts w:ascii="Times New Roman" w:hAnsi="Times New Roman" w:cs="Times New Roman"/>
        </w:rPr>
        <w:fldChar w:fldCharType="separate"/>
      </w:r>
      <w:r w:rsidRPr="005A0A35">
        <w:rPr>
          <w:rFonts w:ascii="Times New Roman" w:hAnsi="Times New Roman" w:cs="Times New Roman"/>
        </w:rPr>
        <w:t>Thomas, 2011, p. 15</w:t>
      </w:r>
      <w:r w:rsidRPr="005A0A35">
        <w:rPr>
          <w:rFonts w:ascii="Times New Roman" w:hAnsi="Times New Roman" w:cs="Times New Roman"/>
        </w:rPr>
        <w:fldChar w:fldCharType="end"/>
      </w:r>
    </w:p>
  </w:footnote>
  <w:footnote w:id="28">
    <w:p w14:paraId="2939B5E9" w14:textId="77777777" w:rsidR="005441E4" w:rsidRPr="005A0A35" w:rsidRDefault="005441E4" w:rsidP="005441E4">
      <w:pPr>
        <w:pStyle w:val="FootnoteText"/>
        <w:rPr>
          <w:rFonts w:ascii="Times New Roman" w:hAnsi="Times New Roman" w:cs="Times New Roman"/>
        </w:rPr>
      </w:pPr>
      <w:r w:rsidRPr="005A0A35">
        <w:rPr>
          <w:rStyle w:val="FootnoteReference"/>
          <w:rFonts w:ascii="Times New Roman" w:hAnsi="Times New Roman" w:cs="Times New Roman"/>
        </w:rPr>
        <w:footnoteRef/>
      </w:r>
      <w:r w:rsidRPr="005A0A35">
        <w:rPr>
          <w:rFonts w:ascii="Times New Roman" w:hAnsi="Times New Roman" w:cs="Times New Roman"/>
        </w:rPr>
        <w:t xml:space="preserve"> Epiphanius, </w:t>
      </w:r>
      <w:proofErr w:type="spellStart"/>
      <w:r w:rsidRPr="005A0A35">
        <w:rPr>
          <w:rFonts w:ascii="Times New Roman" w:hAnsi="Times New Roman" w:cs="Times New Roman"/>
          <w:i/>
        </w:rPr>
        <w:t>Panarion</w:t>
      </w:r>
      <w:proofErr w:type="spellEnd"/>
      <w:r w:rsidRPr="005A0A35">
        <w:rPr>
          <w:rFonts w:ascii="Times New Roman" w:hAnsi="Times New Roman" w:cs="Times New Roman"/>
        </w:rPr>
        <w:t xml:space="preserve"> 78.2.5, 78.7.1</w:t>
      </w:r>
    </w:p>
  </w:footnote>
  <w:footnote w:id="29">
    <w:p w14:paraId="08953896" w14:textId="5C958605" w:rsidR="006D5CB9" w:rsidRPr="005A0A35" w:rsidRDefault="006D5CB9">
      <w:pPr>
        <w:pStyle w:val="FootnoteText"/>
        <w:rPr>
          <w:rFonts w:ascii="Times New Roman" w:hAnsi="Times New Roman" w:cs="Times New Roman"/>
        </w:rPr>
      </w:pPr>
      <w:r w:rsidRPr="005A0A35">
        <w:rPr>
          <w:rStyle w:val="FootnoteReference"/>
          <w:rFonts w:ascii="Times New Roman" w:hAnsi="Times New Roman" w:cs="Times New Roman"/>
        </w:rPr>
        <w:footnoteRef/>
      </w:r>
      <w:r w:rsidRPr="005A0A35">
        <w:rPr>
          <w:rFonts w:ascii="Times New Roman" w:hAnsi="Times New Roman" w:cs="Times New Roman"/>
        </w:rPr>
        <w:t xml:space="preserve"> </w:t>
      </w:r>
      <w:r w:rsidRPr="005A0A35">
        <w:rPr>
          <w:rFonts w:ascii="Times New Roman" w:hAnsi="Times New Roman" w:cs="Times New Roman"/>
        </w:rPr>
        <w:fldChar w:fldCharType="begin"/>
      </w:r>
      <w:r w:rsidRPr="005A0A35">
        <w:rPr>
          <w:rFonts w:ascii="Times New Roman" w:hAnsi="Times New Roman" w:cs="Times New Roman"/>
        </w:rPr>
        <w:instrText xml:space="preserve"> ADDIN ZOTERO_ITEM CSL_CITATION {"citationID":"SeNk85Ck","properties":{"formattedCitation":"Bhola, 1994, quoted in Kim, 2011","plainCitation":"Bhola, 1994, quoted in Kim, 2011","noteIndex":26},"citationItems":[{"id":496,"uris":["http://zotero.org/users/2150440/items/ZN8HICVI"],"uri":["http://zotero.org/users/2150440/items/ZN8HICVI"],"itemData":{"id":496,"type":"book","title":"Development of a National Literacy Assessment Instrument for Cross-Linguistic Use in Nepal","collection-title":"SIL e-Books","collection-number":"48","publisher":"Graduate Institute of Applied Linguistics","publisher-place":"Dallas","number-of-pages":"284","event-place":"Dallas","abstract":"This thesis presents a criterion-referenced assessment instrument to measure literacy performance proficiencies of Eastern Tamang adult learners, which can be adaptable for other indigenous language groups of Nepal. Following introduction of Nepal, Tamang, and a brief history of Non-Formal Education in Nepal, chapter 2 reviews various methods and models to establish a theoretical framework for developing literacy assessment in Nepal. Chapter 3 proposes general guidelines for an assessment development procedure, an operational definition of literacy, specific literacy skills and test components selected, and minimum skill levels posited as criteria for success for the Eastern Tamang adults. Chapter 4 describes the assessment instrument which mainly consists of an entry point diagnostic, oral, and written tests with different test items for different skill levels. Chapter 5 provides a broad methodological sketch of all the phases of developing the assessment and finally chapter 6 summarizes the motivation and justification of the literacy assessment.","URL":"https://www.sil.org/resources/publications/entry/51671","language":"en","author":[{"family":"Kim","given":"Young Mee"}],"issued":{"date-parts":[["2011",6]]},"accessed":{"date-parts":[["2018",12,6]]}},"prefix":"Bhola, 1994, quoted in"}],"schema":"https://github.com/citation-style-language/schema/raw/master/csl-citation.json"} </w:instrText>
      </w:r>
      <w:r w:rsidRPr="005A0A35">
        <w:rPr>
          <w:rFonts w:ascii="Times New Roman" w:hAnsi="Times New Roman" w:cs="Times New Roman"/>
        </w:rPr>
        <w:fldChar w:fldCharType="separate"/>
      </w:r>
      <w:r w:rsidRPr="005A0A35">
        <w:rPr>
          <w:rFonts w:ascii="Times New Roman" w:hAnsi="Times New Roman" w:cs="Times New Roman"/>
        </w:rPr>
        <w:t>Bhola, 1994, quoted in Kim, 2011</w:t>
      </w:r>
      <w:r w:rsidRPr="005A0A35">
        <w:rPr>
          <w:rFonts w:ascii="Times New Roman" w:hAnsi="Times New Roman" w:cs="Times New Roman"/>
        </w:rPr>
        <w:fldChar w:fldCharType="end"/>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AB0089" w14:textId="77777777" w:rsidR="00510CC0" w:rsidRPr="00510CC0" w:rsidRDefault="00480186">
    <w:pPr>
      <w:pStyle w:val="Header"/>
      <w:rPr>
        <w:rFonts w:ascii="Times New Roman" w:hAnsi="Times New Roman" w:cs="Times New Roman"/>
        <w:sz w:val="24"/>
        <w:szCs w:val="24"/>
      </w:rPr>
    </w:pPr>
    <w:r w:rsidRPr="00510CC0">
      <w:rPr>
        <w:rFonts w:ascii="Times New Roman" w:hAnsi="Times New Roman" w:cs="Times New Roman"/>
        <w:sz w:val="24"/>
        <w:szCs w:val="24"/>
      </w:rPr>
      <w:t>Methodologies Review for Arabian Literacy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82131"/>
    <w:multiLevelType w:val="hybridMultilevel"/>
    <w:tmpl w:val="FB963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5BA758D"/>
    <w:multiLevelType w:val="hybridMultilevel"/>
    <w:tmpl w:val="70F859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74C"/>
    <w:rsid w:val="000F3AD5"/>
    <w:rsid w:val="00154F27"/>
    <w:rsid w:val="001A0438"/>
    <w:rsid w:val="002D2B1C"/>
    <w:rsid w:val="003010E3"/>
    <w:rsid w:val="004036E4"/>
    <w:rsid w:val="00480186"/>
    <w:rsid w:val="005441E4"/>
    <w:rsid w:val="005A0A35"/>
    <w:rsid w:val="005F7B94"/>
    <w:rsid w:val="00606630"/>
    <w:rsid w:val="006D5CB9"/>
    <w:rsid w:val="007515C0"/>
    <w:rsid w:val="00A46E61"/>
    <w:rsid w:val="00A97424"/>
    <w:rsid w:val="00A978F9"/>
    <w:rsid w:val="00C1386C"/>
    <w:rsid w:val="00FD67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D3FEB"/>
  <w15:chartTrackingRefBased/>
  <w15:docId w15:val="{6945F789-3D38-4DF5-8799-311696277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D674C"/>
  </w:style>
  <w:style w:type="paragraph" w:styleId="Heading1">
    <w:name w:val="heading 1"/>
    <w:basedOn w:val="Normal"/>
    <w:next w:val="Normal"/>
    <w:link w:val="Heading1Char"/>
    <w:uiPriority w:val="9"/>
    <w:qFormat/>
    <w:rsid w:val="005F7B94"/>
    <w:pPr>
      <w:keepNext/>
      <w:keepLines/>
      <w:spacing w:before="240" w:after="0"/>
      <w:outlineLvl w:val="0"/>
    </w:pPr>
    <w:rPr>
      <w:rFonts w:ascii="Source Sans Pro Light" w:eastAsiaTheme="majorEastAsia" w:hAnsi="Source Sans Pro Light" w:cstheme="majorBidi"/>
      <w:color w:val="595959" w:themeColor="text1" w:themeTint="A6"/>
      <w:sz w:val="32"/>
      <w:szCs w:val="32"/>
    </w:rPr>
  </w:style>
  <w:style w:type="paragraph" w:styleId="Heading2">
    <w:name w:val="heading 2"/>
    <w:basedOn w:val="Normal"/>
    <w:next w:val="Normal"/>
    <w:link w:val="Heading2Char"/>
    <w:uiPriority w:val="9"/>
    <w:semiHidden/>
    <w:unhideWhenUsed/>
    <w:qFormat/>
    <w:rsid w:val="005F7B94"/>
    <w:pPr>
      <w:keepNext/>
      <w:keepLines/>
      <w:spacing w:before="40" w:after="0"/>
      <w:outlineLvl w:val="1"/>
    </w:pPr>
    <w:rPr>
      <w:rFonts w:ascii="Source Sans Pro Light" w:eastAsiaTheme="majorEastAsia" w:hAnsi="Source Sans Pro Light" w:cstheme="majorBidi"/>
      <w:color w:val="595959" w:themeColor="text1" w:themeTint="A6"/>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7B94"/>
    <w:rPr>
      <w:rFonts w:ascii="Source Sans Pro Light" w:eastAsiaTheme="majorEastAsia" w:hAnsi="Source Sans Pro Light" w:cstheme="majorBidi"/>
      <w:color w:val="595959" w:themeColor="text1" w:themeTint="A6"/>
      <w:sz w:val="32"/>
      <w:szCs w:val="32"/>
    </w:rPr>
  </w:style>
  <w:style w:type="character" w:customStyle="1" w:styleId="Heading2Char">
    <w:name w:val="Heading 2 Char"/>
    <w:basedOn w:val="DefaultParagraphFont"/>
    <w:link w:val="Heading2"/>
    <w:uiPriority w:val="9"/>
    <w:semiHidden/>
    <w:rsid w:val="005F7B94"/>
    <w:rPr>
      <w:rFonts w:ascii="Source Sans Pro Light" w:eastAsiaTheme="majorEastAsia" w:hAnsi="Source Sans Pro Light" w:cstheme="majorBidi"/>
      <w:color w:val="595959" w:themeColor="text1" w:themeTint="A6"/>
      <w:sz w:val="26"/>
      <w:szCs w:val="26"/>
    </w:rPr>
  </w:style>
  <w:style w:type="paragraph" w:styleId="Title">
    <w:name w:val="Title"/>
    <w:basedOn w:val="Normal"/>
    <w:next w:val="Normal"/>
    <w:link w:val="TitleChar"/>
    <w:uiPriority w:val="10"/>
    <w:qFormat/>
    <w:rsid w:val="005F7B94"/>
    <w:pPr>
      <w:spacing w:after="0" w:line="240" w:lineRule="auto"/>
      <w:contextualSpacing/>
    </w:pPr>
    <w:rPr>
      <w:rFonts w:ascii="Source Sans Pro Light" w:eastAsiaTheme="majorEastAsia" w:hAnsi="Source Sans Pro Light" w:cstheme="majorBidi"/>
      <w:spacing w:val="-10"/>
      <w:kern w:val="28"/>
      <w:sz w:val="56"/>
      <w:szCs w:val="56"/>
    </w:rPr>
  </w:style>
  <w:style w:type="character" w:customStyle="1" w:styleId="TitleChar">
    <w:name w:val="Title Char"/>
    <w:basedOn w:val="DefaultParagraphFont"/>
    <w:link w:val="Title"/>
    <w:uiPriority w:val="10"/>
    <w:rsid w:val="005F7B94"/>
    <w:rPr>
      <w:rFonts w:ascii="Source Sans Pro Light" w:eastAsiaTheme="majorEastAsia" w:hAnsi="Source Sans Pro Light" w:cstheme="majorBidi"/>
      <w:spacing w:val="-10"/>
      <w:kern w:val="28"/>
      <w:sz w:val="56"/>
      <w:szCs w:val="56"/>
    </w:rPr>
  </w:style>
  <w:style w:type="paragraph" w:styleId="Subtitle">
    <w:name w:val="Subtitle"/>
    <w:basedOn w:val="Normal"/>
    <w:next w:val="Normal"/>
    <w:link w:val="SubtitleChar"/>
    <w:uiPriority w:val="11"/>
    <w:qFormat/>
    <w:rsid w:val="005F7B94"/>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5F7B94"/>
    <w:rPr>
      <w:rFonts w:ascii="Source Sans Pro" w:eastAsiaTheme="minorEastAsia" w:hAnsi="Source Sans Pro"/>
      <w:color w:val="5A5A5A" w:themeColor="text1" w:themeTint="A5"/>
      <w:spacing w:val="15"/>
    </w:rPr>
  </w:style>
  <w:style w:type="character" w:styleId="Strong">
    <w:name w:val="Strong"/>
    <w:basedOn w:val="DefaultParagraphFont"/>
    <w:uiPriority w:val="22"/>
    <w:qFormat/>
    <w:rsid w:val="005F7B94"/>
    <w:rPr>
      <w:rFonts w:ascii="Source Sans Pro SemiBold" w:hAnsi="Source Sans Pro SemiBold"/>
      <w:b w:val="0"/>
      <w:bCs/>
    </w:rPr>
  </w:style>
  <w:style w:type="character" w:styleId="Emphasis">
    <w:name w:val="Emphasis"/>
    <w:basedOn w:val="DefaultParagraphFont"/>
    <w:uiPriority w:val="20"/>
    <w:qFormat/>
    <w:rsid w:val="005F7B94"/>
    <w:rPr>
      <w:rFonts w:ascii="Source Sans Pro" w:hAnsi="Source Sans Pro"/>
      <w:i/>
      <w:iCs/>
    </w:rPr>
  </w:style>
  <w:style w:type="paragraph" w:styleId="NoSpacing">
    <w:name w:val="No Spacing"/>
    <w:uiPriority w:val="1"/>
    <w:qFormat/>
    <w:rsid w:val="005F7B94"/>
    <w:pPr>
      <w:spacing w:after="0" w:line="240" w:lineRule="auto"/>
    </w:pPr>
    <w:rPr>
      <w:rFonts w:ascii="Source Sans Pro" w:hAnsi="Source Sans Pro"/>
    </w:rPr>
  </w:style>
  <w:style w:type="paragraph" w:styleId="ListParagraph">
    <w:name w:val="List Paragraph"/>
    <w:basedOn w:val="Normal"/>
    <w:uiPriority w:val="34"/>
    <w:qFormat/>
    <w:rsid w:val="005F7B94"/>
    <w:pPr>
      <w:ind w:left="720"/>
      <w:contextualSpacing/>
    </w:pPr>
  </w:style>
  <w:style w:type="paragraph" w:styleId="Quote">
    <w:name w:val="Quote"/>
    <w:basedOn w:val="Normal"/>
    <w:next w:val="Normal"/>
    <w:link w:val="QuoteChar"/>
    <w:uiPriority w:val="29"/>
    <w:qFormat/>
    <w:rsid w:val="005F7B94"/>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5F7B94"/>
    <w:rPr>
      <w:rFonts w:ascii="Source Sans Pro" w:hAnsi="Source Sans Pro"/>
      <w:i/>
      <w:iCs/>
      <w:color w:val="404040" w:themeColor="text1" w:themeTint="BF"/>
    </w:rPr>
  </w:style>
  <w:style w:type="character" w:styleId="SubtleEmphasis">
    <w:name w:val="Subtle Emphasis"/>
    <w:basedOn w:val="DefaultParagraphFont"/>
    <w:uiPriority w:val="19"/>
    <w:qFormat/>
    <w:rsid w:val="005F7B94"/>
    <w:rPr>
      <w:rFonts w:ascii="Source Sans Pro" w:hAnsi="Source Sans Pro"/>
      <w:i/>
      <w:iCs/>
      <w:color w:val="404040" w:themeColor="text1" w:themeTint="BF"/>
    </w:rPr>
  </w:style>
  <w:style w:type="paragraph" w:styleId="Bibliography">
    <w:name w:val="Bibliography"/>
    <w:basedOn w:val="Normal"/>
    <w:next w:val="Normal"/>
    <w:uiPriority w:val="37"/>
    <w:unhideWhenUsed/>
    <w:rsid w:val="00FD674C"/>
    <w:pPr>
      <w:spacing w:after="0" w:line="480" w:lineRule="auto"/>
    </w:pPr>
  </w:style>
  <w:style w:type="paragraph" w:styleId="FootnoteText">
    <w:name w:val="footnote text"/>
    <w:basedOn w:val="Normal"/>
    <w:link w:val="FootnoteTextChar"/>
    <w:uiPriority w:val="99"/>
    <w:semiHidden/>
    <w:unhideWhenUsed/>
    <w:rsid w:val="00FD674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D674C"/>
    <w:rPr>
      <w:sz w:val="20"/>
      <w:szCs w:val="20"/>
    </w:rPr>
  </w:style>
  <w:style w:type="character" w:styleId="FootnoteReference">
    <w:name w:val="footnote reference"/>
    <w:basedOn w:val="DefaultParagraphFont"/>
    <w:uiPriority w:val="99"/>
    <w:semiHidden/>
    <w:unhideWhenUsed/>
    <w:rsid w:val="00FD674C"/>
    <w:rPr>
      <w:vertAlign w:val="superscript"/>
    </w:rPr>
  </w:style>
  <w:style w:type="paragraph" w:styleId="Header">
    <w:name w:val="header"/>
    <w:basedOn w:val="Normal"/>
    <w:link w:val="HeaderChar"/>
    <w:uiPriority w:val="99"/>
    <w:unhideWhenUsed/>
    <w:rsid w:val="00FD67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674C"/>
  </w:style>
  <w:style w:type="paragraph" w:styleId="Footer">
    <w:name w:val="footer"/>
    <w:basedOn w:val="Normal"/>
    <w:link w:val="FooterChar"/>
    <w:uiPriority w:val="99"/>
    <w:unhideWhenUsed/>
    <w:rsid w:val="00FD67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674C"/>
  </w:style>
  <w:style w:type="character" w:customStyle="1" w:styleId="fontstyle01">
    <w:name w:val="fontstyle01"/>
    <w:basedOn w:val="DefaultParagraphFont"/>
    <w:rsid w:val="001A0438"/>
    <w:rPr>
      <w:rFonts w:ascii="DejaVu Serif" w:hAnsi="DejaVu Serif" w:hint="default"/>
      <w:b w:val="0"/>
      <w:bCs w:val="0"/>
      <w:i w:val="0"/>
      <w:iCs w:val="0"/>
      <w:color w:val="000000"/>
      <w:sz w:val="22"/>
      <w:szCs w:val="22"/>
    </w:rPr>
  </w:style>
  <w:style w:type="character" w:styleId="Hyperlink">
    <w:name w:val="Hyperlink"/>
    <w:basedOn w:val="DefaultParagraphFont"/>
    <w:uiPriority w:val="99"/>
    <w:unhideWhenUsed/>
    <w:rsid w:val="000F3AD5"/>
    <w:rPr>
      <w:color w:val="0000FF"/>
      <w:u w:val="single"/>
    </w:rPr>
  </w:style>
  <w:style w:type="character" w:styleId="UnresolvedMention">
    <w:name w:val="Unresolved Mention"/>
    <w:basedOn w:val="DefaultParagraphFont"/>
    <w:uiPriority w:val="99"/>
    <w:semiHidden/>
    <w:unhideWhenUsed/>
    <w:rsid w:val="000F3A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178906">
      <w:bodyDiv w:val="1"/>
      <w:marLeft w:val="0"/>
      <w:marRight w:val="0"/>
      <w:marTop w:val="0"/>
      <w:marBottom w:val="0"/>
      <w:divBdr>
        <w:top w:val="none" w:sz="0" w:space="0" w:color="auto"/>
        <w:left w:val="none" w:sz="0" w:space="0" w:color="auto"/>
        <w:bottom w:val="none" w:sz="0" w:space="0" w:color="auto"/>
        <w:right w:val="none" w:sz="0" w:space="0" w:color="auto"/>
      </w:divBdr>
      <w:divsChild>
        <w:div w:id="397410574">
          <w:marLeft w:val="0"/>
          <w:marRight w:val="0"/>
          <w:marTop w:val="0"/>
          <w:marBottom w:val="0"/>
          <w:divBdr>
            <w:top w:val="none" w:sz="0" w:space="0" w:color="auto"/>
            <w:left w:val="none" w:sz="0" w:space="0" w:color="auto"/>
            <w:bottom w:val="none" w:sz="0" w:space="0" w:color="auto"/>
            <w:right w:val="none" w:sz="0" w:space="0" w:color="auto"/>
          </w:divBdr>
          <w:divsChild>
            <w:div w:id="816800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680163">
      <w:bodyDiv w:val="1"/>
      <w:marLeft w:val="0"/>
      <w:marRight w:val="0"/>
      <w:marTop w:val="0"/>
      <w:marBottom w:val="0"/>
      <w:divBdr>
        <w:top w:val="none" w:sz="0" w:space="0" w:color="auto"/>
        <w:left w:val="none" w:sz="0" w:space="0" w:color="auto"/>
        <w:bottom w:val="none" w:sz="0" w:space="0" w:color="auto"/>
        <w:right w:val="none" w:sz="0" w:space="0" w:color="auto"/>
      </w:divBdr>
      <w:divsChild>
        <w:div w:id="2050718986">
          <w:marLeft w:val="0"/>
          <w:marRight w:val="0"/>
          <w:marTop w:val="0"/>
          <w:marBottom w:val="0"/>
          <w:divBdr>
            <w:top w:val="none" w:sz="0" w:space="0" w:color="auto"/>
            <w:left w:val="none" w:sz="0" w:space="0" w:color="auto"/>
            <w:bottom w:val="none" w:sz="0" w:space="0" w:color="auto"/>
            <w:right w:val="none" w:sz="0" w:space="0" w:color="auto"/>
          </w:divBdr>
          <w:divsChild>
            <w:div w:id="556668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1506498">
      <w:bodyDiv w:val="1"/>
      <w:marLeft w:val="0"/>
      <w:marRight w:val="0"/>
      <w:marTop w:val="0"/>
      <w:marBottom w:val="0"/>
      <w:divBdr>
        <w:top w:val="none" w:sz="0" w:space="0" w:color="auto"/>
        <w:left w:val="none" w:sz="0" w:space="0" w:color="auto"/>
        <w:bottom w:val="none" w:sz="0" w:space="0" w:color="auto"/>
        <w:right w:val="none" w:sz="0" w:space="0" w:color="auto"/>
      </w:divBdr>
      <w:divsChild>
        <w:div w:id="116068463">
          <w:marLeft w:val="0"/>
          <w:marRight w:val="0"/>
          <w:marTop w:val="0"/>
          <w:marBottom w:val="0"/>
          <w:divBdr>
            <w:top w:val="none" w:sz="0" w:space="0" w:color="auto"/>
            <w:left w:val="none" w:sz="0" w:space="0" w:color="auto"/>
            <w:bottom w:val="none" w:sz="0" w:space="0" w:color="auto"/>
            <w:right w:val="none" w:sz="0" w:space="0" w:color="auto"/>
          </w:divBdr>
          <w:divsChild>
            <w:div w:id="1421826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763353">
      <w:bodyDiv w:val="1"/>
      <w:marLeft w:val="0"/>
      <w:marRight w:val="0"/>
      <w:marTop w:val="0"/>
      <w:marBottom w:val="0"/>
      <w:divBdr>
        <w:top w:val="none" w:sz="0" w:space="0" w:color="auto"/>
        <w:left w:val="none" w:sz="0" w:space="0" w:color="auto"/>
        <w:bottom w:val="none" w:sz="0" w:space="0" w:color="auto"/>
        <w:right w:val="none" w:sz="0" w:space="0" w:color="auto"/>
      </w:divBdr>
      <w:divsChild>
        <w:div w:id="414403639">
          <w:marLeft w:val="0"/>
          <w:marRight w:val="0"/>
          <w:marTop w:val="0"/>
          <w:marBottom w:val="0"/>
          <w:divBdr>
            <w:top w:val="none" w:sz="0" w:space="0" w:color="auto"/>
            <w:left w:val="none" w:sz="0" w:space="0" w:color="auto"/>
            <w:bottom w:val="none" w:sz="0" w:space="0" w:color="auto"/>
            <w:right w:val="none" w:sz="0" w:space="0" w:color="auto"/>
          </w:divBdr>
          <w:divsChild>
            <w:div w:id="1560363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5535AE-03CF-4F26-872C-F85F5FB443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2020</Words>
  <Characters>11517</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Hilty</dc:creator>
  <cp:keywords/>
  <dc:description/>
  <cp:lastModifiedBy>Lucas Hilty</cp:lastModifiedBy>
  <cp:revision>2</cp:revision>
  <dcterms:created xsi:type="dcterms:W3CDTF">2019-01-15T23:49:00Z</dcterms:created>
  <dcterms:modified xsi:type="dcterms:W3CDTF">2019-01-15T23:49:00Z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zotero-version="5.0.60"&gt;&lt;session id="T32F8UKY"/&gt;&lt;style id="http://www.zotero.org/styles/uwtsd-harvard-with-footnotes-gb-mod19" hasBibliography="1" bibliographyStyleHasBeenSet="1"/&gt;&lt;prefs&gt;&lt;pref name="fieldType" value="Field"/&gt;&lt;pref n</vt:lpwstr>
  </property>
  <property fmtid="{D5CDD505-2E9C-101B-9397-08002B2CF9AE}" pid="3" name="ZOTERO_PREF_2">
    <vt:lpwstr>ame="automaticJournalAbbreviations" value="true"/&gt;&lt;pref name="noteType" value="1"/&gt;&lt;/prefs&gt;&lt;/data&gt;</vt:lpwstr>
  </property>
</Properties>
</file>