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5C1EB" w14:textId="77777777" w:rsidR="00465DC0" w:rsidRDefault="00465DC0" w:rsidP="00465DC0">
      <w:pPr>
        <w:jc w:val="center"/>
        <w:rPr>
          <w:b/>
          <w:sz w:val="24"/>
          <w:szCs w:val="24"/>
        </w:rPr>
      </w:pPr>
    </w:p>
    <w:p w14:paraId="4BAD4463" w14:textId="77777777" w:rsidR="00465DC0" w:rsidRPr="00EE5BC3" w:rsidRDefault="00465DC0" w:rsidP="00465DC0">
      <w:pPr>
        <w:jc w:val="center"/>
        <w:rPr>
          <w:sz w:val="28"/>
          <w:szCs w:val="28"/>
        </w:rPr>
      </w:pPr>
      <w:r w:rsidRPr="00EE5BC3">
        <w:rPr>
          <w:b/>
          <w:sz w:val="28"/>
          <w:szCs w:val="28"/>
        </w:rPr>
        <w:t>Task 3</w:t>
      </w:r>
    </w:p>
    <w:p w14:paraId="51257902" w14:textId="77777777" w:rsidR="00465DC0" w:rsidRPr="00EE5BC3" w:rsidRDefault="00465DC0" w:rsidP="00465DC0">
      <w:pPr>
        <w:jc w:val="center"/>
        <w:rPr>
          <w:b/>
          <w:sz w:val="28"/>
          <w:szCs w:val="28"/>
        </w:rPr>
      </w:pPr>
    </w:p>
    <w:p w14:paraId="25A022E9" w14:textId="77777777" w:rsidR="00465DC0" w:rsidRPr="00EE5BC3" w:rsidRDefault="00465DC0" w:rsidP="00465DC0">
      <w:pPr>
        <w:jc w:val="center"/>
        <w:rPr>
          <w:b/>
          <w:color w:val="auto"/>
          <w:sz w:val="28"/>
          <w:szCs w:val="28"/>
        </w:rPr>
      </w:pPr>
      <w:r w:rsidRPr="00EE5BC3">
        <w:rPr>
          <w:b/>
          <w:color w:val="auto"/>
          <w:sz w:val="28"/>
          <w:szCs w:val="28"/>
        </w:rPr>
        <w:t>Safeguarding and working in complex situations – Case Study</w:t>
      </w:r>
    </w:p>
    <w:p w14:paraId="0B680EAD" w14:textId="77777777" w:rsidR="00465DC0" w:rsidRDefault="00465DC0" w:rsidP="00465DC0">
      <w:pPr>
        <w:rPr>
          <w:b/>
          <w:color w:val="auto"/>
          <w:sz w:val="24"/>
          <w:szCs w:val="24"/>
        </w:rPr>
      </w:pPr>
    </w:p>
    <w:p w14:paraId="3207C802" w14:textId="77777777" w:rsidR="00465DC0" w:rsidRDefault="00465DC0" w:rsidP="00465DC0">
      <w:pPr>
        <w:rPr>
          <w:b/>
          <w:color w:val="auto"/>
          <w:sz w:val="24"/>
          <w:szCs w:val="24"/>
        </w:rPr>
      </w:pPr>
      <w:r>
        <w:rPr>
          <w:b/>
          <w:color w:val="auto"/>
          <w:sz w:val="24"/>
          <w:szCs w:val="24"/>
        </w:rPr>
        <w:t>Guidance;</w:t>
      </w:r>
    </w:p>
    <w:p w14:paraId="6F90C14D" w14:textId="77777777" w:rsidR="00465DC0" w:rsidRPr="00706BB5" w:rsidRDefault="00465DC0" w:rsidP="00465DC0">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1F54993E" w14:textId="77777777" w:rsidR="00465DC0" w:rsidRDefault="00465DC0" w:rsidP="00465DC0">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65DC0" w:rsidRPr="008B28E7" w14:paraId="33C4438B" w14:textId="77777777" w:rsidTr="002324B9">
        <w:tc>
          <w:tcPr>
            <w:tcW w:w="10031" w:type="dxa"/>
            <w:shd w:val="clear" w:color="auto" w:fill="auto"/>
          </w:tcPr>
          <w:p w14:paraId="0B879327" w14:textId="77777777" w:rsidR="00465DC0" w:rsidRPr="006872A0" w:rsidRDefault="00465DC0" w:rsidP="002324B9">
            <w:pPr>
              <w:jc w:val="both"/>
              <w:rPr>
                <w:b/>
                <w:sz w:val="24"/>
                <w:szCs w:val="24"/>
              </w:rPr>
            </w:pPr>
            <w:r w:rsidRPr="006872A0">
              <w:rPr>
                <w:b/>
                <w:sz w:val="24"/>
                <w:szCs w:val="24"/>
              </w:rPr>
              <w:t>Question</w:t>
            </w:r>
            <w:r>
              <w:rPr>
                <w:b/>
                <w:sz w:val="24"/>
                <w:szCs w:val="24"/>
              </w:rPr>
              <w:t>:</w:t>
            </w:r>
          </w:p>
          <w:p w14:paraId="6B24F869" w14:textId="77777777" w:rsidR="00465DC0" w:rsidRPr="00706BB5" w:rsidRDefault="00465DC0" w:rsidP="002324B9">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045ACBA9" w14:textId="77777777" w:rsidR="00465DC0" w:rsidRDefault="00465DC0" w:rsidP="002324B9">
            <w:pPr>
              <w:jc w:val="both"/>
              <w:rPr>
                <w:sz w:val="24"/>
                <w:szCs w:val="24"/>
              </w:rPr>
            </w:pPr>
          </w:p>
          <w:p w14:paraId="2A43BB15" w14:textId="77777777" w:rsidR="00465DC0" w:rsidRDefault="00465DC0" w:rsidP="002324B9">
            <w:pPr>
              <w:jc w:val="both"/>
              <w:rPr>
                <w:sz w:val="24"/>
                <w:szCs w:val="24"/>
              </w:rPr>
            </w:pPr>
          </w:p>
          <w:p w14:paraId="036CE04F" w14:textId="77777777" w:rsidR="00465DC0" w:rsidRDefault="00465DC0" w:rsidP="002324B9">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02E5FBB6" w14:textId="77777777" w:rsidR="00465DC0" w:rsidRDefault="00465DC0" w:rsidP="002324B9">
            <w:pPr>
              <w:jc w:val="both"/>
              <w:rPr>
                <w:i/>
                <w:sz w:val="24"/>
                <w:szCs w:val="24"/>
              </w:rPr>
            </w:pPr>
          </w:p>
          <w:p w14:paraId="0364BAE8" w14:textId="77777777" w:rsidR="00465DC0" w:rsidRPr="00465DC0" w:rsidRDefault="00465DC0" w:rsidP="00465DC0">
            <w:pPr>
              <w:overflowPunct/>
              <w:autoSpaceDE/>
              <w:autoSpaceDN/>
              <w:adjustRightInd/>
              <w:spacing w:after="160" w:line="259" w:lineRule="auto"/>
              <w:textAlignment w:val="auto"/>
              <w:rPr>
                <w:rFonts w:asciiTheme="minorHAnsi" w:eastAsiaTheme="minorHAnsi" w:hAnsiTheme="minorHAnsi" w:cstheme="minorHAnsi"/>
                <w:color w:val="auto"/>
                <w:sz w:val="28"/>
                <w:szCs w:val="28"/>
                <w:lang w:eastAsia="en-US"/>
              </w:rPr>
            </w:pPr>
            <w:r w:rsidRPr="00465DC0">
              <w:rPr>
                <w:rFonts w:asciiTheme="minorHAnsi" w:eastAsiaTheme="minorHAnsi" w:hAnsiTheme="minorHAnsi" w:cstheme="minorHAnsi"/>
                <w:color w:val="auto"/>
                <w:sz w:val="28"/>
                <w:szCs w:val="28"/>
                <w:lang w:eastAsia="en-US"/>
              </w:rPr>
              <w:t>Introduction</w:t>
            </w:r>
          </w:p>
          <w:p w14:paraId="4A63002A"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 xml:space="preserve">I am currently practicing as a social worker in adult social care, with the 65 and over age group, in a seaside town in Wales. This locality is a very popular area for retirement meaning the demands for support from the older people’s service are high. Census data from the Office of National Statistics (ONS) (2021) suggests that the 65 and older age group in Wales has increased from 18.4% in 2011 to 21.3% in 2021. This is expected to rise to 29% by 2040 (Wales Social Care and Wellbeing Services Improvement Collaborative (WSCWSIC), 2022). The local authority in which I practice has seen an 11.5% increase in the number of people over 65 and a 4.3% decrease in the number of people aged 16-65 (ONS, 2021). The decrease in the “available workforce” population of 16-65 year olds is predicted to continue to decrease by 2040 (WSCWSIC, 2022). </w:t>
            </w:r>
          </w:p>
          <w:p w14:paraId="530A39B4"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 xml:space="preserve">The increase in the ageing population places significant pressure on adult social care (ASC) services which is exacerbated by what has been described as a ‘staffing crisis’ in ASC in Wales (Portes, et. al., 2020). There are currently 5,581 vacant or held posts in social care with 3,680 of those being in adult residential or domiciliary care services (Social Care </w:t>
            </w:r>
            <w:r w:rsidRPr="00465DC0">
              <w:rPr>
                <w:rFonts w:asciiTheme="minorHAnsi" w:eastAsiaTheme="minorHAnsi" w:hAnsiTheme="minorHAnsi" w:cstheme="minorHAnsi"/>
                <w:color w:val="auto"/>
                <w:sz w:val="24"/>
                <w:szCs w:val="24"/>
                <w:lang w:eastAsia="en-US"/>
              </w:rPr>
              <w:lastRenderedPageBreak/>
              <w:t>Wales (SCW), 2021). The causes of the current staffing shortage in adult social care are varied and complex. There are, however, two significant contributory factors; the impact of the Covid-19 pandemic on the social care workforce (Mutambudzi, et. al., 2022) and the loss of a significant number of workers from the European Union (EU) following the United Kingdom’s (UK’s) exit from the EU (Brexit) on 31</w:t>
            </w:r>
            <w:r w:rsidRPr="00465DC0">
              <w:rPr>
                <w:rFonts w:asciiTheme="minorHAnsi" w:eastAsiaTheme="minorHAnsi" w:hAnsiTheme="minorHAnsi" w:cstheme="minorHAnsi"/>
                <w:color w:val="auto"/>
                <w:sz w:val="24"/>
                <w:szCs w:val="24"/>
                <w:vertAlign w:val="superscript"/>
                <w:lang w:eastAsia="en-US"/>
              </w:rPr>
              <w:t>st</w:t>
            </w:r>
            <w:r w:rsidRPr="00465DC0">
              <w:rPr>
                <w:rFonts w:asciiTheme="minorHAnsi" w:eastAsiaTheme="minorHAnsi" w:hAnsiTheme="minorHAnsi" w:cstheme="minorHAnsi"/>
                <w:color w:val="auto"/>
                <w:sz w:val="24"/>
                <w:szCs w:val="24"/>
                <w:lang w:eastAsia="en-US"/>
              </w:rPr>
              <w:t xml:space="preserve"> January 2020 (Portes, et. al., 2020). </w:t>
            </w:r>
          </w:p>
          <w:p w14:paraId="4A547E30"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Data from the ONS released in 2020 suggests that social care workers were at significantly higher risk of death from Covid-19 than the general population. These risks compounded existing issues facing the social care workforce in Wales such as low pay and staff shortages contributing to the current ‘staffing crisis’ (Prout, et. al., 2022). A 2020 report by Portes, et. al. suggested that leaving the EU could have a “severe” impact on staffing in social care in Wales. In addition to Brexit and Covid-19 another contributory factor to the “staffing crisis” facing social care is the real terms pay decreases seen in the sector (Lloyd, 2022). Funding for adult social care has failed to keep pace with the rising demand for social care due to the ageing population in Wales (Holtham, 2018). Although responsibility for social care in Wales is devolved to the Welsh Government and some taxation has recently been devolved, approximately 80% of the budget in Wales is still allocated by the UK government in the form of the Block Grant. This emphasises how UK Government policy, such as budgetary and foreign policy, continue to impact on Wales post-devolution.</w:t>
            </w:r>
          </w:p>
          <w:p w14:paraId="2679E270"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 xml:space="preserve">The under-resourcing of social care in Wales has a direct impact on the safety and wellbeing of adults in need of care and support. The 2021/22 ***** Wales Safeguarding Board (*WSB) annual report identifies that there has been an increase in both the number and the complexity of adult at risk referrals since 2020 (*WSB, 2022). Factors identified as contributing to this include workforce and recruitment challenges. Staff shortages have been identified as a key contributing factor to a decline in the quality of care provided in residential care settings for adults and as having an “immediate and at times devastating impact on staff and patients” (Lloyd, 2022). This is true, not only of social care placements, but of health and social care provision nationwide with staff shortages contributing to a decline in the quality and availability of primary healthcare services such </w:t>
            </w:r>
            <w:r w:rsidRPr="00465DC0">
              <w:rPr>
                <w:rFonts w:asciiTheme="minorHAnsi" w:eastAsiaTheme="minorHAnsi" w:hAnsiTheme="minorHAnsi" w:cstheme="minorHAnsi"/>
                <w:color w:val="auto"/>
                <w:sz w:val="24"/>
                <w:szCs w:val="24"/>
                <w:lang w:eastAsia="en-US"/>
              </w:rPr>
              <w:lastRenderedPageBreak/>
              <w:t>as GP and community nursing services (Lloyd, 2022). It is therefore crucial for practitioners to have an awareness of the potential issues relating to these pressures and for them to be able to develop the confidence and knowledge to address issues where they arise in order to ensure safety and high quality of care for every vulnerable individual supported by adult social care services.</w:t>
            </w:r>
          </w:p>
          <w:p w14:paraId="2CF0A4DA"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In adult safeguarding an ‘adult at risk’ (AAR) is defined as someone who:</w:t>
            </w:r>
          </w:p>
          <w:p w14:paraId="26F10195"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ab/>
              <w:t>“Is experiencing or is at risk of abuse or neglect,</w:t>
            </w:r>
          </w:p>
          <w:p w14:paraId="06D6886D" w14:textId="77777777" w:rsidR="00465DC0" w:rsidRPr="00465DC0" w:rsidRDefault="00465DC0" w:rsidP="00465DC0">
            <w:pPr>
              <w:overflowPunct/>
              <w:autoSpaceDE/>
              <w:autoSpaceDN/>
              <w:adjustRightInd/>
              <w:spacing w:after="160" w:line="360" w:lineRule="auto"/>
              <w:ind w:left="720"/>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 xml:space="preserve">has needs for care and support (whether or not the authority is meeting </w:t>
            </w:r>
          </w:p>
          <w:p w14:paraId="6F3C6229" w14:textId="77777777" w:rsidR="00465DC0" w:rsidRPr="00465DC0" w:rsidRDefault="00465DC0" w:rsidP="00465DC0">
            <w:pPr>
              <w:overflowPunct/>
              <w:autoSpaceDE/>
              <w:autoSpaceDN/>
              <w:adjustRightInd/>
              <w:spacing w:after="160" w:line="360" w:lineRule="auto"/>
              <w:ind w:left="720"/>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any of those needs), and</w:t>
            </w:r>
          </w:p>
          <w:p w14:paraId="7A8EB14F" w14:textId="77777777" w:rsidR="00465DC0" w:rsidRPr="00465DC0" w:rsidRDefault="00465DC0" w:rsidP="00465DC0">
            <w:pPr>
              <w:overflowPunct/>
              <w:autoSpaceDE/>
              <w:autoSpaceDN/>
              <w:adjustRightInd/>
              <w:spacing w:after="160" w:line="360" w:lineRule="auto"/>
              <w:ind w:left="720"/>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 xml:space="preserve">as a result of those needs is unable to protect himself or herself against </w:t>
            </w:r>
          </w:p>
          <w:p w14:paraId="4F350BA0" w14:textId="77777777" w:rsidR="00465DC0" w:rsidRPr="00465DC0" w:rsidRDefault="00465DC0" w:rsidP="00465DC0">
            <w:pPr>
              <w:overflowPunct/>
              <w:autoSpaceDE/>
              <w:autoSpaceDN/>
              <w:adjustRightInd/>
              <w:spacing w:after="160" w:line="480" w:lineRule="auto"/>
              <w:ind w:left="720"/>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the abuse or neglect or the risk of it.”</w:t>
            </w:r>
          </w:p>
          <w:p w14:paraId="410BD091" w14:textId="77777777" w:rsidR="00465DC0" w:rsidRPr="00465DC0" w:rsidRDefault="00465DC0" w:rsidP="00465DC0">
            <w:pPr>
              <w:overflowPunct/>
              <w:autoSpaceDE/>
              <w:autoSpaceDN/>
              <w:adjustRightInd/>
              <w:spacing w:after="160" w:line="48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(*WSB, 2023).</w:t>
            </w:r>
          </w:p>
          <w:p w14:paraId="7D4D238A"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In Wales there are regional safeguarding boards which operate within the framework of the Social Services and Wellbeing (Wales) Act (SSW(W)A) 2014 in order to standardise safeguarding procedures across Wales for both children and adults (Welsh Government, 2014). The *WSB comprises of the safeguarding children board and the safeguarding adults board (*WSB, 2023). The aims of the Wales Safeguarding Adults Board (*WSAB) are:</w:t>
            </w:r>
          </w:p>
          <w:p w14:paraId="13594F4F" w14:textId="77777777" w:rsidR="00465DC0" w:rsidRPr="00465DC0" w:rsidRDefault="00465DC0" w:rsidP="00465DC0">
            <w:pPr>
              <w:overflowPunct/>
              <w:autoSpaceDE/>
              <w:autoSpaceDN/>
              <w:adjustRightInd/>
              <w:spacing w:after="160" w:line="360" w:lineRule="auto"/>
              <w:ind w:left="567" w:right="567"/>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“To protect adults within its area who have needs to care and support (whether or not a local authority is meeting any of those needs: and are experiencing, or are at risk of, abuse or neglect,</w:t>
            </w:r>
          </w:p>
          <w:p w14:paraId="64444C02" w14:textId="77777777" w:rsidR="00465DC0" w:rsidRPr="00465DC0" w:rsidRDefault="00465DC0" w:rsidP="00465DC0">
            <w:pPr>
              <w:overflowPunct/>
              <w:autoSpaceDE/>
              <w:autoSpaceDN/>
              <w:adjustRightInd/>
              <w:spacing w:after="160" w:line="360" w:lineRule="auto"/>
              <w:ind w:left="567" w:right="567"/>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To prevent those adults within its area mentioned above, from becoming at risk of abuse or neglect.”</w:t>
            </w:r>
          </w:p>
          <w:p w14:paraId="2B24DF6A"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(*WSAB, 2023).</w:t>
            </w:r>
          </w:p>
          <w:p w14:paraId="409BB48F"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p>
          <w:p w14:paraId="306A9DA1" w14:textId="77777777" w:rsidR="00465DC0" w:rsidRPr="00465DC0" w:rsidRDefault="00465DC0" w:rsidP="00465DC0">
            <w:pPr>
              <w:overflowPunct/>
              <w:autoSpaceDE/>
              <w:autoSpaceDN/>
              <w:adjustRightInd/>
              <w:spacing w:after="160" w:line="480" w:lineRule="auto"/>
              <w:textAlignment w:val="auto"/>
              <w:rPr>
                <w:rFonts w:asciiTheme="minorHAnsi" w:eastAsiaTheme="minorHAnsi" w:hAnsiTheme="minorHAnsi" w:cstheme="minorHAnsi"/>
                <w:color w:val="auto"/>
                <w:sz w:val="28"/>
                <w:szCs w:val="28"/>
                <w:lang w:eastAsia="en-US"/>
              </w:rPr>
            </w:pPr>
            <w:r w:rsidRPr="00465DC0">
              <w:rPr>
                <w:rFonts w:asciiTheme="minorHAnsi" w:eastAsiaTheme="minorHAnsi" w:hAnsiTheme="minorHAnsi" w:cstheme="minorHAnsi"/>
                <w:color w:val="auto"/>
                <w:sz w:val="28"/>
                <w:szCs w:val="28"/>
                <w:lang w:eastAsia="en-US"/>
              </w:rPr>
              <w:lastRenderedPageBreak/>
              <w:t>Case study</w:t>
            </w:r>
          </w:p>
          <w:p w14:paraId="052DEE80"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 xml:space="preserve">As part of my social work role I was asked to work as part of an MDT to conduct an informal enquiry into a safeguarding case in order to facilitate a report into lessons learned from the case. Such enquiries are an essential component in informing practice in relation to adult safeguarding and supporting vulnerable individuals (*WSB, 2023). The MDT consisted of myself, supported by my team manager, and two senior managers from the CHC team. </w:t>
            </w:r>
          </w:p>
          <w:p w14:paraId="4E236324"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While discussing this case study the framework of Killion and Todnem’s (1991) revision of Schon’s (1991) reflective model will be used. This is a process model of reflection, which is useful in the context of reflecting on a specific piece of practice, as it provides a structure for reflecting on both the planning and execution of the practice. This model is comprised of three stages; “reflection for action” supports reflection on the planning of a piece of work, “reflection in action” supports reflection during the execution of a piece of work and “reflection on action” supports reflection on the outcomes and efficacy of the piece of work.</w:t>
            </w:r>
          </w:p>
          <w:p w14:paraId="3E9F3039"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HAnsi"/>
                <w:color w:val="auto"/>
                <w:sz w:val="24"/>
                <w:szCs w:val="24"/>
                <w:lang w:eastAsia="en-US"/>
              </w:rPr>
            </w:pPr>
            <w:r w:rsidRPr="00465DC0">
              <w:rPr>
                <w:rFonts w:asciiTheme="minorHAnsi" w:eastAsiaTheme="minorHAnsi" w:hAnsiTheme="minorHAnsi" w:cstheme="minorHAnsi"/>
                <w:color w:val="auto"/>
                <w:sz w:val="24"/>
                <w:szCs w:val="24"/>
                <w:lang w:eastAsia="en-US"/>
              </w:rPr>
              <w:t>This enquiry was in relation to 2, a lady in her late 80’s living in a specialist nursing placement in Wales, who sustained significant bruising of unknown cause. Due to the advanced nature of her medical condition 2 required a high level of care, she was unable to mobilise and was not able to communicate her needs so all her care and support needs were anticipated by care staff. The purpose of the enquiry was to establish the facts of the adult at risk case through examination of documents, interviews with or statements from professionals involved and interviews with family. During the course of my enquiry 2 sadly passed away from causes unrelated to the circumstances of the enquiry.</w:t>
            </w:r>
          </w:p>
          <w:p w14:paraId="7C09D3DE"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In this case, following observation of unexplained bruising to 2’s upper thigh by a care worker, the GP was contacted for advice. The following day the bruising was observed to have spread to 2’s abdomen and groin and was extensive. As a result of her medical conditions 2 was unable to communicate any information in relation to the bruising. Staff who were familiar with her were able to identify that she was showing some discomfort </w:t>
            </w:r>
            <w:r w:rsidRPr="00465DC0">
              <w:rPr>
                <w:rFonts w:asciiTheme="minorHAnsi" w:eastAsiaTheme="minorHAnsi" w:hAnsiTheme="minorHAnsi" w:cstheme="minorBidi"/>
                <w:color w:val="auto"/>
                <w:sz w:val="24"/>
                <w:szCs w:val="24"/>
                <w:lang w:eastAsia="en-US"/>
              </w:rPr>
              <w:lastRenderedPageBreak/>
              <w:t>when being supported with her personal hygiene. 2’s daughter was contacted by the placement and was in agreement with an AAR report being made to the local authority.</w:t>
            </w:r>
          </w:p>
          <w:p w14:paraId="2011F1B3"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An adult at risk report was made by the placement in line with Section 128 of the Social Services and Wellbeing (Wales) Act (2014) and the Wales Safeguarding Procedures (WSP) </w:t>
            </w:r>
            <w:r w:rsidRPr="00465DC0">
              <w:rPr>
                <w:rFonts w:asciiTheme="minorHAnsi" w:eastAsiaTheme="minorHAnsi" w:hAnsiTheme="minorHAnsi" w:cstheme="minorHAnsi"/>
                <w:color w:val="auto"/>
                <w:sz w:val="24"/>
                <w:szCs w:val="24"/>
                <w:lang w:eastAsia="en-US"/>
              </w:rPr>
              <w:t>(Welsh Government, 2014)</w:t>
            </w:r>
            <w:r w:rsidRPr="00465DC0">
              <w:rPr>
                <w:rFonts w:asciiTheme="minorHAnsi" w:eastAsiaTheme="minorHAnsi" w:hAnsiTheme="minorHAnsi" w:cstheme="minorBidi"/>
                <w:color w:val="auto"/>
                <w:sz w:val="24"/>
                <w:szCs w:val="24"/>
                <w:lang w:eastAsia="en-US"/>
              </w:rPr>
              <w:t xml:space="preserve">. Following screening by the safeguarding team the referral was progressed to section 126 enquiries to facilitate further information gathering </w:t>
            </w:r>
            <w:r w:rsidRPr="00465DC0">
              <w:rPr>
                <w:rFonts w:asciiTheme="minorHAnsi" w:eastAsiaTheme="minorHAnsi" w:hAnsiTheme="minorHAnsi" w:cstheme="minorHAnsi"/>
                <w:color w:val="auto"/>
                <w:sz w:val="24"/>
                <w:szCs w:val="24"/>
                <w:lang w:eastAsia="en-US"/>
              </w:rPr>
              <w:t>(Welsh Government, 2014)</w:t>
            </w:r>
            <w:r w:rsidRPr="00465DC0">
              <w:rPr>
                <w:rFonts w:asciiTheme="minorHAnsi" w:eastAsiaTheme="minorHAnsi" w:hAnsiTheme="minorHAnsi" w:cstheme="minorBidi"/>
                <w:color w:val="auto"/>
                <w:sz w:val="24"/>
                <w:szCs w:val="24"/>
                <w:lang w:eastAsia="en-US"/>
              </w:rPr>
              <w:t>. A social worker was allocated to complete a welfare visit to 2 along with a nurse reviewer from the continuing healthcare (CHC) team and further information was gathered from the placement. Urgent reviews were requested from the general practitioner (GP), occupational therapists (OT’s) from both health and adult social care and tissue viability nurse (TVN). No obvious cause was found for the bruising. Manual handling causes were ruled out by OT’s and TVN. 2 was assessed under the Mental Capacity Act (2005) as not having capacity to make decisions in relation to the safeguarding process. The allocated social worker kept in regular contact with 2’s daughter to update her where appropriate and she was fully consulted throughout the process. During the course of the section 126 enquiries it was discussed that a gentleman, 3, who had recently moved to the placement, had become very agitated and was entering other resident’s rooms searching for his wife. He was found in 2’s bedroom on more than one occasion although no aggressive behaviour was witnessed towards her. It was suggested that 2’s injuries may have been caused by 3, however, there was no evidence for this. Although considered unlikely following a full examination by the GP, it could not be ruled out that 2 may have been a victim of sexual assault due to the location and nature of the bruising.</w:t>
            </w:r>
          </w:p>
          <w:p w14:paraId="6B7211DA"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In line with the WSP (2023), as the cause of the bruising could not be identified following the conclusion of the section 126 enquiries, a determination was made that 2 was an adult at risk and action to protect was needed. The case therefore proceeded to a strategy meeting chaired by a senior manager as the lead practitioner. The strategy meeting comprised an MDT of management from both the local authority and CHC team, the allocated social workers for both 2 and 3, a nurse reviewer from the CHC team and occupational therapists from both health and social care. The GP was invited but was </w:t>
            </w:r>
            <w:r w:rsidRPr="00465DC0">
              <w:rPr>
                <w:rFonts w:asciiTheme="minorHAnsi" w:eastAsiaTheme="minorHAnsi" w:hAnsiTheme="minorHAnsi" w:cstheme="minorBidi"/>
                <w:color w:val="auto"/>
                <w:sz w:val="24"/>
                <w:szCs w:val="24"/>
                <w:lang w:eastAsia="en-US"/>
              </w:rPr>
              <w:lastRenderedPageBreak/>
              <w:t>unable to attend. A care, support and protection plan was implemented which included one to one support for 3 to ensure the safety of both 3 and other residents, 2’s door being kept locked to ensure her safety while investigations were being carried out and regular visits by both health and social care professionals. Over the course of two strategy meetings the MDT were not able to establish a cause for the bruising sustained by 2. During this time the bruising subsided with no apparent long-lasting impact to 2’s overall health and no new bruising was observed. Following in an escalation of his agitation, 3 was detained under section 2 of the Mental Health Act (1983) and admitted to a specialist psychiatric facility for treatment and further assessment. It was therefore determined by the MDT that 2 was no longer an adult at risk and the AAR process was closed.</w:t>
            </w:r>
          </w:p>
          <w:p w14:paraId="1223D062"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Following the conclusion of the AAR process the MDT identified several issues that had arisen which they felt needed to be further explored. A detailed remit was established with questions to be answered and I was asked to support with the enquiry. My role was to gather information from social care staff and 2’s daughter. My colleagues from the CHC team would gather information from health staff and feed this back. I would then collate this information into a report for the original MDT who participated in the strategy meetings. </w:t>
            </w:r>
          </w:p>
          <w:p w14:paraId="02FE0092"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465DC0">
              <w:rPr>
                <w:rFonts w:asciiTheme="minorHAnsi" w:eastAsiaTheme="minorHAnsi" w:hAnsiTheme="minorHAnsi" w:cstheme="minorBidi"/>
                <w:color w:val="auto"/>
                <w:sz w:val="24"/>
                <w:szCs w:val="24"/>
                <w:lang w:eastAsia="en-US"/>
              </w:rPr>
              <w:t xml:space="preserve">As a result of the multi-agency nature of this piece of work consideration was given to communication in this context. The four C’s of communication were used to facilitate collaborative working (Thompson, 2011). The first C, clarity and agreement of goals, was provided by the detailed remit which clearly stated the questions which needed to be answered. We also met as a group and agreed that our role was to gather and collate information rather than reach any conclusions. During the initial meeting we also discussed the second C, clarity and agreement on how goals would be achieved (Thompson, 2011). Tasks were allocated based on differing areas of expertise and ease of access to information. For example, it was agreed that my health colleagues would gather information from other medical professionals as they would have a better understanding of what information was relevant in that context. The third C, communication (Thompson, 2011), did provide some challenges. We met as a group as often as we were able in order to share information, assess our respective progress and adjust any goals. However, </w:t>
            </w:r>
            <w:r w:rsidRPr="00465DC0">
              <w:rPr>
                <w:rFonts w:asciiTheme="minorHAnsi" w:eastAsiaTheme="minorHAnsi" w:hAnsiTheme="minorHAnsi" w:cstheme="minorBidi"/>
                <w:color w:val="auto"/>
                <w:sz w:val="24"/>
                <w:szCs w:val="24"/>
                <w:lang w:eastAsia="en-US"/>
              </w:rPr>
              <w:lastRenderedPageBreak/>
              <w:t>pressure on both health and social care services and the workloads of all practitioners meant that we were not able to meet as often as we would have liked. In order to mitigate this we maintained regular email communication. The fourth C, conflict management (Thompson, 2011), did not arise to any great extent in terms of the multi-agency group. There were occasional areas of disagreement, for example, initially in terms of allocation of responsibilities and division of labour. I did at times feel, as a recently qualified social worker working with two senior managers, that less consideration or importance was given to my workload outside of this piece of work. This was discussed in supervision and as my manager also attended these meetings she was able to support me to ensure I maintained my boundaries and that my workload remained manageable. I have, at times, had difficulty managing my workload as being a team player is very important to me leading me to take on too much. This is something I have been working on through supervision and training and I felt more confident in this piece of work to remain firm in my boundaries.</w:t>
            </w:r>
          </w:p>
          <w:p w14:paraId="656880A8"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Using “reflection for action” there were multiple issues to consider prior to commencing the enquiry. Consideration was given to General Data Protection Regulations (GDPR) (The Data Protection Act, 2018). Due to current hybrid working practices following Covid-19 lockdown it was acknowledged that it would be necessary for me to store sensitive and confidential information at home. As this has been the case for some time I have access to lockable storage both at home and for travelling for hard copies of documents. All electronic information was stored in secure files on my LA provided laptop in line with the LA’s data protection policy. It was agreed that visits and conversations would be recorded on casenotes on 2’s file under the AAR referral to facilitate information sharing and clear recording (SCW, 2017).</w:t>
            </w:r>
          </w:p>
          <w:p w14:paraId="751C9FE5"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Personally, I was aware that my approach to other involved professionals, including members of my team, would need to be sensitive while still being a thorough and transparent (SCW, 2017). This was discussed in supervision and it was made clear that I would have support and guidance from my manager throughout the process. We carefully considered the possible implications on my working relationships with colleagues on my team, colleagues in healthcare services and those in the placement. While it is clear that </w:t>
            </w:r>
            <w:r w:rsidRPr="00465DC0">
              <w:rPr>
                <w:rFonts w:asciiTheme="minorHAnsi" w:eastAsiaTheme="minorHAnsi" w:hAnsiTheme="minorHAnsi" w:cstheme="minorBidi"/>
                <w:color w:val="auto"/>
                <w:sz w:val="24"/>
                <w:szCs w:val="24"/>
                <w:lang w:eastAsia="en-US"/>
              </w:rPr>
              <w:lastRenderedPageBreak/>
              <w:t>the priority in such inquiries must be the views and outcomes of the individual and their family (SCW, 2017), these were important considerations to ensure continued effective professional relationships. We discussed that the purpose of my role would be to gather and collate information relevant to the case, not to reach any conclusions or judgements from these facts, which would be the role of the multi-disciplinary team (MDT). I felt that keeping this in mind would support me to maintain an objective, non-judgmental approach when interacting with all involved professionals, therefore allowing me to maintain positive working relationships.</w:t>
            </w:r>
          </w:p>
          <w:p w14:paraId="662F167D"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Although complete objectivity is never possible in social work interactions (Munro &amp; Hardie, 2019) maintaining an open mind and limiting assumptions is crucial (Sheppard, et. al., 2000). During the course of this enquiry I attended the care home on two separate occasions and spent time gathering information, documentation and staff statements. When gathering statements from staff consideration was given to different circumstances. Some staff members felt more comfortable providing written statements. However, some staff members whose first language was not English, preferred to give verbal statements as they felt more confident articulating themselves through speech rather than writing. This also allowed me to ask clarifying questions where language may have led to misinterpretation of the facts. During these visits I noted some defensiveness from the care home owner, manager and care staff. Some of the specific behaviours I noted were as follows: The care home manager providing a lengthy explanation of the events and citing the actions of other professionals to explain anything that may have been perceived as poor practice. Signs of irritation at my presence from all staff. Actively offering mitigating information and reluctance to provide other information and the trivialisation of both the enquiry and of the events. Defensiveness, in these circumstances, could have been interpreted as a sign of wrongdoing; however, this is not necessarily the case (Stamp, et. al., 1992). It was important for me to utilise reflection in action to acknowledge that, due to the investigative nature of my visit and the power dynamic inherent in such an interaction, defensiveness was a natural response. To make any inferences as a result of this behaviour could have impacted the outcome of the enquiry. This impact would have been twofold; firstly, my interactions with the staff may have been more accusatory in nature which would have adversely affected the working </w:t>
            </w:r>
            <w:r w:rsidRPr="00465DC0">
              <w:rPr>
                <w:rFonts w:asciiTheme="minorHAnsi" w:eastAsiaTheme="minorHAnsi" w:hAnsiTheme="minorHAnsi" w:cstheme="minorBidi"/>
                <w:color w:val="auto"/>
                <w:sz w:val="24"/>
                <w:szCs w:val="24"/>
                <w:lang w:eastAsia="en-US"/>
              </w:rPr>
              <w:lastRenderedPageBreak/>
              <w:t>relationship. Secondly, it could have affected my information gathering leading to confirmation bias, gathering only information supporting my preconceived assumptions of what happened (Spratt, et. al., 2016). In acknowledging and being aware of this I was able to use my professional judgement and self-aware communication skills reflexively during difficult and unpredictable interactions (Thompson, 2011). I maintained a friendly, professional demeanour and ensured I employed neutral, non-judgmental language during the visits. I was able to maintain a professional emotional distance, understanding that the irritation I perceived was not directed at myself personally but was towards the situation, so was able to set that aside and not allow it to influence the nature of my interactions. I was also able, as far as possible, to use my professional judgement to gather all information pertaining to the case and avoid selective information gathering.</w:t>
            </w:r>
          </w:p>
          <w:p w14:paraId="377EB4D1"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Another area where both communication and professional judgement were crucial to this practice was my interactions with 2 and her daughter (SCW, 2017). Due to the advanced nature of 2’s medical condition she was unable to communicate verbally and had been assessed as not having capacity make decisions relating to the AAR process (Mental Capacity Act, 2005). It was, therefore, not possible for me to establish her views and desired outcomes. For my practice, I felt it was important to engage with 2’s daughter to attempt to establish her views. I utilised the active offer to establish her preferred language in accordance with the </w:t>
            </w:r>
            <w:r w:rsidRPr="00465DC0">
              <w:rPr>
                <w:rFonts w:asciiTheme="minorHAnsi" w:eastAsiaTheme="minorHAnsi" w:hAnsiTheme="minorHAnsi" w:cstheme="minorHAnsi"/>
                <w:color w:val="auto"/>
                <w:sz w:val="24"/>
                <w:szCs w:val="24"/>
                <w:lang w:eastAsia="en-US"/>
              </w:rPr>
              <w:t>Welsh Government’s More than just Words strategic framework</w:t>
            </w:r>
            <w:r w:rsidRPr="00465DC0">
              <w:rPr>
                <w:rFonts w:asciiTheme="minorHAnsi" w:eastAsiaTheme="minorHAnsi" w:hAnsiTheme="minorHAnsi" w:cstheme="minorBidi"/>
                <w:color w:val="auto"/>
                <w:sz w:val="24"/>
                <w:szCs w:val="24"/>
                <w:lang w:eastAsia="en-US"/>
              </w:rPr>
              <w:t xml:space="preserve"> and explained the purpose of my contacting her. 2’s daughter expressed that she did not believe there was any need to “drag it all up again” after the conclusion of the AAR process and did not wish to engage in the enquiry. This was compounded when 2 passed away while the process was ongoing. Due to the importance I place on person-centred practice and the views of the individual and their carers, this caused some conflict for me (SCW, 2017). Firstly I was uncomfortable with being unable to establish the desired outcomes of 2 and her daughter. I also felt discomfort that the process of the enquiry was continuing despite 2’s daughter not wishing to engage. We discussed this in supervision and clarified the purpose of the enquiry as being to inform practice going forward and clarified the importance of this. We also discussed that 2’s daughter was happy for the enquiry to go ahead, she would simply prefer not to be involved. It was important, despite my own feelings of discomfort, that I respect the wishes of 2’s daughter and </w:t>
            </w:r>
            <w:r w:rsidRPr="00465DC0">
              <w:rPr>
                <w:rFonts w:asciiTheme="minorHAnsi" w:eastAsiaTheme="minorHAnsi" w:hAnsiTheme="minorHAnsi" w:cstheme="minorBidi"/>
                <w:color w:val="auto"/>
                <w:sz w:val="24"/>
                <w:szCs w:val="24"/>
                <w:lang w:eastAsia="en-US"/>
              </w:rPr>
              <w:lastRenderedPageBreak/>
              <w:t>proceed without her input. This indicates the importance of understanding not only when communication is important but also when it is prudent to limit communication and respect the wishes of individuals even when they may conflict with our perception of good practice (SCW, 2017).</w:t>
            </w:r>
          </w:p>
          <w:p w14:paraId="12EB95FD"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Following the conclusion of the information gathering phase of the enquiry all of the information was sent to myself to be reviewed and collated into a report. Again, the remit for the enquiry was a useful tool to guide my professional decisions in relation to what information to include and what to omit. Careful consideration was given to how to communicate the information provided in order to ensure the report remained as factual and unbiased as possible. Due to the volume of information gathered, including six months’ worth of daily care notes, statements from all involved staff, social work assessments and casenotes and OT assessments, a detailed analysis was required. I followed the framework of the remit to ensure I included only relevant information and did not omit any relevant information which may have impacted the outcome of the enquiry. The report was structured to fit the remit questions. Any information from daily care notes and statements was quoted directly to avoid misinterpretation and all statements, assessments and other documents were also included as appendices. If I was unsure whether to include any specific details I sought advice from my manager or from my health colleagues which was extremely helpful. I was very careful to include only facts and not stray into interpretation or opinion during the writing of the report and requested feedback from my manager to ensure this was the case.</w:t>
            </w:r>
          </w:p>
          <w:p w14:paraId="72E5B923"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p>
          <w:p w14:paraId="71FC76B0"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8"/>
                <w:szCs w:val="28"/>
                <w:lang w:eastAsia="en-US"/>
              </w:rPr>
            </w:pPr>
            <w:r w:rsidRPr="00465DC0">
              <w:rPr>
                <w:rFonts w:asciiTheme="minorHAnsi" w:eastAsiaTheme="minorHAnsi" w:hAnsiTheme="minorHAnsi" w:cstheme="minorBidi"/>
                <w:color w:val="auto"/>
                <w:sz w:val="28"/>
                <w:szCs w:val="28"/>
                <w:lang w:eastAsia="en-US"/>
              </w:rPr>
              <w:t>Conclusion</w:t>
            </w:r>
          </w:p>
          <w:p w14:paraId="7D622B41" w14:textId="77777777" w:rsidR="00465DC0" w:rsidRPr="00465DC0" w:rsidRDefault="00465DC0" w:rsidP="00465DC0">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On completing the report I was able to attend the MDT discussion with the attendees of the strategy meeting to discuss the outcomes and lessons learned. I observed an interesting dynamic which appeared to mirror the differences between the medical and social model (Maclean &amp; Harrison, 2015). In the medical model there is a stronger focus on locating issues within an individual rather than considering the circumstances in a more holistic manner (Beckett, 2010). Whereas, in the social model issues are located outside the individual and considered on a more systemic level (Maclean &amp;Harrison, </w:t>
            </w:r>
            <w:r w:rsidRPr="00465DC0">
              <w:rPr>
                <w:rFonts w:asciiTheme="minorHAnsi" w:eastAsiaTheme="minorHAnsi" w:hAnsiTheme="minorHAnsi" w:cstheme="minorBidi"/>
                <w:color w:val="auto"/>
                <w:sz w:val="24"/>
                <w:szCs w:val="24"/>
                <w:lang w:eastAsia="en-US"/>
              </w:rPr>
              <w:lastRenderedPageBreak/>
              <w:t>2015). During the discussions a pattern emerged where health colleagues tended to attribute areas for improvement to individual professionals. Social care colleagues considered any issues that arose as a function of the context systemically. For example, it transpired from the enquiry that the manager of the care home did not check the bruising for several hours after it was reported. The discussion that arose was between health colleagues attributing this to an individual’s poor practice where the viewpoint of social care colleagues was that workload and reduced staffing levels played a large part in this. This shows the importance of multi-agency working and seeking different perspectives. The outcome was a balanced recommendation relating to both an individual’s professional practice and the workload and staffing levels in the home.</w:t>
            </w:r>
          </w:p>
          <w:p w14:paraId="3A225D6A" w14:textId="77777777" w:rsidR="00465DC0" w:rsidRPr="00465DC0" w:rsidRDefault="00465DC0" w:rsidP="00465DC0">
            <w:pPr>
              <w:tabs>
                <w:tab w:val="right" w:pos="9026"/>
              </w:tabs>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The conclusion of the enquiry, as reached by the MDT, was that there were lessons to be learned in terms of professional practice but these must be considered in the wider context of current pressures on both health and social care services. One area identified was the response time and availability of primary healthcare services. Individual practice improvements were recommended for healthcare practitioners, however, consideration was given to the current pressures on primary health services due to staff shortages, Covid-19 and cuts to funding (Lloyd, 2022). Another recommendation related to staffing in the care home and support for 3 who would have benefited from one to one support sooner. Again, consideration was given to the fact that the care home are actively recruiting for staff and are unable to fill vacancies. The cost to both health and social care for one to one support was also a barrier and may have led to delays in putting adequate support in place due to budgetary concerns. There was discussion around the locking of 2’s door to maintain her safety in relation to Deprivation of Liberty Safeguards (DoLS) (2008) and the right to liberty and safety (Human Rights Act, 1998).</w:t>
            </w:r>
          </w:p>
          <w:p w14:paraId="53668EA3" w14:textId="77777777" w:rsidR="00465DC0" w:rsidRPr="00465DC0" w:rsidRDefault="00465DC0" w:rsidP="00465DC0">
            <w:pPr>
              <w:tabs>
                <w:tab w:val="right" w:pos="9026"/>
              </w:tabs>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 xml:space="preserve">The above considerations and recommendations emphasise the clear link between safeguarding adults at risk and the systemic issues which are becoming more apparent in the current climate of political austerity (Lloyd, 2022). The pressures and resource shortages result in regular conflict between the needs of the individual and the ability of the service and individual practitioners to meet those needs. This is a conflict I have felt acutely in my practice. Finding strategies to navigate the feeling of not being able to </w:t>
            </w:r>
            <w:r w:rsidRPr="00465DC0">
              <w:rPr>
                <w:rFonts w:asciiTheme="minorHAnsi" w:eastAsiaTheme="minorHAnsi" w:hAnsiTheme="minorHAnsi" w:cstheme="minorBidi"/>
                <w:color w:val="auto"/>
                <w:sz w:val="24"/>
                <w:szCs w:val="24"/>
                <w:lang w:eastAsia="en-US"/>
              </w:rPr>
              <w:lastRenderedPageBreak/>
              <w:t>provide the level of service that you would like is a continued challenge which comes up regularly in my supervisions. The legacy of both the Covid-19 pandemic and Brexit on adult social care in Wales and the impact of UK governments’ decisions on Wales are clear. There are further implications to consider in terms of Brexit. The potential impact of the new Bill of Rights proposed by the UK government, should it pass, on both social work practice and wider implications on Welsh government legislation being one. The current economic and political climate are creating a challenging but interesting environment for social work practitioners in which uncertainty and change play a large role. Requiring the development of flexible and adaptable practice alongside other aspects of professional development. This is an aspect of my development that I have enjoyed and will continue to embrace the challenges in order to develop in my practice.</w:t>
            </w:r>
          </w:p>
          <w:p w14:paraId="77AC9B07" w14:textId="3CAD377B" w:rsidR="00465DC0" w:rsidRPr="00465DC0" w:rsidRDefault="00465DC0" w:rsidP="00465DC0">
            <w:pPr>
              <w:tabs>
                <w:tab w:val="right" w:pos="9026"/>
              </w:tabs>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465DC0">
              <w:rPr>
                <w:rFonts w:asciiTheme="minorHAnsi" w:eastAsiaTheme="minorHAnsi" w:hAnsiTheme="minorHAnsi" w:cstheme="minorBidi"/>
                <w:color w:val="auto"/>
                <w:sz w:val="24"/>
                <w:szCs w:val="24"/>
                <w:lang w:eastAsia="en-US"/>
              </w:rPr>
              <w:t>4252 words.</w:t>
            </w:r>
            <w:bookmarkStart w:id="0" w:name="_GoBack"/>
            <w:bookmarkEnd w:id="0"/>
          </w:p>
        </w:tc>
      </w:tr>
    </w:tbl>
    <w:p w14:paraId="0B6009D6" w14:textId="77777777" w:rsidR="00465DC0" w:rsidRDefault="00465DC0" w:rsidP="00465DC0">
      <w:pPr>
        <w:jc w:val="both"/>
        <w:rPr>
          <w:sz w:val="24"/>
          <w:szCs w:val="24"/>
        </w:rPr>
      </w:pPr>
    </w:p>
    <w:p w14:paraId="7E65FE27" w14:textId="77777777" w:rsidR="00465DC0" w:rsidRDefault="00465DC0" w:rsidP="00465DC0">
      <w:pPr>
        <w:ind w:firstLine="720"/>
        <w:jc w:val="both"/>
        <w:rPr>
          <w:b/>
          <w:sz w:val="24"/>
          <w:szCs w:val="24"/>
        </w:rPr>
      </w:pPr>
    </w:p>
    <w:p w14:paraId="633E0525" w14:textId="77777777" w:rsidR="00E83C79" w:rsidRPr="00134162" w:rsidRDefault="00E83C79"/>
    <w:sectPr w:rsidR="00E83C79" w:rsidRPr="00134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F23"/>
    <w:rsid w:val="00134162"/>
    <w:rsid w:val="00465DC0"/>
    <w:rsid w:val="00B13F23"/>
    <w:rsid w:val="00E8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97FF"/>
  <w15:chartTrackingRefBased/>
  <w15:docId w15:val="{176985C8-BE23-4065-B42D-90697A30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DC0"/>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5" ma:contentTypeDescription="Create a new document." ma:contentTypeScope="" ma:versionID="b60b33f84129c2516f7613825a6e52a9">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1b527697629b158eef29cebc5172a797"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5289989-F4D7-4619-B5C1-5789C764C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97298C-63BB-4A98-BB85-FA01E70FF1FF}">
  <ds:schemaRefs>
    <ds:schemaRef ds:uri="http://schemas.microsoft.com/sharepoint/v3/contenttype/forms"/>
  </ds:schemaRefs>
</ds:datastoreItem>
</file>

<file path=customXml/itemProps3.xml><?xml version="1.0" encoding="utf-8"?>
<ds:datastoreItem xmlns:ds="http://schemas.openxmlformats.org/officeDocument/2006/customXml" ds:itemID="{AD3A58C3-A051-41AA-BE0F-4A60C04A57BA}">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abb439bd-a363-4333-83d0-f95c527ffab9"/>
    <ds:schemaRef ds:uri="http://schemas.microsoft.com/office/2006/documentManagement/types"/>
    <ds:schemaRef ds:uri="1b97bfc6-b7f9-4f97-bda1-3491dbcf9c0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4061</Words>
  <Characters>23151</Characters>
  <Application>Microsoft Office Word</Application>
  <DocSecurity>0</DocSecurity>
  <Lines>192</Lines>
  <Paragraphs>54</Paragraphs>
  <ScaleCrop>false</ScaleCrop>
  <Company>Conwy County Borough Council</Company>
  <LinksUpToDate>false</LinksUpToDate>
  <CharactersWithSpaces>27158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Parry</dc:creator>
  <cp:keywords/>
  <dc:description/>
  <cp:lastModifiedBy>Rebecca Parry</cp:lastModifiedBy>
  <cp:revision>2</cp:revision>
  <dcterms:created xsi:type="dcterms:W3CDTF">2023-02-26T17:36:00Z</dcterms:created>
  <dcterms:modified xsi:type="dcterms:W3CDTF">2023-02-26T17:37:00Z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