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95455"/>
        <w:docPartObj>
          <w:docPartGallery w:val="Cover Pages"/>
          <w:docPartUnique/>
        </w:docPartObj>
      </w:sdtPr>
      <w:sdtEndPr>
        <w:rPr>
          <w:rFonts w:ascii="Arial" w:hAnsi="Arial" w:cs="Arial"/>
          <w:sz w:val="24"/>
          <w:szCs w:val="24"/>
        </w:rPr>
      </w:sdtEndPr>
      <w:sdtContent>
        <w:p w14:paraId="28CDF2FB" w14:textId="3918ACD8" w:rsidR="005B2730" w:rsidRDefault="005B2730">
          <w:r>
            <w:rPr>
              <w:noProof/>
            </w:rPr>
            <mc:AlternateContent>
              <mc:Choice Requires="wpg">
                <w:drawing>
                  <wp:anchor distT="0" distB="0" distL="114300" distR="114300" simplePos="0" relativeHeight="251659264" behindDoc="1" locked="0" layoutInCell="1" allowOverlap="1" wp14:anchorId="7FEF5E8C" wp14:editId="1D0B191F">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FEE9940" w14:textId="77777777" w:rsidR="005B2730" w:rsidRDefault="005B2730">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984784B" w14:textId="04668F89" w:rsidR="005B2730" w:rsidRDefault="005B2730">
                                      <w:pPr>
                                        <w:pStyle w:val="NoSpacing"/>
                                        <w:rPr>
                                          <w:rFonts w:asciiTheme="majorHAnsi" w:eastAsiaTheme="majorEastAsia" w:hAnsiTheme="majorHAnsi" w:cstheme="majorBidi"/>
                                          <w:caps/>
                                          <w:color w:val="FFFFFF" w:themeColor="background1"/>
                                          <w:sz w:val="64"/>
                                          <w:szCs w:val="64"/>
                                        </w:rPr>
                                      </w:pPr>
                                      <w:r w:rsidRPr="005B2730">
                                        <w:rPr>
                                          <w:rFonts w:asciiTheme="majorHAnsi" w:eastAsiaTheme="majorEastAsia" w:hAnsiTheme="majorHAnsi" w:cstheme="majorBidi"/>
                                          <w:caps/>
                                          <w:color w:val="FFFFFF" w:themeColor="background1"/>
                                          <w:sz w:val="64"/>
                                          <w:szCs w:val="64"/>
                                        </w:rPr>
                                        <w:t>limitations of how the Criminal Justice System responds to victims of crime</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A07A02C" w14:textId="045CAA56" w:rsidR="005B2730" w:rsidRDefault="005B2730">
                                      <w:pPr>
                                        <w:pStyle w:val="NoSpacing"/>
                                        <w:spacing w:before="120"/>
                                        <w:rPr>
                                          <w:color w:val="156082" w:themeColor="accent1"/>
                                          <w:sz w:val="36"/>
                                          <w:szCs w:val="36"/>
                                        </w:rPr>
                                      </w:pPr>
                                      <w:r>
                                        <w:rPr>
                                          <w:color w:val="156082" w:themeColor="accent1"/>
                                          <w:sz w:val="36"/>
                                          <w:szCs w:val="36"/>
                                        </w:rPr>
                                        <w:t>BMCP5007</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EF5E8C"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3FEE9940" w14:textId="77777777" w:rsidR="005B2730" w:rsidRDefault="005B2730">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984784B" w14:textId="04668F89" w:rsidR="005B2730" w:rsidRDefault="005B2730">
                                <w:pPr>
                                  <w:pStyle w:val="NoSpacing"/>
                                  <w:rPr>
                                    <w:rFonts w:asciiTheme="majorHAnsi" w:eastAsiaTheme="majorEastAsia" w:hAnsiTheme="majorHAnsi" w:cstheme="majorBidi"/>
                                    <w:caps/>
                                    <w:color w:val="FFFFFF" w:themeColor="background1"/>
                                    <w:sz w:val="64"/>
                                    <w:szCs w:val="64"/>
                                  </w:rPr>
                                </w:pPr>
                                <w:r w:rsidRPr="005B2730">
                                  <w:rPr>
                                    <w:rFonts w:asciiTheme="majorHAnsi" w:eastAsiaTheme="majorEastAsia" w:hAnsiTheme="majorHAnsi" w:cstheme="majorBidi"/>
                                    <w:caps/>
                                    <w:color w:val="FFFFFF" w:themeColor="background1"/>
                                    <w:sz w:val="64"/>
                                    <w:szCs w:val="64"/>
                                  </w:rPr>
                                  <w:t>limitations of how the Criminal Justice System responds to victims of crime</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A07A02C" w14:textId="045CAA56" w:rsidR="005B2730" w:rsidRDefault="005B2730">
                                <w:pPr>
                                  <w:pStyle w:val="NoSpacing"/>
                                  <w:spacing w:before="120"/>
                                  <w:rPr>
                                    <w:color w:val="156082" w:themeColor="accent1"/>
                                    <w:sz w:val="36"/>
                                    <w:szCs w:val="36"/>
                                  </w:rPr>
                                </w:pPr>
                                <w:r>
                                  <w:rPr>
                                    <w:color w:val="156082" w:themeColor="accent1"/>
                                    <w:sz w:val="36"/>
                                    <w:szCs w:val="36"/>
                                  </w:rPr>
                                  <w:t>BMCP5007</w:t>
                                </w:r>
                              </w:p>
                            </w:sdtContent>
                          </w:sdt>
                        </w:txbxContent>
                      </v:textbox>
                    </v:shape>
                    <w10:wrap anchorx="page" anchory="page"/>
                  </v:group>
                </w:pict>
              </mc:Fallback>
            </mc:AlternateContent>
          </w:r>
        </w:p>
        <w:p w14:paraId="23B49271" w14:textId="2CC559E6" w:rsidR="005B2730" w:rsidRDefault="005B2730">
          <w:pPr>
            <w:rPr>
              <w:rFonts w:ascii="Arial" w:hAnsi="Arial" w:cs="Arial"/>
              <w:sz w:val="24"/>
              <w:szCs w:val="24"/>
            </w:rPr>
          </w:pPr>
          <w:r>
            <w:rPr>
              <w:rFonts w:ascii="Arial" w:hAnsi="Arial" w:cs="Arial"/>
              <w:sz w:val="24"/>
              <w:szCs w:val="24"/>
            </w:rPr>
            <w:br w:type="page"/>
          </w:r>
        </w:p>
      </w:sdtContent>
    </w:sdt>
    <w:p w14:paraId="5434C0D0" w14:textId="5ECE074C" w:rsidR="00877802" w:rsidRDefault="005B2730" w:rsidP="00AD50D9">
      <w:pPr>
        <w:rPr>
          <w:rFonts w:ascii="Arial" w:hAnsi="Arial" w:cs="Arial"/>
          <w:sz w:val="24"/>
          <w:szCs w:val="24"/>
        </w:rPr>
      </w:pPr>
      <w:r>
        <w:rPr>
          <w:rFonts w:ascii="Arial" w:hAnsi="Arial" w:cs="Arial"/>
          <w:sz w:val="24"/>
          <w:szCs w:val="24"/>
        </w:rPr>
        <w:lastRenderedPageBreak/>
        <w:t xml:space="preserve"> </w:t>
      </w:r>
      <w:r w:rsidR="00B42D77">
        <w:rPr>
          <w:rFonts w:ascii="Arial" w:hAnsi="Arial" w:cs="Arial"/>
          <w:sz w:val="24"/>
          <w:szCs w:val="24"/>
        </w:rPr>
        <w:t>The</w:t>
      </w:r>
      <w:r w:rsidR="00B052C0">
        <w:rPr>
          <w:rFonts w:ascii="Arial" w:hAnsi="Arial" w:cs="Arial"/>
          <w:sz w:val="24"/>
          <w:szCs w:val="24"/>
        </w:rPr>
        <w:t xml:space="preserve"> </w:t>
      </w:r>
      <w:r w:rsidR="001840B8">
        <w:rPr>
          <w:rFonts w:ascii="Arial" w:hAnsi="Arial" w:cs="Arial"/>
          <w:sz w:val="24"/>
          <w:szCs w:val="24"/>
        </w:rPr>
        <w:t>criminal justice system</w:t>
      </w:r>
      <w:r w:rsidR="00320B7A">
        <w:rPr>
          <w:rFonts w:ascii="Arial" w:hAnsi="Arial" w:cs="Arial"/>
          <w:sz w:val="24"/>
          <w:szCs w:val="24"/>
        </w:rPr>
        <w:t xml:space="preserve">’s </w:t>
      </w:r>
      <w:r w:rsidR="001840B8">
        <w:rPr>
          <w:rFonts w:ascii="Arial" w:hAnsi="Arial" w:cs="Arial"/>
          <w:sz w:val="24"/>
          <w:szCs w:val="24"/>
        </w:rPr>
        <w:t xml:space="preserve">treatment of victims who suffered </w:t>
      </w:r>
      <w:r w:rsidR="00554944">
        <w:rPr>
          <w:rFonts w:ascii="Arial" w:hAnsi="Arial" w:cs="Arial"/>
          <w:sz w:val="24"/>
          <w:szCs w:val="24"/>
        </w:rPr>
        <w:t xml:space="preserve">from </w:t>
      </w:r>
      <w:r w:rsidR="001840B8">
        <w:rPr>
          <w:rFonts w:ascii="Arial" w:hAnsi="Arial" w:cs="Arial"/>
          <w:sz w:val="24"/>
          <w:szCs w:val="24"/>
        </w:rPr>
        <w:t xml:space="preserve">crime can be analysed </w:t>
      </w:r>
      <w:r w:rsidR="00365C28">
        <w:rPr>
          <w:rFonts w:ascii="Arial" w:hAnsi="Arial" w:cs="Arial"/>
          <w:sz w:val="24"/>
          <w:szCs w:val="24"/>
        </w:rPr>
        <w:t xml:space="preserve">through the implementations of policies by the </w:t>
      </w:r>
      <w:r w:rsidR="00554944">
        <w:rPr>
          <w:rFonts w:ascii="Arial" w:hAnsi="Arial" w:cs="Arial"/>
          <w:sz w:val="24"/>
          <w:szCs w:val="24"/>
        </w:rPr>
        <w:t xml:space="preserve">government </w:t>
      </w:r>
      <w:r w:rsidR="00365C28">
        <w:rPr>
          <w:rFonts w:ascii="Arial" w:hAnsi="Arial" w:cs="Arial"/>
          <w:sz w:val="24"/>
          <w:szCs w:val="24"/>
        </w:rPr>
        <w:t xml:space="preserve">from which has been reported to have forms of limitations when it comes to supporting and caring for those that have been victimised by </w:t>
      </w:r>
      <w:r w:rsidR="00AD50D9">
        <w:rPr>
          <w:rFonts w:ascii="Arial" w:hAnsi="Arial" w:cs="Arial"/>
          <w:sz w:val="24"/>
          <w:szCs w:val="24"/>
        </w:rPr>
        <w:t xml:space="preserve">a </w:t>
      </w:r>
      <w:r w:rsidR="00365C28">
        <w:rPr>
          <w:rFonts w:ascii="Arial" w:hAnsi="Arial" w:cs="Arial"/>
          <w:sz w:val="24"/>
          <w:szCs w:val="24"/>
        </w:rPr>
        <w:t>person, group, or entity.</w:t>
      </w:r>
      <w:r w:rsidR="006959B3">
        <w:rPr>
          <w:rFonts w:ascii="Arial" w:hAnsi="Arial" w:cs="Arial"/>
          <w:sz w:val="24"/>
          <w:szCs w:val="24"/>
        </w:rPr>
        <w:t xml:space="preserve"> </w:t>
      </w:r>
      <w:r w:rsidR="00AD50D9">
        <w:rPr>
          <w:rFonts w:ascii="Arial" w:hAnsi="Arial" w:cs="Arial"/>
          <w:sz w:val="24"/>
          <w:szCs w:val="24"/>
        </w:rPr>
        <w:t xml:space="preserve">A victim according to the Crown Prosecution service (2025) </w:t>
      </w:r>
      <w:r w:rsidR="00532509">
        <w:rPr>
          <w:rFonts w:ascii="Arial" w:hAnsi="Arial" w:cs="Arial"/>
          <w:sz w:val="24"/>
          <w:szCs w:val="24"/>
        </w:rPr>
        <w:t xml:space="preserve">classifies </w:t>
      </w:r>
      <w:r w:rsidR="00AD50D9">
        <w:rPr>
          <w:rFonts w:ascii="Arial" w:hAnsi="Arial" w:cs="Arial"/>
          <w:sz w:val="24"/>
          <w:szCs w:val="24"/>
        </w:rPr>
        <w:t>a</w:t>
      </w:r>
      <w:r w:rsidR="00A57C49">
        <w:rPr>
          <w:rFonts w:ascii="Arial" w:hAnsi="Arial" w:cs="Arial"/>
          <w:sz w:val="24"/>
          <w:szCs w:val="24"/>
        </w:rPr>
        <w:t xml:space="preserve">s </w:t>
      </w:r>
      <w:r w:rsidR="00AD50D9">
        <w:rPr>
          <w:rFonts w:ascii="Arial" w:hAnsi="Arial" w:cs="Arial"/>
          <w:sz w:val="24"/>
          <w:szCs w:val="24"/>
        </w:rPr>
        <w:t xml:space="preserve">someone who has had a crime committed against them by a defendant </w:t>
      </w:r>
      <w:r w:rsidR="00C748B2">
        <w:rPr>
          <w:rFonts w:ascii="Arial" w:hAnsi="Arial" w:cs="Arial"/>
          <w:sz w:val="24"/>
          <w:szCs w:val="24"/>
        </w:rPr>
        <w:t xml:space="preserve">however their terminology may differ depending on what the case is for example in some cases the term complainant might be used instead </w:t>
      </w:r>
      <w:proofErr w:type="gramStart"/>
      <w:r w:rsidR="00C748B2">
        <w:rPr>
          <w:rFonts w:ascii="Arial" w:hAnsi="Arial" w:cs="Arial"/>
          <w:sz w:val="24"/>
          <w:szCs w:val="24"/>
        </w:rPr>
        <w:t>due to the fact that</w:t>
      </w:r>
      <w:proofErr w:type="gramEnd"/>
      <w:r w:rsidR="00C748B2">
        <w:rPr>
          <w:rFonts w:ascii="Arial" w:hAnsi="Arial" w:cs="Arial"/>
          <w:sz w:val="24"/>
          <w:szCs w:val="24"/>
        </w:rPr>
        <w:t xml:space="preserve"> charges against a defendant is not proven until a court verdict. </w:t>
      </w:r>
      <w:proofErr w:type="gramStart"/>
      <w:r w:rsidR="00C748B2">
        <w:rPr>
          <w:rFonts w:ascii="Arial" w:hAnsi="Arial" w:cs="Arial"/>
          <w:sz w:val="24"/>
          <w:szCs w:val="24"/>
        </w:rPr>
        <w:t>With that being said, there</w:t>
      </w:r>
      <w:proofErr w:type="gramEnd"/>
      <w:r w:rsidR="00C748B2">
        <w:rPr>
          <w:rFonts w:ascii="Arial" w:hAnsi="Arial" w:cs="Arial"/>
          <w:sz w:val="24"/>
          <w:szCs w:val="24"/>
        </w:rPr>
        <w:t xml:space="preserve"> has been scrutiny against the criminal justice system and </w:t>
      </w:r>
      <w:r w:rsidR="0086797C">
        <w:rPr>
          <w:rFonts w:ascii="Arial" w:hAnsi="Arial" w:cs="Arial"/>
          <w:sz w:val="24"/>
          <w:szCs w:val="24"/>
        </w:rPr>
        <w:t>its</w:t>
      </w:r>
      <w:r w:rsidR="00C748B2">
        <w:rPr>
          <w:rFonts w:ascii="Arial" w:hAnsi="Arial" w:cs="Arial"/>
          <w:sz w:val="24"/>
          <w:szCs w:val="24"/>
        </w:rPr>
        <w:t xml:space="preserve"> limitations in relation to supporting </w:t>
      </w:r>
      <w:r w:rsidR="0086797C">
        <w:rPr>
          <w:rFonts w:ascii="Arial" w:hAnsi="Arial" w:cs="Arial"/>
          <w:sz w:val="24"/>
          <w:szCs w:val="24"/>
        </w:rPr>
        <w:t>‘</w:t>
      </w:r>
      <w:r w:rsidR="00C748B2">
        <w:rPr>
          <w:rFonts w:ascii="Arial" w:hAnsi="Arial" w:cs="Arial"/>
          <w:sz w:val="24"/>
          <w:szCs w:val="24"/>
        </w:rPr>
        <w:t>vulnerable victim</w:t>
      </w:r>
      <w:r w:rsidR="0086797C">
        <w:rPr>
          <w:rFonts w:ascii="Arial" w:hAnsi="Arial" w:cs="Arial"/>
          <w:sz w:val="24"/>
          <w:szCs w:val="24"/>
        </w:rPr>
        <w:t xml:space="preserve">s’ to quickly define, a vulnerable victim is a person that could have less means to protect themselves from </w:t>
      </w:r>
      <w:r w:rsidR="00370488">
        <w:rPr>
          <w:rFonts w:ascii="Arial" w:hAnsi="Arial" w:cs="Arial"/>
          <w:sz w:val="24"/>
          <w:szCs w:val="24"/>
        </w:rPr>
        <w:t xml:space="preserve">exploitation and are at a greater chance being victimised by crime compared to others. According to the </w:t>
      </w:r>
      <w:r w:rsidR="00370488" w:rsidRPr="00370488">
        <w:rPr>
          <w:rFonts w:ascii="Arial" w:hAnsi="Arial" w:cs="Arial"/>
          <w:sz w:val="24"/>
          <w:szCs w:val="24"/>
        </w:rPr>
        <w:t xml:space="preserve">Crown Office and Procurator Fiscal Service </w:t>
      </w:r>
      <w:r w:rsidR="00370488">
        <w:rPr>
          <w:rFonts w:ascii="Arial" w:hAnsi="Arial" w:cs="Arial"/>
          <w:sz w:val="24"/>
          <w:szCs w:val="24"/>
        </w:rPr>
        <w:t>(</w:t>
      </w:r>
      <w:r w:rsidR="00370488" w:rsidRPr="00370488">
        <w:rPr>
          <w:rFonts w:ascii="Arial" w:hAnsi="Arial" w:cs="Arial"/>
          <w:sz w:val="24"/>
          <w:szCs w:val="24"/>
        </w:rPr>
        <w:t>2024</w:t>
      </w:r>
      <w:r w:rsidR="00370488">
        <w:rPr>
          <w:rFonts w:ascii="Arial" w:hAnsi="Arial" w:cs="Arial"/>
          <w:sz w:val="24"/>
          <w:szCs w:val="24"/>
        </w:rPr>
        <w:t>) their definition of what characteristics</w:t>
      </w:r>
      <w:r w:rsidR="00536447">
        <w:rPr>
          <w:rFonts w:ascii="Arial" w:hAnsi="Arial" w:cs="Arial"/>
          <w:sz w:val="24"/>
          <w:szCs w:val="24"/>
        </w:rPr>
        <w:t xml:space="preserve"> a</w:t>
      </w:r>
      <w:r w:rsidR="00370488">
        <w:rPr>
          <w:rFonts w:ascii="Arial" w:hAnsi="Arial" w:cs="Arial"/>
          <w:sz w:val="24"/>
          <w:szCs w:val="24"/>
        </w:rPr>
        <w:t xml:space="preserve"> vulnerable victim</w:t>
      </w:r>
      <w:r w:rsidR="005D3484">
        <w:rPr>
          <w:rFonts w:ascii="Arial" w:hAnsi="Arial" w:cs="Arial"/>
          <w:sz w:val="24"/>
          <w:szCs w:val="24"/>
        </w:rPr>
        <w:t xml:space="preserve"> or witness</w:t>
      </w:r>
      <w:r w:rsidR="00370488">
        <w:rPr>
          <w:rFonts w:ascii="Arial" w:hAnsi="Arial" w:cs="Arial"/>
          <w:sz w:val="24"/>
          <w:szCs w:val="24"/>
        </w:rPr>
        <w:t xml:space="preserve"> could have can range from “</w:t>
      </w:r>
      <w:r w:rsidR="005D3484" w:rsidRPr="005D3484">
        <w:rPr>
          <w:rFonts w:ascii="Arial" w:hAnsi="Arial" w:cs="Arial"/>
          <w:sz w:val="24"/>
          <w:szCs w:val="24"/>
        </w:rPr>
        <w:t>those under 18 years of age</w:t>
      </w:r>
      <w:r w:rsidR="005D3484">
        <w:rPr>
          <w:rFonts w:ascii="Arial" w:hAnsi="Arial" w:cs="Arial"/>
          <w:sz w:val="24"/>
          <w:szCs w:val="24"/>
        </w:rPr>
        <w:t>” to “</w:t>
      </w:r>
      <w:r w:rsidR="005D3484" w:rsidRPr="005D3484">
        <w:rPr>
          <w:rFonts w:ascii="Arial" w:hAnsi="Arial" w:cs="Arial"/>
          <w:sz w:val="24"/>
          <w:szCs w:val="24"/>
        </w:rPr>
        <w:t>those with a mental disorder or learning difficulties</w:t>
      </w:r>
      <w:r w:rsidR="005D3484">
        <w:rPr>
          <w:rFonts w:ascii="Arial" w:hAnsi="Arial" w:cs="Arial"/>
          <w:sz w:val="24"/>
          <w:szCs w:val="24"/>
        </w:rPr>
        <w:t xml:space="preserve">.” And may require additional support or measures to keep them safe from future harm for example law enforcement and prosecution agencies in England and Wales may </w:t>
      </w:r>
      <w:r w:rsidR="00536447">
        <w:rPr>
          <w:rFonts w:ascii="Arial" w:hAnsi="Arial" w:cs="Arial"/>
          <w:sz w:val="24"/>
          <w:szCs w:val="24"/>
        </w:rPr>
        <w:t xml:space="preserve">give </w:t>
      </w:r>
      <w:r w:rsidR="005D3484">
        <w:rPr>
          <w:rFonts w:ascii="Arial" w:hAnsi="Arial" w:cs="Arial"/>
          <w:sz w:val="24"/>
          <w:szCs w:val="24"/>
        </w:rPr>
        <w:t xml:space="preserve">domestic violence </w:t>
      </w:r>
      <w:r w:rsidR="00F721D0">
        <w:rPr>
          <w:rFonts w:ascii="Arial" w:hAnsi="Arial" w:cs="Arial"/>
          <w:sz w:val="24"/>
          <w:szCs w:val="24"/>
        </w:rPr>
        <w:t>victims’</w:t>
      </w:r>
      <w:r w:rsidR="00536447">
        <w:rPr>
          <w:rFonts w:ascii="Arial" w:hAnsi="Arial" w:cs="Arial"/>
          <w:sz w:val="24"/>
          <w:szCs w:val="24"/>
        </w:rPr>
        <w:t xml:space="preserve"> additional</w:t>
      </w:r>
      <w:r w:rsidR="005D3484">
        <w:rPr>
          <w:rFonts w:ascii="Arial" w:hAnsi="Arial" w:cs="Arial"/>
          <w:sz w:val="24"/>
          <w:szCs w:val="24"/>
        </w:rPr>
        <w:t xml:space="preserve"> assistance when</w:t>
      </w:r>
      <w:r w:rsidR="00536447">
        <w:rPr>
          <w:rFonts w:ascii="Arial" w:hAnsi="Arial" w:cs="Arial"/>
          <w:sz w:val="24"/>
          <w:szCs w:val="24"/>
        </w:rPr>
        <w:t xml:space="preserve"> he/she is</w:t>
      </w:r>
      <w:r w:rsidR="005D3484">
        <w:rPr>
          <w:rFonts w:ascii="Arial" w:hAnsi="Arial" w:cs="Arial"/>
          <w:sz w:val="24"/>
          <w:szCs w:val="24"/>
        </w:rPr>
        <w:t xml:space="preserve"> giving evidence during criminal proceedings (</w:t>
      </w:r>
      <w:r w:rsidR="00F721D0">
        <w:rPr>
          <w:rFonts w:ascii="Arial" w:hAnsi="Arial" w:cs="Arial"/>
          <w:sz w:val="24"/>
          <w:szCs w:val="24"/>
        </w:rPr>
        <w:t xml:space="preserve">Home Office, 2024). </w:t>
      </w:r>
    </w:p>
    <w:p w14:paraId="25502D9A" w14:textId="77777777" w:rsidR="00F41CA6" w:rsidRDefault="00F721D0" w:rsidP="00AD50D9">
      <w:pPr>
        <w:rPr>
          <w:rFonts w:ascii="Arial" w:hAnsi="Arial" w:cs="Arial"/>
          <w:sz w:val="24"/>
          <w:szCs w:val="24"/>
        </w:rPr>
      </w:pPr>
      <w:r>
        <w:rPr>
          <w:rFonts w:ascii="Arial" w:hAnsi="Arial" w:cs="Arial"/>
          <w:sz w:val="24"/>
          <w:szCs w:val="24"/>
        </w:rPr>
        <w:br/>
        <w:t xml:space="preserve">The criticism </w:t>
      </w:r>
      <w:r>
        <w:rPr>
          <w:rFonts w:ascii="Arial" w:hAnsi="Arial" w:cs="Arial"/>
          <w:sz w:val="24"/>
          <w:szCs w:val="24"/>
        </w:rPr>
        <w:tab/>
        <w:t xml:space="preserve">against the justice system in relation to helping vulnerable victims can be looked at by several different parts of analysis. One key criticism against the justice system </w:t>
      </w:r>
      <w:r w:rsidR="00877802">
        <w:rPr>
          <w:rFonts w:ascii="Arial" w:hAnsi="Arial" w:cs="Arial"/>
          <w:sz w:val="24"/>
          <w:szCs w:val="24"/>
        </w:rPr>
        <w:t>is the “adversarial nature” (</w:t>
      </w:r>
      <w:r w:rsidR="003F1E3A" w:rsidRPr="003F1E3A">
        <w:rPr>
          <w:rFonts w:ascii="Arial" w:hAnsi="Arial" w:cs="Arial"/>
          <w:sz w:val="24"/>
          <w:szCs w:val="24"/>
        </w:rPr>
        <w:t>Killean, 2021</w:t>
      </w:r>
      <w:r w:rsidR="0097291A">
        <w:rPr>
          <w:rFonts w:ascii="Arial" w:hAnsi="Arial" w:cs="Arial"/>
          <w:sz w:val="24"/>
          <w:szCs w:val="24"/>
        </w:rPr>
        <w:t xml:space="preserve">, </w:t>
      </w:r>
      <w:r w:rsidR="00320B7A">
        <w:rPr>
          <w:rFonts w:ascii="Arial" w:hAnsi="Arial" w:cs="Arial"/>
          <w:sz w:val="24"/>
          <w:szCs w:val="24"/>
        </w:rPr>
        <w:t>p</w:t>
      </w:r>
      <w:r w:rsidR="008D7003">
        <w:rPr>
          <w:rFonts w:ascii="Arial" w:hAnsi="Arial" w:cs="Arial"/>
          <w:sz w:val="24"/>
          <w:szCs w:val="24"/>
        </w:rPr>
        <w:t>.59</w:t>
      </w:r>
      <w:r w:rsidR="003F1E3A" w:rsidRPr="003F1E3A">
        <w:rPr>
          <w:rFonts w:ascii="Arial" w:hAnsi="Arial" w:cs="Arial"/>
          <w:sz w:val="24"/>
          <w:szCs w:val="24"/>
        </w:rPr>
        <w:t>)</w:t>
      </w:r>
      <w:r w:rsidR="00093BAF">
        <w:rPr>
          <w:rFonts w:ascii="Arial" w:hAnsi="Arial" w:cs="Arial"/>
          <w:sz w:val="24"/>
          <w:szCs w:val="24"/>
        </w:rPr>
        <w:t xml:space="preserve"> </w:t>
      </w:r>
      <w:r w:rsidR="003F1E3A">
        <w:rPr>
          <w:rFonts w:ascii="Arial" w:hAnsi="Arial" w:cs="Arial"/>
          <w:sz w:val="24"/>
          <w:szCs w:val="24"/>
        </w:rPr>
        <w:t xml:space="preserve">in the courtroom between the Crown Prosecution Service (sometimes the police) and the defence representatives of the defendant where allegations of prosecutors </w:t>
      </w:r>
      <w:r w:rsidR="003F1E3A" w:rsidRPr="003F1E3A">
        <w:rPr>
          <w:rFonts w:ascii="Arial" w:hAnsi="Arial" w:cs="Arial"/>
          <w:sz w:val="24"/>
          <w:szCs w:val="24"/>
        </w:rPr>
        <w:t xml:space="preserve">prioritising </w:t>
      </w:r>
      <w:r w:rsidR="003F1E3A">
        <w:rPr>
          <w:rFonts w:ascii="Arial" w:hAnsi="Arial" w:cs="Arial"/>
          <w:sz w:val="24"/>
          <w:szCs w:val="24"/>
        </w:rPr>
        <w:lastRenderedPageBreak/>
        <w:t>statistical victories instead of aligning with the victim’s personal interests which at times can make victims feel sidelined</w:t>
      </w:r>
      <w:r w:rsidR="0097291A">
        <w:rPr>
          <w:rFonts w:ascii="Arial" w:hAnsi="Arial" w:cs="Arial"/>
          <w:sz w:val="24"/>
          <w:szCs w:val="24"/>
        </w:rPr>
        <w:t xml:space="preserve"> </w:t>
      </w:r>
      <w:r w:rsidR="00872761">
        <w:rPr>
          <w:rFonts w:ascii="Arial" w:hAnsi="Arial" w:cs="Arial"/>
          <w:sz w:val="24"/>
          <w:szCs w:val="24"/>
        </w:rPr>
        <w:t>(</w:t>
      </w:r>
      <w:r w:rsidR="00872761" w:rsidRPr="00872761">
        <w:rPr>
          <w:rFonts w:ascii="Arial" w:hAnsi="Arial" w:cs="Arial"/>
          <w:sz w:val="24"/>
          <w:szCs w:val="24"/>
        </w:rPr>
        <w:t>Rossetti</w:t>
      </w:r>
      <w:r w:rsidR="00872761">
        <w:rPr>
          <w:rFonts w:ascii="Arial" w:hAnsi="Arial" w:cs="Arial"/>
          <w:sz w:val="24"/>
          <w:szCs w:val="24"/>
        </w:rPr>
        <w:t xml:space="preserve">, et, al. 2017) </w:t>
      </w:r>
      <w:r w:rsidR="00536447">
        <w:rPr>
          <w:rFonts w:ascii="Arial" w:hAnsi="Arial" w:cs="Arial"/>
          <w:sz w:val="24"/>
          <w:szCs w:val="24"/>
        </w:rPr>
        <w:t xml:space="preserve">in their attempt to gain personal justice, this is further enforced by the fact that victims don’t have any legal standing in court and cannot self-represent in a criminal court which again could make victims or victim witnesses feel that there’s no party representing their </w:t>
      </w:r>
      <w:r w:rsidR="004E5236">
        <w:rPr>
          <w:rFonts w:ascii="Arial" w:hAnsi="Arial" w:cs="Arial"/>
          <w:sz w:val="24"/>
          <w:szCs w:val="24"/>
        </w:rPr>
        <w:t>case. Furthermore, there’s additional issues where special measures for vulnerable victim</w:t>
      </w:r>
      <w:r w:rsidR="007B227C">
        <w:rPr>
          <w:rFonts w:ascii="Arial" w:hAnsi="Arial" w:cs="Arial"/>
          <w:sz w:val="24"/>
          <w:szCs w:val="24"/>
        </w:rPr>
        <w:t xml:space="preserve">s or witnesses aren’t properly addressed or implemented for example according to </w:t>
      </w:r>
      <w:r w:rsidR="0064275B">
        <w:rPr>
          <w:rFonts w:ascii="Arial" w:hAnsi="Arial" w:cs="Arial"/>
          <w:sz w:val="24"/>
          <w:szCs w:val="24"/>
        </w:rPr>
        <w:t xml:space="preserve">Charles (2012) in her report for the CPS she highlighted that those victims/witnesses are not always identified and in the cases that they are acknowledged as vulnerable the Prosecution don’t always discuss the matter on time. It should be noted that it is essential for special measures to be made for victims as </w:t>
      </w:r>
      <w:r w:rsidR="00A67270">
        <w:rPr>
          <w:rFonts w:ascii="Arial" w:hAnsi="Arial" w:cs="Arial"/>
          <w:sz w:val="24"/>
          <w:szCs w:val="24"/>
        </w:rPr>
        <w:t>a</w:t>
      </w:r>
      <w:r w:rsidR="0064275B">
        <w:rPr>
          <w:rFonts w:ascii="Arial" w:hAnsi="Arial" w:cs="Arial"/>
          <w:sz w:val="24"/>
          <w:szCs w:val="24"/>
        </w:rPr>
        <w:t xml:space="preserve"> little support from the courts themselves and additional protection can make a victim or witness feel </w:t>
      </w:r>
      <w:r w:rsidR="00A67270">
        <w:rPr>
          <w:rFonts w:ascii="Arial" w:hAnsi="Arial" w:cs="Arial"/>
          <w:sz w:val="24"/>
          <w:szCs w:val="24"/>
        </w:rPr>
        <w:t xml:space="preserve">safer. Options such as attending by a video link, so he/she doesn’t have to physically attend court or getting specialist help is available </w:t>
      </w:r>
      <w:r w:rsidR="00A67270" w:rsidRPr="00A67270">
        <w:rPr>
          <w:rFonts w:ascii="Arial" w:hAnsi="Arial" w:cs="Arial"/>
          <w:sz w:val="24"/>
          <w:szCs w:val="24"/>
        </w:rPr>
        <w:t>(Victim and Witness Information, 2025)</w:t>
      </w:r>
      <w:r w:rsidR="00A67270">
        <w:rPr>
          <w:rFonts w:ascii="Arial" w:hAnsi="Arial" w:cs="Arial"/>
          <w:sz w:val="24"/>
          <w:szCs w:val="24"/>
        </w:rPr>
        <w:t xml:space="preserve"> however as previously mentioned there have been limitations and </w:t>
      </w:r>
      <w:r w:rsidR="008D3AAF">
        <w:rPr>
          <w:rFonts w:ascii="Arial" w:hAnsi="Arial" w:cs="Arial"/>
          <w:sz w:val="24"/>
          <w:szCs w:val="24"/>
        </w:rPr>
        <w:t>setbacks</w:t>
      </w:r>
      <w:r w:rsidR="00A67270">
        <w:rPr>
          <w:rFonts w:ascii="Arial" w:hAnsi="Arial" w:cs="Arial"/>
          <w:sz w:val="24"/>
          <w:szCs w:val="24"/>
        </w:rPr>
        <w:t xml:space="preserve"> where not everyone is properly identified from the criminal justice system (more specifically the prosecutors).  </w:t>
      </w:r>
      <w:r w:rsidR="008D3AAF">
        <w:rPr>
          <w:rFonts w:ascii="Arial" w:hAnsi="Arial" w:cs="Arial"/>
          <w:sz w:val="24"/>
          <w:szCs w:val="24"/>
        </w:rPr>
        <w:br/>
      </w:r>
      <w:r w:rsidR="008D3AAF">
        <w:rPr>
          <w:rFonts w:ascii="Arial" w:hAnsi="Arial" w:cs="Arial"/>
          <w:sz w:val="24"/>
          <w:szCs w:val="24"/>
        </w:rPr>
        <w:br/>
      </w:r>
      <w:r w:rsidR="00746262">
        <w:rPr>
          <w:rFonts w:ascii="Arial" w:hAnsi="Arial" w:cs="Arial"/>
          <w:sz w:val="24"/>
          <w:szCs w:val="24"/>
        </w:rPr>
        <w:t xml:space="preserve">Additionally, according to </w:t>
      </w:r>
      <w:r w:rsidR="00746262" w:rsidRPr="00746262">
        <w:rPr>
          <w:rFonts w:ascii="Arial" w:hAnsi="Arial" w:cs="Arial"/>
          <w:sz w:val="24"/>
          <w:szCs w:val="24"/>
        </w:rPr>
        <w:t>Murray, et al.</w:t>
      </w:r>
      <w:r w:rsidR="00746262">
        <w:rPr>
          <w:rFonts w:ascii="Arial" w:hAnsi="Arial" w:cs="Arial"/>
          <w:sz w:val="24"/>
          <w:szCs w:val="24"/>
        </w:rPr>
        <w:t xml:space="preserve"> (</w:t>
      </w:r>
      <w:r w:rsidR="00746262" w:rsidRPr="00746262">
        <w:rPr>
          <w:rFonts w:ascii="Arial" w:hAnsi="Arial" w:cs="Arial"/>
          <w:sz w:val="24"/>
          <w:szCs w:val="24"/>
        </w:rPr>
        <w:t>2023</w:t>
      </w:r>
      <w:r w:rsidR="0097291A">
        <w:rPr>
          <w:rFonts w:ascii="Arial" w:hAnsi="Arial" w:cs="Arial"/>
          <w:sz w:val="24"/>
          <w:szCs w:val="24"/>
        </w:rPr>
        <w:t>, p</w:t>
      </w:r>
      <w:r w:rsidR="00595695">
        <w:rPr>
          <w:rFonts w:ascii="Arial" w:hAnsi="Arial" w:cs="Arial"/>
          <w:sz w:val="24"/>
          <w:szCs w:val="24"/>
        </w:rPr>
        <w:t>.</w:t>
      </w:r>
      <w:r w:rsidR="0097291A">
        <w:rPr>
          <w:rFonts w:ascii="Arial" w:hAnsi="Arial" w:cs="Arial"/>
          <w:sz w:val="24"/>
          <w:szCs w:val="24"/>
        </w:rPr>
        <w:t>26</w:t>
      </w:r>
      <w:r w:rsidR="00746262" w:rsidRPr="00746262">
        <w:rPr>
          <w:rFonts w:ascii="Arial" w:hAnsi="Arial" w:cs="Arial"/>
          <w:sz w:val="24"/>
          <w:szCs w:val="24"/>
        </w:rPr>
        <w:t>)</w:t>
      </w:r>
      <w:r w:rsidR="00746262">
        <w:rPr>
          <w:rFonts w:ascii="Arial" w:hAnsi="Arial" w:cs="Arial"/>
          <w:sz w:val="24"/>
          <w:szCs w:val="24"/>
        </w:rPr>
        <w:t xml:space="preserve"> victims have felt low confidence in the justice system and had issues when it came to the slow progresses of their cases in the courts and the total lack of communication from the courthouses and the crown prosecution service</w:t>
      </w:r>
      <w:r w:rsidR="00B473C0">
        <w:rPr>
          <w:rFonts w:ascii="Arial" w:hAnsi="Arial" w:cs="Arial"/>
          <w:sz w:val="24"/>
          <w:szCs w:val="24"/>
        </w:rPr>
        <w:t xml:space="preserve"> with many of them unsurprisingly feeling “</w:t>
      </w:r>
      <w:r w:rsidR="00B473C0" w:rsidRPr="00B473C0">
        <w:rPr>
          <w:rFonts w:ascii="Arial" w:hAnsi="Arial" w:cs="Arial"/>
          <w:sz w:val="24"/>
          <w:szCs w:val="24"/>
        </w:rPr>
        <w:t>unsupported by the system</w:t>
      </w:r>
      <w:r w:rsidR="00B473C0">
        <w:rPr>
          <w:rFonts w:ascii="Arial" w:hAnsi="Arial" w:cs="Arial"/>
          <w:sz w:val="24"/>
          <w:szCs w:val="24"/>
        </w:rPr>
        <w:t xml:space="preserve">.” With additional frustrations being built upon poor judicial outcomes. The report also states that the negative experiences with the CPS and the courthouses may cause victims reluctant to engage with any future investigations or cases which </w:t>
      </w:r>
      <w:r w:rsidR="00B473C0">
        <w:rPr>
          <w:rFonts w:ascii="Arial" w:hAnsi="Arial" w:cs="Arial"/>
          <w:sz w:val="24"/>
          <w:szCs w:val="24"/>
        </w:rPr>
        <w:lastRenderedPageBreak/>
        <w:t xml:space="preserve">can be damaging for law enforcement and prosecution agencies trying to build cases. </w:t>
      </w:r>
      <w:r w:rsidR="001C0D4B">
        <w:rPr>
          <w:rFonts w:ascii="Arial" w:hAnsi="Arial" w:cs="Arial"/>
          <w:sz w:val="24"/>
          <w:szCs w:val="24"/>
        </w:rPr>
        <w:t>Furthermore,</w:t>
      </w:r>
      <w:r w:rsidR="00B473C0">
        <w:rPr>
          <w:rFonts w:ascii="Arial" w:hAnsi="Arial" w:cs="Arial"/>
          <w:sz w:val="24"/>
          <w:szCs w:val="24"/>
        </w:rPr>
        <w:t xml:space="preserve"> challenges in the CJS </w:t>
      </w:r>
      <w:r w:rsidR="001C0D4B">
        <w:rPr>
          <w:rFonts w:ascii="Arial" w:hAnsi="Arial" w:cs="Arial"/>
          <w:sz w:val="24"/>
          <w:szCs w:val="24"/>
        </w:rPr>
        <w:t>can also be observed on how victim services may be influenced by discriminatory barriers (</w:t>
      </w:r>
      <w:r w:rsidR="001C0D4B" w:rsidRPr="001C0D4B">
        <w:rPr>
          <w:rFonts w:ascii="Arial" w:hAnsi="Arial" w:cs="Arial"/>
          <w:sz w:val="24"/>
          <w:szCs w:val="24"/>
        </w:rPr>
        <w:t>Harris &amp; Hodges, 2019)</w:t>
      </w:r>
      <w:r w:rsidR="001C0D4B">
        <w:rPr>
          <w:rFonts w:ascii="Arial" w:hAnsi="Arial" w:cs="Arial"/>
          <w:sz w:val="24"/>
          <w:szCs w:val="24"/>
        </w:rPr>
        <w:t xml:space="preserve"> as well as being affected by substance misuse along with emotional traumas that need to be addressed by professionals.</w:t>
      </w:r>
      <w:r w:rsidR="007B5C7C">
        <w:rPr>
          <w:rFonts w:ascii="Arial" w:hAnsi="Arial" w:cs="Arial"/>
          <w:sz w:val="24"/>
          <w:szCs w:val="24"/>
        </w:rPr>
        <w:br/>
      </w:r>
      <w:r w:rsidR="007B5C7C">
        <w:rPr>
          <w:rFonts w:ascii="Arial" w:hAnsi="Arial" w:cs="Arial"/>
          <w:sz w:val="24"/>
          <w:szCs w:val="24"/>
        </w:rPr>
        <w:br/>
        <w:t>Moreover the attitude for victim support provided by the authorities (CPS, Police, Probation Service.) has been viewed with</w:t>
      </w:r>
      <w:r w:rsidR="001002FB">
        <w:rPr>
          <w:rFonts w:ascii="Arial" w:hAnsi="Arial" w:cs="Arial"/>
          <w:sz w:val="24"/>
          <w:szCs w:val="24"/>
        </w:rPr>
        <w:t xml:space="preserve"> </w:t>
      </w:r>
      <w:r w:rsidR="001002FB" w:rsidRPr="001002FB">
        <w:rPr>
          <w:rFonts w:ascii="Arial" w:hAnsi="Arial" w:cs="Arial"/>
          <w:sz w:val="24"/>
          <w:szCs w:val="24"/>
        </w:rPr>
        <w:t xml:space="preserve">scepticism </w:t>
      </w:r>
      <w:r w:rsidR="001002FB">
        <w:rPr>
          <w:rFonts w:ascii="Arial" w:hAnsi="Arial" w:cs="Arial"/>
          <w:sz w:val="24"/>
          <w:szCs w:val="24"/>
        </w:rPr>
        <w:t>as criticisms for not providing adequate services to victims has been addressed by other governmental agencies.  A report completed b</w:t>
      </w:r>
      <w:r w:rsidR="0044694A">
        <w:rPr>
          <w:rFonts w:ascii="Arial" w:hAnsi="Arial" w:cs="Arial"/>
          <w:sz w:val="24"/>
          <w:szCs w:val="24"/>
        </w:rPr>
        <w:t xml:space="preserve">y </w:t>
      </w:r>
      <w:r w:rsidR="0044694A" w:rsidRPr="0044694A">
        <w:rPr>
          <w:rFonts w:ascii="Arial" w:hAnsi="Arial" w:cs="Arial"/>
          <w:sz w:val="24"/>
          <w:szCs w:val="24"/>
        </w:rPr>
        <w:t xml:space="preserve">His Majesty’s Inspectorate of Constabulary and Fire &amp; Rescue Services, </w:t>
      </w:r>
      <w:r w:rsidR="0044694A">
        <w:rPr>
          <w:rFonts w:ascii="Arial" w:hAnsi="Arial" w:cs="Arial"/>
          <w:sz w:val="24"/>
          <w:szCs w:val="24"/>
        </w:rPr>
        <w:t>(</w:t>
      </w:r>
      <w:r w:rsidR="0044694A" w:rsidRPr="0044694A">
        <w:rPr>
          <w:rFonts w:ascii="Arial" w:hAnsi="Arial" w:cs="Arial"/>
          <w:sz w:val="24"/>
          <w:szCs w:val="24"/>
        </w:rPr>
        <w:t>2023</w:t>
      </w:r>
      <w:r w:rsidR="00595695">
        <w:rPr>
          <w:rFonts w:ascii="Arial" w:hAnsi="Arial" w:cs="Arial"/>
          <w:sz w:val="24"/>
          <w:szCs w:val="24"/>
        </w:rPr>
        <w:t xml:space="preserve">) </w:t>
      </w:r>
      <w:r w:rsidR="0044694A">
        <w:rPr>
          <w:rFonts w:ascii="Arial" w:hAnsi="Arial" w:cs="Arial"/>
          <w:sz w:val="24"/>
          <w:szCs w:val="24"/>
        </w:rPr>
        <w:t>has highlighted</w:t>
      </w:r>
      <w:r w:rsidR="00595695">
        <w:rPr>
          <w:rFonts w:ascii="Arial" w:hAnsi="Arial" w:cs="Arial"/>
          <w:sz w:val="24"/>
          <w:szCs w:val="24"/>
        </w:rPr>
        <w:t xml:space="preserve"> that law enforcement, probation, as well as prosecutors have considered victim’s </w:t>
      </w:r>
      <w:r w:rsidR="00EB22FE">
        <w:rPr>
          <w:rFonts w:ascii="Arial" w:hAnsi="Arial" w:cs="Arial"/>
          <w:sz w:val="24"/>
          <w:szCs w:val="24"/>
        </w:rPr>
        <w:t>code as</w:t>
      </w:r>
      <w:r w:rsidR="00595695">
        <w:rPr>
          <w:rFonts w:ascii="Arial" w:hAnsi="Arial" w:cs="Arial"/>
          <w:sz w:val="24"/>
          <w:szCs w:val="24"/>
        </w:rPr>
        <w:t xml:space="preserve"> more of a process then an actual quality service that needs to be applied carefully</w:t>
      </w:r>
      <w:r w:rsidR="00EB22FE">
        <w:rPr>
          <w:rFonts w:ascii="Arial" w:hAnsi="Arial" w:cs="Arial"/>
          <w:sz w:val="24"/>
          <w:szCs w:val="24"/>
        </w:rPr>
        <w:t xml:space="preserve"> furthermore the report has also found that the police, CPS, and probation service didn’t always consider the welfare of the victim which could be attributed to the huge workloads and the lack of training or understanding of the victim’s well-being</w:t>
      </w:r>
      <w:r w:rsidR="000F6585">
        <w:rPr>
          <w:rFonts w:ascii="Arial" w:hAnsi="Arial" w:cs="Arial"/>
          <w:sz w:val="24"/>
          <w:szCs w:val="24"/>
        </w:rPr>
        <w:t>. This could suggest that governmenta</w:t>
      </w:r>
      <w:r w:rsidR="00D87219">
        <w:rPr>
          <w:rFonts w:ascii="Arial" w:hAnsi="Arial" w:cs="Arial"/>
          <w:sz w:val="24"/>
          <w:szCs w:val="24"/>
        </w:rPr>
        <w:t xml:space="preserve">l approach to the criminal justice system doesn’t actually </w:t>
      </w:r>
      <w:proofErr w:type="gramStart"/>
      <w:r w:rsidR="00D87219">
        <w:rPr>
          <w:rFonts w:ascii="Arial" w:hAnsi="Arial" w:cs="Arial"/>
          <w:sz w:val="24"/>
          <w:szCs w:val="24"/>
        </w:rPr>
        <w:t>take into account</w:t>
      </w:r>
      <w:proofErr w:type="gramEnd"/>
      <w:r w:rsidR="00D87219">
        <w:rPr>
          <w:rFonts w:ascii="Arial" w:hAnsi="Arial" w:cs="Arial"/>
          <w:sz w:val="24"/>
          <w:szCs w:val="24"/>
        </w:rPr>
        <w:t xml:space="preserve"> the victim’s needs</w:t>
      </w:r>
      <w:r w:rsidR="005C1432">
        <w:rPr>
          <w:rFonts w:ascii="Arial" w:hAnsi="Arial" w:cs="Arial"/>
          <w:sz w:val="24"/>
          <w:szCs w:val="24"/>
        </w:rPr>
        <w:t xml:space="preserve"> despite there being literature on paper telling agencies how to deal with victims for example the victims’ code. However as previously seen the victim’s code has not been followed through properly for example number six in the criminal code states that a victim has every right to be updated by the prosecution or law enforcement agency </w:t>
      </w:r>
      <w:r w:rsidR="00850541">
        <w:rPr>
          <w:rFonts w:ascii="Arial" w:hAnsi="Arial" w:cs="Arial"/>
          <w:sz w:val="24"/>
          <w:szCs w:val="24"/>
        </w:rPr>
        <w:t>in regard to</w:t>
      </w:r>
      <w:r w:rsidR="00F33ADD">
        <w:rPr>
          <w:rFonts w:ascii="Arial" w:hAnsi="Arial" w:cs="Arial"/>
          <w:sz w:val="24"/>
          <w:szCs w:val="24"/>
        </w:rPr>
        <w:t xml:space="preserve"> a case or investigation</w:t>
      </w:r>
      <w:r w:rsidR="00850541">
        <w:rPr>
          <w:rFonts w:ascii="Arial" w:hAnsi="Arial" w:cs="Arial"/>
          <w:sz w:val="24"/>
          <w:szCs w:val="24"/>
        </w:rPr>
        <w:t xml:space="preserve"> but sadly communications between the victim and investigator or prosecutors have been reported to be very poor according to the </w:t>
      </w:r>
      <w:r w:rsidR="00850541" w:rsidRPr="00850541">
        <w:rPr>
          <w:rFonts w:ascii="Arial" w:hAnsi="Arial" w:cs="Arial"/>
          <w:sz w:val="24"/>
          <w:szCs w:val="24"/>
        </w:rPr>
        <w:t>Criminal Justice Joint Inspection</w:t>
      </w:r>
      <w:r w:rsidR="00850541">
        <w:rPr>
          <w:rFonts w:ascii="Arial" w:hAnsi="Arial" w:cs="Arial"/>
          <w:sz w:val="24"/>
          <w:szCs w:val="24"/>
        </w:rPr>
        <w:t xml:space="preserve"> (</w:t>
      </w:r>
      <w:r w:rsidR="00850541" w:rsidRPr="00850541">
        <w:rPr>
          <w:rFonts w:ascii="Arial" w:hAnsi="Arial" w:cs="Arial"/>
          <w:sz w:val="24"/>
          <w:szCs w:val="24"/>
        </w:rPr>
        <w:t>2022)</w:t>
      </w:r>
      <w:r w:rsidR="00850541">
        <w:rPr>
          <w:rFonts w:ascii="Arial" w:hAnsi="Arial" w:cs="Arial"/>
          <w:sz w:val="24"/>
          <w:szCs w:val="24"/>
        </w:rPr>
        <w:t xml:space="preserve"> who have found that the poor collaboration between the CPS and the police were causes of delays as </w:t>
      </w:r>
      <w:r w:rsidR="00850541">
        <w:rPr>
          <w:rFonts w:ascii="Arial" w:hAnsi="Arial" w:cs="Arial"/>
          <w:sz w:val="24"/>
          <w:szCs w:val="24"/>
        </w:rPr>
        <w:lastRenderedPageBreak/>
        <w:t>well as miscommunication with the victims especially in cases related to rape to which inspector believe that there should be reforms made in place to ensure that the demand is being met. It should</w:t>
      </w:r>
      <w:r w:rsidR="000C2662">
        <w:rPr>
          <w:rFonts w:ascii="Arial" w:hAnsi="Arial" w:cs="Arial"/>
          <w:sz w:val="24"/>
          <w:szCs w:val="24"/>
        </w:rPr>
        <w:t xml:space="preserve"> be</w:t>
      </w:r>
      <w:r w:rsidR="00850541">
        <w:rPr>
          <w:rFonts w:ascii="Arial" w:hAnsi="Arial" w:cs="Arial"/>
          <w:sz w:val="24"/>
          <w:szCs w:val="24"/>
        </w:rPr>
        <w:t xml:space="preserve"> noted however that the delays in communication with the victim is not just caused by </w:t>
      </w:r>
      <w:r w:rsidR="000C2662">
        <w:rPr>
          <w:rFonts w:ascii="Arial" w:hAnsi="Arial" w:cs="Arial"/>
          <w:sz w:val="24"/>
          <w:szCs w:val="24"/>
        </w:rPr>
        <w:t>incompetence</w:t>
      </w:r>
      <w:r w:rsidR="00850541">
        <w:rPr>
          <w:rFonts w:ascii="Arial" w:hAnsi="Arial" w:cs="Arial"/>
          <w:sz w:val="24"/>
          <w:szCs w:val="24"/>
        </w:rPr>
        <w:t xml:space="preserve"> but as well as the</w:t>
      </w:r>
      <w:r w:rsidR="007C0A59">
        <w:rPr>
          <w:rFonts w:ascii="Arial" w:hAnsi="Arial" w:cs="Arial"/>
          <w:sz w:val="24"/>
          <w:szCs w:val="24"/>
        </w:rPr>
        <w:t xml:space="preserve"> </w:t>
      </w:r>
      <w:r w:rsidR="00850541">
        <w:rPr>
          <w:rFonts w:ascii="Arial" w:hAnsi="Arial" w:cs="Arial"/>
          <w:sz w:val="24"/>
          <w:szCs w:val="24"/>
        </w:rPr>
        <w:t xml:space="preserve">high workloads the detectives and </w:t>
      </w:r>
      <w:r w:rsidR="000C2662">
        <w:rPr>
          <w:rFonts w:ascii="Arial" w:hAnsi="Arial" w:cs="Arial"/>
          <w:sz w:val="24"/>
          <w:szCs w:val="24"/>
        </w:rPr>
        <w:t>prosecutors</w:t>
      </w:r>
      <w:r w:rsidR="00850541">
        <w:rPr>
          <w:rFonts w:ascii="Arial" w:hAnsi="Arial" w:cs="Arial"/>
          <w:sz w:val="24"/>
          <w:szCs w:val="24"/>
        </w:rPr>
        <w:t xml:space="preserve"> face which can be overwhelming to say the least. The recommendations that were put in place following the report had outlined that both the police and </w:t>
      </w:r>
      <w:r w:rsidR="000C2662">
        <w:rPr>
          <w:rFonts w:ascii="Arial" w:hAnsi="Arial" w:cs="Arial"/>
          <w:sz w:val="24"/>
          <w:szCs w:val="24"/>
        </w:rPr>
        <w:t>prosecutors</w:t>
      </w:r>
      <w:r w:rsidR="00850541">
        <w:rPr>
          <w:rFonts w:ascii="Arial" w:hAnsi="Arial" w:cs="Arial"/>
          <w:sz w:val="24"/>
          <w:szCs w:val="24"/>
        </w:rPr>
        <w:t xml:space="preserve"> were to review and find ways to improve their collaboration as well as having the MoJ (Ministry of Justice) to set up specialist rape offences courts to help lower the backlogs at the crown courts.</w:t>
      </w:r>
      <w:r w:rsidR="00F11D24">
        <w:rPr>
          <w:rFonts w:ascii="Arial" w:hAnsi="Arial" w:cs="Arial"/>
          <w:sz w:val="24"/>
          <w:szCs w:val="24"/>
        </w:rPr>
        <w:t xml:space="preserve"> Furthermore, the Victims Commissioner (2021, P.25) have also </w:t>
      </w:r>
      <w:proofErr w:type="gramStart"/>
      <w:r w:rsidR="00F11D24">
        <w:rPr>
          <w:rFonts w:ascii="Arial" w:hAnsi="Arial" w:cs="Arial"/>
          <w:sz w:val="24"/>
          <w:szCs w:val="24"/>
        </w:rPr>
        <w:t>looked into</w:t>
      </w:r>
      <w:proofErr w:type="gramEnd"/>
      <w:r w:rsidR="00F11D24">
        <w:rPr>
          <w:rFonts w:ascii="Arial" w:hAnsi="Arial" w:cs="Arial"/>
          <w:sz w:val="24"/>
          <w:szCs w:val="24"/>
        </w:rPr>
        <w:t xml:space="preserve"> ways they can address the issue in their report to further assist victims or witnesses to ensure that their safety with themselves stating clearly that there is a “Lack of </w:t>
      </w:r>
      <w:r w:rsidR="00F11D24" w:rsidRPr="00F11D24">
        <w:rPr>
          <w:rFonts w:ascii="Arial" w:hAnsi="Arial" w:cs="Arial"/>
          <w:sz w:val="24"/>
          <w:szCs w:val="24"/>
        </w:rPr>
        <w:t>overarching</w:t>
      </w:r>
      <w:r w:rsidR="00F11D24">
        <w:rPr>
          <w:rFonts w:ascii="Arial" w:hAnsi="Arial" w:cs="Arial"/>
          <w:sz w:val="24"/>
          <w:szCs w:val="24"/>
        </w:rPr>
        <w:t xml:space="preserve"> </w:t>
      </w:r>
      <w:r w:rsidR="00F11D24" w:rsidRPr="00F11D24">
        <w:rPr>
          <w:rFonts w:ascii="Arial" w:hAnsi="Arial" w:cs="Arial"/>
          <w:sz w:val="24"/>
          <w:szCs w:val="24"/>
        </w:rPr>
        <w:t>responsibility</w:t>
      </w:r>
      <w:r w:rsidR="00F11D24">
        <w:rPr>
          <w:rFonts w:ascii="Arial" w:hAnsi="Arial" w:cs="Arial"/>
          <w:sz w:val="24"/>
          <w:szCs w:val="24"/>
        </w:rPr>
        <w:t xml:space="preserve">.”  And had similar conclusions and recommendations </w:t>
      </w:r>
      <w:r w:rsidR="00F41CA6">
        <w:rPr>
          <w:rFonts w:ascii="Arial" w:hAnsi="Arial" w:cs="Arial"/>
          <w:sz w:val="24"/>
          <w:szCs w:val="24"/>
        </w:rPr>
        <w:t xml:space="preserve">with the </w:t>
      </w:r>
      <w:r w:rsidR="00F41CA6" w:rsidRPr="00F41CA6">
        <w:rPr>
          <w:rFonts w:ascii="Arial" w:hAnsi="Arial" w:cs="Arial"/>
          <w:sz w:val="24"/>
          <w:szCs w:val="24"/>
        </w:rPr>
        <w:t>Criminal Justice Joint Inspection</w:t>
      </w:r>
      <w:r w:rsidR="00F41CA6">
        <w:rPr>
          <w:rFonts w:ascii="Arial" w:hAnsi="Arial" w:cs="Arial"/>
          <w:sz w:val="24"/>
          <w:szCs w:val="24"/>
        </w:rPr>
        <w:t xml:space="preserve"> in relation to having the police and CPS collaborate on a broader level of investigation and streamline the process of special measures to ensure that the victim or witness is protected at all costs both physically and mentally. The VC also states that the police and it’s witness care units should have “</w:t>
      </w:r>
      <w:r w:rsidR="00F41CA6" w:rsidRPr="00F41CA6">
        <w:rPr>
          <w:rFonts w:ascii="Arial" w:hAnsi="Arial" w:cs="Arial"/>
          <w:sz w:val="24"/>
          <w:szCs w:val="24"/>
        </w:rPr>
        <w:t>overarching</w:t>
      </w:r>
      <w:r w:rsidR="00F41CA6" w:rsidRPr="00F41CA6">
        <w:t xml:space="preserve"> </w:t>
      </w:r>
      <w:r w:rsidR="00F41CA6" w:rsidRPr="00F41CA6">
        <w:rPr>
          <w:rFonts w:ascii="Arial" w:hAnsi="Arial" w:cs="Arial"/>
          <w:sz w:val="24"/>
          <w:szCs w:val="24"/>
        </w:rPr>
        <w:t>responsibility</w:t>
      </w:r>
      <w:r w:rsidR="00F41CA6">
        <w:rPr>
          <w:rFonts w:ascii="Arial" w:hAnsi="Arial" w:cs="Arial"/>
          <w:sz w:val="24"/>
          <w:szCs w:val="24"/>
        </w:rPr>
        <w:t xml:space="preserve"> for needs assessments” to play a pivotal role for those in need. </w:t>
      </w:r>
    </w:p>
    <w:p w14:paraId="21B1489D" w14:textId="0CC5C2F7" w:rsidR="008A46FB" w:rsidRDefault="001E7C68" w:rsidP="00F900CF">
      <w:pPr>
        <w:rPr>
          <w:rFonts w:ascii="Arial" w:hAnsi="Arial" w:cs="Arial"/>
          <w:sz w:val="24"/>
          <w:szCs w:val="24"/>
        </w:rPr>
      </w:pPr>
      <w:r>
        <w:rPr>
          <w:rFonts w:ascii="Arial" w:hAnsi="Arial" w:cs="Arial"/>
          <w:sz w:val="24"/>
          <w:szCs w:val="24"/>
        </w:rPr>
        <w:t xml:space="preserve">Not only that the report further </w:t>
      </w:r>
      <w:r w:rsidR="00C7541C">
        <w:rPr>
          <w:rFonts w:ascii="Arial" w:hAnsi="Arial" w:cs="Arial"/>
          <w:sz w:val="24"/>
          <w:szCs w:val="24"/>
        </w:rPr>
        <w:t>investigates</w:t>
      </w:r>
      <w:r>
        <w:rPr>
          <w:rFonts w:ascii="Arial" w:hAnsi="Arial" w:cs="Arial"/>
          <w:sz w:val="24"/>
          <w:szCs w:val="24"/>
        </w:rPr>
        <w:t xml:space="preserve"> the courthouses themselves and how magistrates as well as judges deal with victims within a case</w:t>
      </w:r>
      <w:r w:rsidR="00F447FF">
        <w:rPr>
          <w:rFonts w:ascii="Arial" w:hAnsi="Arial" w:cs="Arial"/>
          <w:sz w:val="24"/>
          <w:szCs w:val="24"/>
        </w:rPr>
        <w:t xml:space="preserve">. It was found from a quantitative study </w:t>
      </w:r>
      <w:r w:rsidR="00C7541C">
        <w:rPr>
          <w:rFonts w:ascii="Arial" w:hAnsi="Arial" w:cs="Arial"/>
          <w:sz w:val="24"/>
          <w:szCs w:val="24"/>
        </w:rPr>
        <w:t xml:space="preserve">from </w:t>
      </w:r>
      <w:r w:rsidR="00F447FF">
        <w:rPr>
          <w:rFonts w:ascii="Arial" w:hAnsi="Arial" w:cs="Arial"/>
          <w:sz w:val="24"/>
          <w:szCs w:val="24"/>
        </w:rPr>
        <w:t>the report that</w:t>
      </w:r>
      <w:r w:rsidR="00C7541C">
        <w:rPr>
          <w:rFonts w:ascii="Arial" w:hAnsi="Arial" w:cs="Arial"/>
          <w:sz w:val="24"/>
          <w:szCs w:val="24"/>
        </w:rPr>
        <w:t xml:space="preserve"> only 57% of the time Magistrates have reported to have ‘sometimes’ allowed for special measures to be authorised. This could be linked as one of the many reasons where the CJS system is limited when supporting victims with them feeling isolated or helpless.</w:t>
      </w:r>
      <w:r w:rsidR="00A9134C">
        <w:rPr>
          <w:rFonts w:ascii="Arial" w:hAnsi="Arial" w:cs="Arial"/>
          <w:sz w:val="24"/>
          <w:szCs w:val="24"/>
        </w:rPr>
        <w:t xml:space="preserve"> The CJS has also been </w:t>
      </w:r>
      <w:r w:rsidR="00A9134C">
        <w:rPr>
          <w:rFonts w:ascii="Arial" w:hAnsi="Arial" w:cs="Arial"/>
          <w:sz w:val="24"/>
          <w:szCs w:val="24"/>
        </w:rPr>
        <w:lastRenderedPageBreak/>
        <w:t xml:space="preserve">held back by more </w:t>
      </w:r>
      <w:r w:rsidR="00A9134C" w:rsidRPr="00A9134C">
        <w:rPr>
          <w:rFonts w:ascii="Arial" w:hAnsi="Arial" w:cs="Arial"/>
          <w:sz w:val="24"/>
          <w:szCs w:val="24"/>
        </w:rPr>
        <w:t>miscellaneous</w:t>
      </w:r>
      <w:r w:rsidR="00A9134C">
        <w:rPr>
          <w:rFonts w:ascii="Arial" w:hAnsi="Arial" w:cs="Arial"/>
          <w:sz w:val="24"/>
          <w:szCs w:val="24"/>
        </w:rPr>
        <w:t xml:space="preserve"> issues that has caused delays or backlogs to cases that could impact a victim in a negative manner for example there have been concerns </w:t>
      </w:r>
      <w:r w:rsidR="000331C5">
        <w:rPr>
          <w:rFonts w:ascii="Arial" w:hAnsi="Arial" w:cs="Arial"/>
          <w:sz w:val="24"/>
          <w:szCs w:val="24"/>
        </w:rPr>
        <w:t>about the courthouses use of technolog</w:t>
      </w:r>
      <w:r w:rsidR="00FC6B39">
        <w:rPr>
          <w:rFonts w:ascii="Arial" w:hAnsi="Arial" w:cs="Arial"/>
          <w:sz w:val="24"/>
          <w:szCs w:val="24"/>
        </w:rPr>
        <w:t>y according to a survey conducted by T</w:t>
      </w:r>
      <w:r w:rsidR="00FC6B39" w:rsidRPr="00FC6B39">
        <w:rPr>
          <w:rFonts w:ascii="Arial" w:hAnsi="Arial" w:cs="Arial"/>
          <w:sz w:val="24"/>
          <w:szCs w:val="24"/>
        </w:rPr>
        <w:t>he Law Society</w:t>
      </w:r>
      <w:r w:rsidR="00FC6B39">
        <w:rPr>
          <w:rFonts w:ascii="Arial" w:hAnsi="Arial" w:cs="Arial"/>
          <w:sz w:val="24"/>
          <w:szCs w:val="24"/>
        </w:rPr>
        <w:t xml:space="preserve"> (</w:t>
      </w:r>
      <w:r w:rsidR="00FC6B39" w:rsidRPr="00FC6B39">
        <w:rPr>
          <w:rFonts w:ascii="Arial" w:hAnsi="Arial" w:cs="Arial"/>
          <w:sz w:val="24"/>
          <w:szCs w:val="24"/>
        </w:rPr>
        <w:t>2023)</w:t>
      </w:r>
      <w:r w:rsidR="00FC6B39">
        <w:rPr>
          <w:rFonts w:ascii="Arial" w:hAnsi="Arial" w:cs="Arial"/>
          <w:sz w:val="24"/>
          <w:szCs w:val="24"/>
        </w:rPr>
        <w:t xml:space="preserve"> has</w:t>
      </w:r>
      <w:r w:rsidR="00DC0548">
        <w:rPr>
          <w:rFonts w:ascii="Arial" w:hAnsi="Arial" w:cs="Arial"/>
          <w:sz w:val="24"/>
          <w:szCs w:val="24"/>
        </w:rPr>
        <w:t xml:space="preserve"> identified that more than half of solicitors do not believe that the online portals HMCTS has introduced is effective in “delivering justice.” And has been known to cause delays and additional stress</w:t>
      </w:r>
      <w:r w:rsidR="000417A7">
        <w:rPr>
          <w:rFonts w:ascii="Arial" w:hAnsi="Arial" w:cs="Arial"/>
          <w:sz w:val="24"/>
          <w:szCs w:val="24"/>
        </w:rPr>
        <w:t xml:space="preserve">, additionally a UK parliament online report released by </w:t>
      </w:r>
      <w:r w:rsidR="000417A7" w:rsidRPr="000417A7">
        <w:rPr>
          <w:rFonts w:ascii="Arial" w:hAnsi="Arial" w:cs="Arial"/>
          <w:sz w:val="24"/>
          <w:szCs w:val="24"/>
        </w:rPr>
        <w:t>Lamont &amp; Law</w:t>
      </w:r>
      <w:r w:rsidR="000417A7">
        <w:rPr>
          <w:rFonts w:ascii="Arial" w:hAnsi="Arial" w:cs="Arial"/>
          <w:sz w:val="24"/>
          <w:szCs w:val="24"/>
        </w:rPr>
        <w:t xml:space="preserve"> (</w:t>
      </w:r>
      <w:r w:rsidR="000417A7" w:rsidRPr="000417A7">
        <w:rPr>
          <w:rFonts w:ascii="Arial" w:hAnsi="Arial" w:cs="Arial"/>
          <w:sz w:val="24"/>
          <w:szCs w:val="24"/>
        </w:rPr>
        <w:t>2024</w:t>
      </w:r>
      <w:r w:rsidR="000417A7">
        <w:rPr>
          <w:rFonts w:ascii="Arial" w:hAnsi="Arial" w:cs="Arial"/>
          <w:sz w:val="24"/>
          <w:szCs w:val="24"/>
        </w:rPr>
        <w:t>) have also highlighted key issues surrounding IT problems such as there being evidence that trying to streamline services and automating has caused “</w:t>
      </w:r>
      <w:r w:rsidR="000417A7" w:rsidRPr="000417A7">
        <w:rPr>
          <w:rFonts w:ascii="Arial" w:hAnsi="Arial" w:cs="Arial"/>
          <w:sz w:val="24"/>
          <w:szCs w:val="24"/>
        </w:rPr>
        <w:t>implementation problems</w:t>
      </w:r>
      <w:r w:rsidR="000417A7">
        <w:rPr>
          <w:rFonts w:ascii="Arial" w:hAnsi="Arial" w:cs="Arial"/>
          <w:sz w:val="24"/>
          <w:szCs w:val="24"/>
        </w:rPr>
        <w:t xml:space="preserve">” It’s not only the courts that are experiencing a lacklustre of technical understanding but the police and CPS as well with researchers highlighting that </w:t>
      </w:r>
      <w:r w:rsidR="000E2C49">
        <w:rPr>
          <w:rFonts w:ascii="Arial" w:hAnsi="Arial" w:cs="Arial"/>
          <w:sz w:val="24"/>
          <w:szCs w:val="24"/>
        </w:rPr>
        <w:t xml:space="preserve">of criminal digital forensics outside of specialised units which has contributed to a great deal of backlogs due to an inability of accessing evidence </w:t>
      </w:r>
      <w:r w:rsidR="000E2C49" w:rsidRPr="000E2C49">
        <w:rPr>
          <w:rFonts w:ascii="Arial" w:hAnsi="Arial" w:cs="Arial"/>
          <w:sz w:val="24"/>
          <w:szCs w:val="24"/>
        </w:rPr>
        <w:t>(Griffiths, et al., 2024)</w:t>
      </w:r>
      <w:r w:rsidR="000E2C49">
        <w:rPr>
          <w:rFonts w:ascii="Arial" w:hAnsi="Arial" w:cs="Arial"/>
          <w:sz w:val="24"/>
          <w:szCs w:val="24"/>
        </w:rPr>
        <w:t xml:space="preserve">. </w:t>
      </w:r>
      <w:r w:rsidR="000E2C49">
        <w:rPr>
          <w:rFonts w:ascii="Arial" w:hAnsi="Arial" w:cs="Arial"/>
          <w:sz w:val="24"/>
          <w:szCs w:val="24"/>
        </w:rPr>
        <w:br/>
      </w:r>
      <w:r w:rsidR="000E2C49">
        <w:rPr>
          <w:rFonts w:ascii="Arial" w:hAnsi="Arial" w:cs="Arial"/>
          <w:sz w:val="24"/>
          <w:szCs w:val="24"/>
        </w:rPr>
        <w:br/>
        <w:t xml:space="preserve">In conclusion the criminal justice system is plagued by various issues that have been identified to have greatly limited it’s use in serving those that have been victimised by crime or are willing to present evidence to court despite a huge risk being posed against them. From a lack of updates of case results to the victim due to non-centralised communications between the CPS and law enforcement to lack of training or understanding in delivering special measures, </w:t>
      </w:r>
      <w:r w:rsidR="00F900CF">
        <w:rPr>
          <w:rFonts w:ascii="Arial" w:hAnsi="Arial" w:cs="Arial"/>
          <w:sz w:val="24"/>
          <w:szCs w:val="24"/>
        </w:rPr>
        <w:t>easily accessible IT portals, or accessing digital evidence by the CPS, HMCTS, and the police which can cause huge backlogs or delays to a case or even put a victim in danger of being harmed.</w:t>
      </w:r>
      <w:r w:rsidR="00F900CF">
        <w:rPr>
          <w:rFonts w:ascii="Arial" w:hAnsi="Arial" w:cs="Arial"/>
          <w:sz w:val="24"/>
          <w:szCs w:val="24"/>
        </w:rPr>
        <w:br/>
      </w:r>
      <w:r w:rsidR="00F900CF">
        <w:rPr>
          <w:rFonts w:ascii="Arial" w:hAnsi="Arial" w:cs="Arial"/>
          <w:sz w:val="24"/>
          <w:szCs w:val="24"/>
        </w:rPr>
        <w:br/>
        <w:t xml:space="preserve">It is without a doubt that these limitations that the criminal justice system faces is highly problematic and needs to be addressed thoroughly </w:t>
      </w:r>
      <w:r w:rsidR="00AD7EBF">
        <w:rPr>
          <w:rFonts w:ascii="Arial" w:hAnsi="Arial" w:cs="Arial"/>
          <w:sz w:val="24"/>
          <w:szCs w:val="24"/>
        </w:rPr>
        <w:t xml:space="preserve">by key figures of </w:t>
      </w:r>
      <w:r w:rsidR="00AD7EBF">
        <w:rPr>
          <w:rFonts w:ascii="Arial" w:hAnsi="Arial" w:cs="Arial"/>
          <w:sz w:val="24"/>
          <w:szCs w:val="24"/>
        </w:rPr>
        <w:lastRenderedPageBreak/>
        <w:t xml:space="preserve">governance to enable for a far more smoother system that takes the victim into account by all stakeholders in the CJS (Police, HMCTS, CPS, Probation etc.) It is understandable for those that have suffered from miscarriages by the CJS’s limitations to have felt abandoned or their interests not considered when their cases are addressed in the court of law. Stakeholders should also ensure that discriminatory barriers against people of </w:t>
      </w:r>
      <w:r w:rsidR="00AD7EBF" w:rsidRPr="00AD7EBF">
        <w:rPr>
          <w:rFonts w:ascii="Arial" w:hAnsi="Arial" w:cs="Arial"/>
          <w:sz w:val="24"/>
          <w:szCs w:val="24"/>
        </w:rPr>
        <w:t>marginalised groups</w:t>
      </w:r>
      <w:r w:rsidR="00AD7EBF">
        <w:rPr>
          <w:rFonts w:ascii="Arial" w:hAnsi="Arial" w:cs="Arial"/>
          <w:sz w:val="24"/>
          <w:szCs w:val="24"/>
        </w:rPr>
        <w:t xml:space="preserve"> or people that suffer from mental health issues should be dropped ensuring that all members of staff can accommodate victims in any way reasonable which could pave way to allow for regularly accessed specialist services to serve those in need. </w:t>
      </w:r>
      <w:r w:rsidR="00AD7EBF">
        <w:rPr>
          <w:rFonts w:ascii="Arial" w:hAnsi="Arial" w:cs="Arial"/>
          <w:sz w:val="24"/>
          <w:szCs w:val="24"/>
        </w:rPr>
        <w:br/>
      </w:r>
      <w:r w:rsidR="00AD7EBF">
        <w:rPr>
          <w:rFonts w:ascii="Arial" w:hAnsi="Arial" w:cs="Arial"/>
          <w:sz w:val="24"/>
          <w:szCs w:val="24"/>
        </w:rPr>
        <w:br/>
      </w:r>
      <w:r w:rsidR="008A46FB">
        <w:rPr>
          <w:rFonts w:ascii="Arial" w:hAnsi="Arial" w:cs="Arial"/>
          <w:sz w:val="24"/>
          <w:szCs w:val="24"/>
        </w:rPr>
        <w:t>Finally,</w:t>
      </w:r>
      <w:r w:rsidR="00AD7EBF">
        <w:rPr>
          <w:rFonts w:ascii="Arial" w:hAnsi="Arial" w:cs="Arial"/>
          <w:sz w:val="24"/>
          <w:szCs w:val="24"/>
        </w:rPr>
        <w:t xml:space="preserve"> </w:t>
      </w:r>
      <w:r w:rsidR="008A46FB">
        <w:rPr>
          <w:rFonts w:ascii="Arial" w:hAnsi="Arial" w:cs="Arial"/>
          <w:sz w:val="24"/>
          <w:szCs w:val="24"/>
        </w:rPr>
        <w:t xml:space="preserve">legislature and literature that emphasis victim’s rights should be reviewed and enforced to both Police and CPS in manner that isn’t a simple “ticking a box” exercise but more of an actual procedure used to guarantee the needs of a victimised person that could be vulnerable to all sorts of variables. This point is important as in the past it has been cited those authorities often overlooked the victims code either from incompetence or from overwhelmed by an overload of different cases thus preventing them from addressing everyone’s needs. It is reasonable to believe within an opinion that the CJS does have the potential to overcome the limitations it faces. Through </w:t>
      </w:r>
      <w:proofErr w:type="gramStart"/>
      <w:r w:rsidR="008A46FB">
        <w:rPr>
          <w:rFonts w:ascii="Arial" w:hAnsi="Arial" w:cs="Arial"/>
          <w:sz w:val="24"/>
          <w:szCs w:val="24"/>
        </w:rPr>
        <w:t>joint collaboration</w:t>
      </w:r>
      <w:proofErr w:type="gramEnd"/>
      <w:r w:rsidR="008A46FB">
        <w:rPr>
          <w:rFonts w:ascii="Arial" w:hAnsi="Arial" w:cs="Arial"/>
          <w:sz w:val="24"/>
          <w:szCs w:val="24"/>
        </w:rPr>
        <w:t xml:space="preserve"> and centralised planning between the stakeholders </w:t>
      </w:r>
      <w:r w:rsidR="00761877">
        <w:rPr>
          <w:rFonts w:ascii="Arial" w:hAnsi="Arial" w:cs="Arial"/>
          <w:sz w:val="24"/>
          <w:szCs w:val="24"/>
        </w:rPr>
        <w:t xml:space="preserve">it could be imagined that the justice system could see more improvements in the near future. </w:t>
      </w:r>
      <w:r w:rsidR="008A46FB">
        <w:rPr>
          <w:rFonts w:ascii="Arial" w:hAnsi="Arial" w:cs="Arial"/>
          <w:sz w:val="24"/>
          <w:szCs w:val="24"/>
        </w:rPr>
        <w:t xml:space="preserve"> </w:t>
      </w:r>
    </w:p>
    <w:p w14:paraId="39FA3FEB" w14:textId="77777777" w:rsidR="0088605B" w:rsidRDefault="0088605B" w:rsidP="00AD50D9">
      <w:pPr>
        <w:rPr>
          <w:rFonts w:ascii="Arial" w:hAnsi="Arial" w:cs="Arial"/>
          <w:sz w:val="24"/>
          <w:szCs w:val="24"/>
        </w:rPr>
      </w:pPr>
    </w:p>
    <w:p w14:paraId="76A6599F" w14:textId="77777777" w:rsidR="0088605B" w:rsidRDefault="0088605B" w:rsidP="00AD50D9">
      <w:pPr>
        <w:rPr>
          <w:rFonts w:ascii="Arial" w:hAnsi="Arial" w:cs="Arial"/>
          <w:sz w:val="24"/>
          <w:szCs w:val="24"/>
        </w:rPr>
      </w:pPr>
    </w:p>
    <w:sdt>
      <w:sdtPr>
        <w:id w:val="-232086659"/>
        <w:docPartObj>
          <w:docPartGallery w:val="Bibliographies"/>
          <w:docPartUnique/>
        </w:docPartObj>
      </w:sdtPr>
      <w:sdtEndPr>
        <w:rPr>
          <w:rFonts w:asciiTheme="majorHAnsi" w:eastAsiaTheme="majorEastAsia" w:hAnsiTheme="majorHAnsi" w:cstheme="majorBidi"/>
          <w:color w:val="0F4761" w:themeColor="accent1" w:themeShade="BF"/>
          <w:sz w:val="40"/>
          <w:szCs w:val="40"/>
        </w:rPr>
      </w:sdtEndPr>
      <w:sdtContent>
        <w:sdt>
          <w:sdtPr>
            <w:id w:val="-1339529992"/>
            <w:bibliography/>
          </w:sdtPr>
          <w:sdtEndPr>
            <w:rPr>
              <w:rFonts w:asciiTheme="majorHAnsi" w:eastAsiaTheme="majorEastAsia" w:hAnsiTheme="majorHAnsi" w:cstheme="majorBidi"/>
              <w:color w:val="0F4761" w:themeColor="accent1" w:themeShade="BF"/>
              <w:sz w:val="40"/>
              <w:szCs w:val="40"/>
            </w:rPr>
          </w:sdtEndPr>
          <w:sdtContent>
            <w:p w14:paraId="69779999" w14:textId="77777777" w:rsidR="000B25DE" w:rsidRDefault="000B25DE" w:rsidP="000B25DE">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Charles, C., 2016. </w:t>
              </w:r>
              <w:r>
                <w:rPr>
                  <w:i/>
                  <w:iCs/>
                  <w:noProof/>
                </w:rPr>
                <w:t xml:space="preserve">Special measures for vulnerable and intimidated witnesses: research exploring the decisions and actions taken by prosecutors in a sample of CPS case files, </w:t>
              </w:r>
              <w:r>
                <w:rPr>
                  <w:noProof/>
                </w:rPr>
                <w:t>London: Crown Prosecution Service.</w:t>
              </w:r>
            </w:p>
            <w:p w14:paraId="2C4C6304" w14:textId="77777777" w:rsidR="000B25DE" w:rsidRDefault="000B25DE" w:rsidP="000B25DE">
              <w:pPr>
                <w:pStyle w:val="Bibliography"/>
                <w:rPr>
                  <w:noProof/>
                </w:rPr>
              </w:pPr>
              <w:r>
                <w:rPr>
                  <w:noProof/>
                </w:rPr>
                <w:t xml:space="preserve">Criminal Justice Joint Inspection, 2022. </w:t>
              </w:r>
              <w:r>
                <w:rPr>
                  <w:i/>
                  <w:iCs/>
                  <w:noProof/>
                </w:rPr>
                <w:t xml:space="preserve">Criminal justice system continues to fail rape victims. </w:t>
              </w:r>
              <w:r>
                <w:rPr>
                  <w:noProof/>
                </w:rPr>
                <w:t xml:space="preserve">[Online] </w:t>
              </w:r>
              <w:r>
                <w:rPr>
                  <w:noProof/>
                </w:rPr>
                <w:br/>
                <w:t xml:space="preserve">Available at: </w:t>
              </w:r>
              <w:r>
                <w:rPr>
                  <w:noProof/>
                  <w:u w:val="single"/>
                </w:rPr>
                <w:t>https://www.justiceinspectorates.gov.uk/cjji/media/press-releases/2022/02/criminal-justice-system-continues-to-fail-rape-victims/</w:t>
              </w:r>
              <w:r>
                <w:rPr>
                  <w:noProof/>
                </w:rPr>
                <w:br/>
                <w:t>[Accessed 2 Febuary 2025].</w:t>
              </w:r>
            </w:p>
            <w:p w14:paraId="097F6187" w14:textId="77777777" w:rsidR="000B25DE" w:rsidRDefault="000B25DE" w:rsidP="000B25DE">
              <w:pPr>
                <w:pStyle w:val="Bibliography"/>
                <w:rPr>
                  <w:noProof/>
                </w:rPr>
              </w:pPr>
              <w:r>
                <w:rPr>
                  <w:noProof/>
                </w:rPr>
                <w:t xml:space="preserve">Crown Office and Procurator Fiscal Service, 2024. </w:t>
              </w:r>
              <w:r>
                <w:rPr>
                  <w:i/>
                  <w:iCs/>
                  <w:noProof/>
                </w:rPr>
                <w:t xml:space="preserve">Vulnerable victims and witnesses. </w:t>
              </w:r>
              <w:r>
                <w:rPr>
                  <w:noProof/>
                </w:rPr>
                <w:t xml:space="preserve">[Online] </w:t>
              </w:r>
              <w:r>
                <w:rPr>
                  <w:noProof/>
                </w:rPr>
                <w:br/>
                <w:t xml:space="preserve">Available at: </w:t>
              </w:r>
              <w:r>
                <w:rPr>
                  <w:noProof/>
                  <w:u w:val="single"/>
                </w:rPr>
                <w:t>https://www.copfs.gov.uk/services/support-at-court/vulnerable-victims-and-witnesses/</w:t>
              </w:r>
              <w:r>
                <w:rPr>
                  <w:noProof/>
                </w:rPr>
                <w:br/>
                <w:t>[Accessed 28 January 2025].</w:t>
              </w:r>
            </w:p>
            <w:p w14:paraId="76CD400C" w14:textId="77777777" w:rsidR="000B25DE" w:rsidRDefault="000B25DE" w:rsidP="000B25DE">
              <w:pPr>
                <w:pStyle w:val="Bibliography"/>
                <w:rPr>
                  <w:noProof/>
                </w:rPr>
              </w:pPr>
              <w:r>
                <w:rPr>
                  <w:noProof/>
                </w:rPr>
                <w:t xml:space="preserve">Crown Prosecution Service, 2025. </w:t>
              </w:r>
              <w:r>
                <w:rPr>
                  <w:i/>
                  <w:iCs/>
                  <w:noProof/>
                </w:rPr>
                <w:t xml:space="preserve">Victims' Guide – what happens when a case comes to the CPS. </w:t>
              </w:r>
              <w:r>
                <w:rPr>
                  <w:noProof/>
                </w:rPr>
                <w:t xml:space="preserve">[Online] </w:t>
              </w:r>
              <w:r>
                <w:rPr>
                  <w:noProof/>
                </w:rPr>
                <w:br/>
                <w:t xml:space="preserve">Available at: </w:t>
              </w:r>
              <w:r>
                <w:rPr>
                  <w:noProof/>
                  <w:u w:val="single"/>
                </w:rPr>
                <w:t>https://www.cps.gov.uk/victims-guide</w:t>
              </w:r>
              <w:r>
                <w:rPr>
                  <w:noProof/>
                </w:rPr>
                <w:br/>
                <w:t>[Accessed 28 January 2025].</w:t>
              </w:r>
            </w:p>
            <w:p w14:paraId="3B1EFB8E" w14:textId="77777777" w:rsidR="000B25DE" w:rsidRDefault="000B25DE" w:rsidP="000B25DE">
              <w:pPr>
                <w:pStyle w:val="Bibliography"/>
                <w:rPr>
                  <w:noProof/>
                </w:rPr>
              </w:pPr>
              <w:r>
                <w:rPr>
                  <w:noProof/>
                </w:rPr>
                <w:t xml:space="preserve">Griffiths, C. et al., 2024. </w:t>
              </w:r>
              <w:r>
                <w:rPr>
                  <w:i/>
                  <w:iCs/>
                  <w:noProof/>
                </w:rPr>
                <w:t xml:space="preserve">The Northumbria University Digital Forensics Project. Digital Forensics in the Criminal Justice System: Use, Effectiveness and Impact, </w:t>
              </w:r>
              <w:r>
                <w:rPr>
                  <w:noProof/>
                </w:rPr>
                <w:t>Northumbria: Northumbria University.</w:t>
              </w:r>
            </w:p>
            <w:p w14:paraId="2EA53F58" w14:textId="77777777" w:rsidR="000B25DE" w:rsidRDefault="000B25DE" w:rsidP="000B25DE">
              <w:pPr>
                <w:pStyle w:val="Bibliography"/>
                <w:rPr>
                  <w:noProof/>
                </w:rPr>
              </w:pPr>
              <w:r>
                <w:rPr>
                  <w:noProof/>
                </w:rPr>
                <w:t xml:space="preserve">Harris, L. &amp; Hodges, K., 2019. Responding to complexity: improving service provision for survivors of domestic abuse with ‘complex needs’. </w:t>
              </w:r>
              <w:r>
                <w:rPr>
                  <w:i/>
                  <w:iCs/>
                  <w:noProof/>
                </w:rPr>
                <w:t xml:space="preserve">Journal of gender-based violence, </w:t>
              </w:r>
              <w:r>
                <w:rPr>
                  <w:noProof/>
                </w:rPr>
                <w:t>3(2), pp. 167-184.</w:t>
              </w:r>
            </w:p>
            <w:p w14:paraId="147BD4C2" w14:textId="77777777" w:rsidR="000B25DE" w:rsidRDefault="000B25DE" w:rsidP="000B25DE">
              <w:pPr>
                <w:pStyle w:val="Bibliography"/>
                <w:rPr>
                  <w:noProof/>
                </w:rPr>
              </w:pPr>
              <w:r>
                <w:rPr>
                  <w:noProof/>
                </w:rPr>
                <w:t xml:space="preserve">His Majesty’s Inspectorate of Constabulary and Fire &amp; Rescue Services, 2023. </w:t>
              </w:r>
              <w:r>
                <w:rPr>
                  <w:i/>
                  <w:iCs/>
                  <w:noProof/>
                </w:rPr>
                <w:t xml:space="preserve">Meeting the needs of victims in the criminal justice system, </w:t>
              </w:r>
              <w:r>
                <w:rPr>
                  <w:noProof/>
                </w:rPr>
                <w:t>London: His Majesty’s Inspectorate of Constabulary and Fire &amp; Rescue Services.</w:t>
              </w:r>
            </w:p>
            <w:p w14:paraId="6D9DDC62" w14:textId="77777777" w:rsidR="000B25DE" w:rsidRDefault="000B25DE" w:rsidP="000B25DE">
              <w:pPr>
                <w:pStyle w:val="Bibliography"/>
                <w:rPr>
                  <w:noProof/>
                </w:rPr>
              </w:pPr>
              <w:r>
                <w:rPr>
                  <w:noProof/>
                </w:rPr>
                <w:t xml:space="preserve">HM Crown Prosecution Service Inspectorate , 2023. </w:t>
              </w:r>
              <w:r>
                <w:rPr>
                  <w:i/>
                  <w:iCs/>
                  <w:noProof/>
                </w:rPr>
                <w:t xml:space="preserve">The service from the CPS to victims of domestic abuse A thematic inspection of the handling by the Crown Prosecution Service of domestic abuse cases in the magistrates’ courts, </w:t>
              </w:r>
              <w:r>
                <w:rPr>
                  <w:noProof/>
                </w:rPr>
                <w:t>London: Criminal Justice Inspectorates.</w:t>
              </w:r>
            </w:p>
            <w:p w14:paraId="5C1C877F" w14:textId="77777777" w:rsidR="000B25DE" w:rsidRDefault="000B25DE" w:rsidP="000B25DE">
              <w:pPr>
                <w:pStyle w:val="Bibliography"/>
                <w:rPr>
                  <w:noProof/>
                </w:rPr>
              </w:pPr>
              <w:r>
                <w:rPr>
                  <w:noProof/>
                </w:rPr>
                <w:t xml:space="preserve">Home Office, 2024. </w:t>
              </w:r>
              <w:r>
                <w:rPr>
                  <w:i/>
                  <w:iCs/>
                  <w:noProof/>
                </w:rPr>
                <w:t xml:space="preserve">Policy paper Special measures in the criminal courts factsheet. </w:t>
              </w:r>
              <w:r>
                <w:rPr>
                  <w:noProof/>
                </w:rPr>
                <w:t xml:space="preserve">[Online] </w:t>
              </w:r>
              <w:r>
                <w:rPr>
                  <w:noProof/>
                </w:rPr>
                <w:br/>
                <w:t xml:space="preserve">Available at: </w:t>
              </w:r>
              <w:r>
                <w:rPr>
                  <w:noProof/>
                  <w:u w:val="single"/>
                </w:rPr>
                <w:t>https://www.gov.uk/government/publications/domestic-abuse-bill-2020-factsheets/special-measures-in-the-criminal-courts-factsheet</w:t>
              </w:r>
              <w:r>
                <w:rPr>
                  <w:noProof/>
                </w:rPr>
                <w:br/>
                <w:t>[Accessed 28 January 2025].</w:t>
              </w:r>
            </w:p>
            <w:p w14:paraId="4D87028E" w14:textId="77777777" w:rsidR="000B25DE" w:rsidRDefault="000B25DE" w:rsidP="000B25DE">
              <w:pPr>
                <w:pStyle w:val="Bibliography"/>
                <w:rPr>
                  <w:noProof/>
                </w:rPr>
              </w:pPr>
              <w:r>
                <w:rPr>
                  <w:noProof/>
                </w:rPr>
                <w:t xml:space="preserve">Killean, R., 2021. </w:t>
              </w:r>
              <w:r>
                <w:rPr>
                  <w:i/>
                  <w:iCs/>
                  <w:noProof/>
                </w:rPr>
                <w:t xml:space="preserve">Sexual Violence on Trial Local and Comparative Perspectives. </w:t>
              </w:r>
              <w:r>
                <w:rPr>
                  <w:noProof/>
                </w:rPr>
                <w:t>1st ed. London: Routledge.</w:t>
              </w:r>
            </w:p>
            <w:p w14:paraId="4F79DF3F" w14:textId="77777777" w:rsidR="000B25DE" w:rsidRDefault="000B25DE" w:rsidP="000B25DE">
              <w:pPr>
                <w:pStyle w:val="Bibliography"/>
                <w:rPr>
                  <w:noProof/>
                </w:rPr>
              </w:pPr>
              <w:r>
                <w:rPr>
                  <w:noProof/>
                </w:rPr>
                <w:t xml:space="preserve">Lamont, R. &amp; Law, N., 2024. </w:t>
              </w:r>
              <w:r>
                <w:rPr>
                  <w:i/>
                  <w:iCs/>
                  <w:noProof/>
                </w:rPr>
                <w:t xml:space="preserve">Issues affecting courts and the justice system. </w:t>
              </w:r>
              <w:r>
                <w:rPr>
                  <w:noProof/>
                </w:rPr>
                <w:t xml:space="preserve">[Online] </w:t>
              </w:r>
              <w:r>
                <w:rPr>
                  <w:noProof/>
                </w:rPr>
                <w:br/>
                <w:t xml:space="preserve">Available at: </w:t>
              </w:r>
              <w:r>
                <w:rPr>
                  <w:noProof/>
                  <w:u w:val="single"/>
                </w:rPr>
                <w:t>https://post.parliament.uk/issues-affecting-courts-and-the-justice-system/#_edn31</w:t>
              </w:r>
              <w:r>
                <w:rPr>
                  <w:noProof/>
                </w:rPr>
                <w:br/>
                <w:t>[Accessed 04 March 2025].</w:t>
              </w:r>
            </w:p>
            <w:p w14:paraId="11764FAD" w14:textId="77777777" w:rsidR="000B25DE" w:rsidRDefault="000B25DE" w:rsidP="000B25DE">
              <w:pPr>
                <w:pStyle w:val="Bibliography"/>
                <w:rPr>
                  <w:noProof/>
                </w:rPr>
              </w:pPr>
              <w:r>
                <w:rPr>
                  <w:noProof/>
                </w:rPr>
                <w:t xml:space="preserve">Lamont, R. &amp; Low, N., 2024. </w:t>
              </w:r>
              <w:r>
                <w:rPr>
                  <w:i/>
                  <w:iCs/>
                  <w:noProof/>
                </w:rPr>
                <w:t xml:space="preserve">Victims’ access to justice and support. </w:t>
              </w:r>
              <w:r>
                <w:rPr>
                  <w:noProof/>
                </w:rPr>
                <w:t xml:space="preserve">[Online] </w:t>
              </w:r>
              <w:r>
                <w:rPr>
                  <w:noProof/>
                </w:rPr>
                <w:br/>
                <w:t xml:space="preserve">Available at: </w:t>
              </w:r>
              <w:r>
                <w:rPr>
                  <w:noProof/>
                  <w:u w:val="single"/>
                </w:rPr>
                <w:t>https://post.parliament.uk/victims-access-to-justice-and-support/#_edn11</w:t>
              </w:r>
              <w:r>
                <w:rPr>
                  <w:noProof/>
                </w:rPr>
                <w:br/>
                <w:t>[Accessed 4 Febuary 2025].</w:t>
              </w:r>
            </w:p>
            <w:p w14:paraId="02DB66E2" w14:textId="77777777" w:rsidR="000B25DE" w:rsidRDefault="000B25DE" w:rsidP="000B25DE">
              <w:pPr>
                <w:pStyle w:val="Bibliography"/>
                <w:rPr>
                  <w:noProof/>
                </w:rPr>
              </w:pPr>
              <w:r>
                <w:rPr>
                  <w:noProof/>
                </w:rPr>
                <w:lastRenderedPageBreak/>
                <w:t xml:space="preserve">Llywelyn, D. &amp; Lewis, R., 2024. </w:t>
              </w:r>
              <w:r>
                <w:rPr>
                  <w:i/>
                  <w:iCs/>
                  <w:noProof/>
                </w:rPr>
                <w:t xml:space="preserve">‘WE CARE’ VICTIM INFORMATION PACK, </w:t>
              </w:r>
              <w:r>
                <w:rPr>
                  <w:noProof/>
                </w:rPr>
                <w:t>Carmarthen: Dyfed Powys Police.</w:t>
              </w:r>
            </w:p>
            <w:p w14:paraId="3606A712" w14:textId="77777777" w:rsidR="000B25DE" w:rsidRDefault="000B25DE" w:rsidP="000B25DE">
              <w:pPr>
                <w:pStyle w:val="Bibliography"/>
                <w:rPr>
                  <w:noProof/>
                </w:rPr>
              </w:pPr>
              <w:r>
                <w:rPr>
                  <w:noProof/>
                </w:rPr>
                <w:t xml:space="preserve">Ministry of Justice, 2025. </w:t>
              </w:r>
              <w:r>
                <w:rPr>
                  <w:i/>
                  <w:iCs/>
                  <w:noProof/>
                </w:rPr>
                <w:t xml:space="preserve">GOV.UK. </w:t>
              </w:r>
              <w:r>
                <w:rPr>
                  <w:noProof/>
                </w:rPr>
                <w:t xml:space="preserve">[Online] </w:t>
              </w:r>
              <w:r>
                <w:rPr>
                  <w:noProof/>
                </w:rPr>
                <w:br/>
                <w:t xml:space="preserve">Available at: </w:t>
              </w:r>
              <w:r>
                <w:rPr>
                  <w:noProof/>
                  <w:u w:val="single"/>
                </w:rPr>
                <w:t>https://www.gov.uk/government/news/swifter-justice-for-victims-as-courts-sit-at-record-level</w:t>
              </w:r>
              <w:r>
                <w:rPr>
                  <w:noProof/>
                </w:rPr>
                <w:br/>
                <w:t>[Accessed 3 March 2025].</w:t>
              </w:r>
            </w:p>
            <w:p w14:paraId="38443582" w14:textId="77777777" w:rsidR="000B25DE" w:rsidRDefault="000B25DE" w:rsidP="000B25DE">
              <w:pPr>
                <w:pStyle w:val="Bibliography"/>
                <w:rPr>
                  <w:noProof/>
                </w:rPr>
              </w:pPr>
              <w:r>
                <w:rPr>
                  <w:noProof/>
                </w:rPr>
                <w:t xml:space="preserve">Murray, S., Welland, S. &amp; Storry, M., 2023. </w:t>
              </w:r>
              <w:r>
                <w:rPr>
                  <w:i/>
                  <w:iCs/>
                  <w:noProof/>
                </w:rPr>
                <w:t xml:space="preserve">Annual Victims’ Survey 2023, </w:t>
              </w:r>
              <w:r>
                <w:rPr>
                  <w:noProof/>
                </w:rPr>
                <w:t>London: Victims Commissioner .</w:t>
              </w:r>
            </w:p>
            <w:p w14:paraId="2BC59026" w14:textId="77777777" w:rsidR="000B25DE" w:rsidRDefault="000B25DE" w:rsidP="000B25DE">
              <w:pPr>
                <w:pStyle w:val="Bibliography"/>
                <w:rPr>
                  <w:noProof/>
                </w:rPr>
              </w:pPr>
              <w:r>
                <w:rPr>
                  <w:noProof/>
                </w:rPr>
                <w:t xml:space="preserve">Rossetti, P., Mayes, A. &amp; Moroz, A., 2017. </w:t>
              </w:r>
              <w:r>
                <w:rPr>
                  <w:i/>
                  <w:iCs/>
                  <w:noProof/>
                </w:rPr>
                <w:t xml:space="preserve">Victim of the system: The experiences, interests and rights of victims of crime in the criminal justice process, </w:t>
              </w:r>
              <w:r>
                <w:rPr>
                  <w:noProof/>
                </w:rPr>
                <w:t>s.l.: Research Gate.</w:t>
              </w:r>
            </w:p>
            <w:p w14:paraId="5537C610" w14:textId="77777777" w:rsidR="000B25DE" w:rsidRDefault="000B25DE" w:rsidP="000B25DE">
              <w:pPr>
                <w:pStyle w:val="Bibliography"/>
                <w:rPr>
                  <w:noProof/>
                </w:rPr>
              </w:pPr>
              <w:r>
                <w:rPr>
                  <w:noProof/>
                </w:rPr>
                <w:t xml:space="preserve">Shoham, S. G., Knepper, P. &amp; Kett, M., 2010. </w:t>
              </w:r>
              <w:r>
                <w:rPr>
                  <w:i/>
                  <w:iCs/>
                  <w:noProof/>
                </w:rPr>
                <w:t xml:space="preserve">International Handbook of Criminology. </w:t>
              </w:r>
              <w:r>
                <w:rPr>
                  <w:noProof/>
                </w:rPr>
                <w:t>1st ed. s.l.:Routledge.</w:t>
              </w:r>
            </w:p>
            <w:p w14:paraId="57B63FDC" w14:textId="77777777" w:rsidR="000B25DE" w:rsidRDefault="000B25DE" w:rsidP="000B25DE">
              <w:pPr>
                <w:pStyle w:val="Bibliography"/>
                <w:rPr>
                  <w:noProof/>
                </w:rPr>
              </w:pPr>
              <w:r>
                <w:rPr>
                  <w:noProof/>
                </w:rPr>
                <w:t xml:space="preserve">The Law Society, 2023. </w:t>
              </w:r>
              <w:r>
                <w:rPr>
                  <w:i/>
                  <w:iCs/>
                  <w:noProof/>
                </w:rPr>
                <w:t xml:space="preserve">The Law Society. </w:t>
              </w:r>
              <w:r>
                <w:rPr>
                  <w:noProof/>
                </w:rPr>
                <w:t xml:space="preserve">[Online] </w:t>
              </w:r>
              <w:r>
                <w:rPr>
                  <w:noProof/>
                </w:rPr>
                <w:br/>
                <w:t xml:space="preserve">Available at: </w:t>
              </w:r>
              <w:r>
                <w:rPr>
                  <w:noProof/>
                  <w:u w:val="single"/>
                </w:rPr>
                <w:t>https://www.lawsociety.org.uk/contact-or-visit-us/press-office/press-releases/access-to-justice-undermined-due-to-lacklustre-online-court-services</w:t>
              </w:r>
              <w:r>
                <w:rPr>
                  <w:noProof/>
                </w:rPr>
                <w:br/>
                <w:t>[Accessed 4 March 2024].</w:t>
              </w:r>
            </w:p>
            <w:p w14:paraId="05BCB1EB" w14:textId="77777777" w:rsidR="000B25DE" w:rsidRDefault="000B25DE" w:rsidP="000B25DE">
              <w:pPr>
                <w:pStyle w:val="Bibliography"/>
                <w:rPr>
                  <w:noProof/>
                </w:rPr>
              </w:pPr>
              <w:r>
                <w:rPr>
                  <w:noProof/>
                </w:rPr>
                <w:t xml:space="preserve">Victim and Witness Information, 2025. </w:t>
              </w:r>
              <w:r>
                <w:rPr>
                  <w:i/>
                  <w:iCs/>
                  <w:noProof/>
                </w:rPr>
                <w:t xml:space="preserve">Victim and Witness Information. </w:t>
              </w:r>
              <w:r>
                <w:rPr>
                  <w:noProof/>
                </w:rPr>
                <w:t xml:space="preserve">[Online] </w:t>
              </w:r>
              <w:r>
                <w:rPr>
                  <w:noProof/>
                </w:rPr>
                <w:br/>
                <w:t xml:space="preserve">Available at: </w:t>
              </w:r>
              <w:r>
                <w:rPr>
                  <w:noProof/>
                  <w:u w:val="single"/>
                </w:rPr>
                <w:t>https://victimandwitnessinformation.org.uk/the-court-process/special-measures</w:t>
              </w:r>
              <w:r>
                <w:rPr>
                  <w:noProof/>
                </w:rPr>
                <w:br/>
                <w:t>[Accessed 6 Febuary 2025].</w:t>
              </w:r>
            </w:p>
            <w:p w14:paraId="3302336D" w14:textId="77777777" w:rsidR="000B25DE" w:rsidRDefault="000B25DE" w:rsidP="000B25DE">
              <w:pPr>
                <w:pStyle w:val="Bibliography"/>
                <w:rPr>
                  <w:noProof/>
                </w:rPr>
              </w:pPr>
              <w:r>
                <w:rPr>
                  <w:noProof/>
                </w:rPr>
                <w:t xml:space="preserve">Victims Commissioner, 2025. </w:t>
              </w:r>
              <w:r>
                <w:rPr>
                  <w:i/>
                  <w:iCs/>
                  <w:noProof/>
                </w:rPr>
                <w:t xml:space="preserve">Next steps for special measures to vulnerable and intimidated witnesses , </w:t>
              </w:r>
              <w:r>
                <w:rPr>
                  <w:noProof/>
                </w:rPr>
                <w:t>London: Victims Commissioner.</w:t>
              </w:r>
            </w:p>
            <w:p w14:paraId="3CF9599C" w14:textId="767BB922" w:rsidR="00AC487F" w:rsidRDefault="000B25DE" w:rsidP="000B25DE">
              <w:pPr>
                <w:pStyle w:val="Heading1"/>
              </w:pPr>
              <w:r>
                <w:rPr>
                  <w:b/>
                  <w:bCs/>
                  <w:noProof/>
                </w:rPr>
                <w:fldChar w:fldCharType="end"/>
              </w:r>
            </w:p>
          </w:sdtContent>
        </w:sdt>
      </w:sdtContent>
    </w:sdt>
    <w:p w14:paraId="4E57DBED" w14:textId="77777777" w:rsidR="0088605B" w:rsidRDefault="0088605B" w:rsidP="00AD50D9">
      <w:pPr>
        <w:rPr>
          <w:rFonts w:ascii="Arial" w:hAnsi="Arial" w:cs="Arial"/>
          <w:sz w:val="24"/>
          <w:szCs w:val="24"/>
        </w:rPr>
      </w:pPr>
    </w:p>
    <w:p w14:paraId="6F82B446" w14:textId="6DC9ED0D" w:rsidR="00AD50D9" w:rsidRPr="00AD50D9" w:rsidRDefault="005D3484" w:rsidP="00AD50D9">
      <w:pPr>
        <w:rPr>
          <w:rFonts w:ascii="Arial" w:hAnsi="Arial" w:cs="Arial"/>
          <w:sz w:val="24"/>
          <w:szCs w:val="24"/>
        </w:rPr>
      </w:pPr>
      <w:r>
        <w:rPr>
          <w:rFonts w:ascii="Arial" w:hAnsi="Arial" w:cs="Arial"/>
          <w:sz w:val="24"/>
          <w:szCs w:val="24"/>
        </w:rPr>
        <w:br/>
      </w:r>
      <w:r>
        <w:rPr>
          <w:rFonts w:ascii="Arial" w:hAnsi="Arial" w:cs="Arial"/>
          <w:sz w:val="24"/>
          <w:szCs w:val="24"/>
        </w:rPr>
        <w:br/>
      </w:r>
    </w:p>
    <w:p w14:paraId="7ECE1501" w14:textId="044AE1A3" w:rsidR="003D55D0" w:rsidRPr="005B2730" w:rsidRDefault="003D55D0">
      <w:pPr>
        <w:rPr>
          <w:rFonts w:ascii="Arial" w:hAnsi="Arial" w:cs="Arial"/>
          <w:sz w:val="24"/>
          <w:szCs w:val="24"/>
        </w:rPr>
      </w:pPr>
    </w:p>
    <w:sectPr w:rsidR="003D55D0" w:rsidRPr="005B2730" w:rsidSect="005B27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7DDD2" w14:textId="77777777" w:rsidR="00852D32" w:rsidRDefault="00852D32" w:rsidP="005B2730">
      <w:pPr>
        <w:spacing w:after="0" w:line="240" w:lineRule="auto"/>
      </w:pPr>
      <w:r>
        <w:separator/>
      </w:r>
    </w:p>
  </w:endnote>
  <w:endnote w:type="continuationSeparator" w:id="0">
    <w:p w14:paraId="315E2660" w14:textId="77777777" w:rsidR="00852D32" w:rsidRDefault="00852D32" w:rsidP="005B2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6FCAD" w14:textId="77777777" w:rsidR="00852D32" w:rsidRDefault="00852D32" w:rsidP="005B2730">
      <w:pPr>
        <w:spacing w:after="0" w:line="240" w:lineRule="auto"/>
      </w:pPr>
      <w:r>
        <w:separator/>
      </w:r>
    </w:p>
  </w:footnote>
  <w:footnote w:type="continuationSeparator" w:id="0">
    <w:p w14:paraId="7B524943" w14:textId="77777777" w:rsidR="00852D32" w:rsidRDefault="00852D32" w:rsidP="005B27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730"/>
    <w:rsid w:val="000331C5"/>
    <w:rsid w:val="000417A7"/>
    <w:rsid w:val="00073E1E"/>
    <w:rsid w:val="00093BAF"/>
    <w:rsid w:val="000B25DE"/>
    <w:rsid w:val="000C2662"/>
    <w:rsid w:val="000E2C49"/>
    <w:rsid w:val="000F6585"/>
    <w:rsid w:val="001002FB"/>
    <w:rsid w:val="00174D00"/>
    <w:rsid w:val="001840B8"/>
    <w:rsid w:val="001C0D4B"/>
    <w:rsid w:val="001E7C68"/>
    <w:rsid w:val="002E6668"/>
    <w:rsid w:val="003047A9"/>
    <w:rsid w:val="00320B7A"/>
    <w:rsid w:val="00365C28"/>
    <w:rsid w:val="00370488"/>
    <w:rsid w:val="003B4932"/>
    <w:rsid w:val="003C496E"/>
    <w:rsid w:val="003D55D0"/>
    <w:rsid w:val="003F1E3A"/>
    <w:rsid w:val="00443E40"/>
    <w:rsid w:val="0044694A"/>
    <w:rsid w:val="004567CE"/>
    <w:rsid w:val="00463CD9"/>
    <w:rsid w:val="0046704B"/>
    <w:rsid w:val="00477516"/>
    <w:rsid w:val="004836B5"/>
    <w:rsid w:val="004E5236"/>
    <w:rsid w:val="00532509"/>
    <w:rsid w:val="00536447"/>
    <w:rsid w:val="00554944"/>
    <w:rsid w:val="00595695"/>
    <w:rsid w:val="005B2730"/>
    <w:rsid w:val="005C1432"/>
    <w:rsid w:val="005D3484"/>
    <w:rsid w:val="005E7B01"/>
    <w:rsid w:val="00601E06"/>
    <w:rsid w:val="00617AE3"/>
    <w:rsid w:val="0064275B"/>
    <w:rsid w:val="0066116A"/>
    <w:rsid w:val="006959B3"/>
    <w:rsid w:val="006B3780"/>
    <w:rsid w:val="0071448B"/>
    <w:rsid w:val="00746262"/>
    <w:rsid w:val="00761877"/>
    <w:rsid w:val="007B227C"/>
    <w:rsid w:val="007B5C7C"/>
    <w:rsid w:val="007C0A59"/>
    <w:rsid w:val="007D798F"/>
    <w:rsid w:val="00801D40"/>
    <w:rsid w:val="00850541"/>
    <w:rsid w:val="00852D32"/>
    <w:rsid w:val="0086797C"/>
    <w:rsid w:val="00872761"/>
    <w:rsid w:val="00877802"/>
    <w:rsid w:val="0088605B"/>
    <w:rsid w:val="008A46FB"/>
    <w:rsid w:val="008D3AAF"/>
    <w:rsid w:val="008D7003"/>
    <w:rsid w:val="008E3F83"/>
    <w:rsid w:val="008E41AF"/>
    <w:rsid w:val="0097291A"/>
    <w:rsid w:val="009779B1"/>
    <w:rsid w:val="009E5634"/>
    <w:rsid w:val="00A57C49"/>
    <w:rsid w:val="00A67270"/>
    <w:rsid w:val="00A9134C"/>
    <w:rsid w:val="00AA1BD5"/>
    <w:rsid w:val="00AC487F"/>
    <w:rsid w:val="00AD50D9"/>
    <w:rsid w:val="00AD7EBF"/>
    <w:rsid w:val="00B052C0"/>
    <w:rsid w:val="00B176DC"/>
    <w:rsid w:val="00B42D77"/>
    <w:rsid w:val="00B473C0"/>
    <w:rsid w:val="00C17710"/>
    <w:rsid w:val="00C558C1"/>
    <w:rsid w:val="00C748B2"/>
    <w:rsid w:val="00C7541C"/>
    <w:rsid w:val="00D148A6"/>
    <w:rsid w:val="00D44A84"/>
    <w:rsid w:val="00D65595"/>
    <w:rsid w:val="00D87219"/>
    <w:rsid w:val="00DC0548"/>
    <w:rsid w:val="00DC58DD"/>
    <w:rsid w:val="00EB22FE"/>
    <w:rsid w:val="00EB28AA"/>
    <w:rsid w:val="00EF6DD2"/>
    <w:rsid w:val="00F11D24"/>
    <w:rsid w:val="00F21D5C"/>
    <w:rsid w:val="00F22012"/>
    <w:rsid w:val="00F33ADD"/>
    <w:rsid w:val="00F41CA6"/>
    <w:rsid w:val="00F447FF"/>
    <w:rsid w:val="00F721D0"/>
    <w:rsid w:val="00F900CF"/>
    <w:rsid w:val="00F93116"/>
    <w:rsid w:val="00F958D8"/>
    <w:rsid w:val="00FC6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52489"/>
  <w15:chartTrackingRefBased/>
  <w15:docId w15:val="{9D6F0612-199C-42D6-ADFA-8D4BCECF9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2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2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7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7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7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7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2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2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730"/>
    <w:rPr>
      <w:rFonts w:eastAsiaTheme="majorEastAsia" w:cstheme="majorBidi"/>
      <w:color w:val="272727" w:themeColor="text1" w:themeTint="D8"/>
    </w:rPr>
  </w:style>
  <w:style w:type="paragraph" w:styleId="Title">
    <w:name w:val="Title"/>
    <w:basedOn w:val="Normal"/>
    <w:next w:val="Normal"/>
    <w:link w:val="TitleChar"/>
    <w:uiPriority w:val="10"/>
    <w:qFormat/>
    <w:rsid w:val="005B27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730"/>
    <w:pPr>
      <w:spacing w:before="160"/>
      <w:jc w:val="center"/>
    </w:pPr>
    <w:rPr>
      <w:i/>
      <w:iCs/>
      <w:color w:val="404040" w:themeColor="text1" w:themeTint="BF"/>
    </w:rPr>
  </w:style>
  <w:style w:type="character" w:customStyle="1" w:styleId="QuoteChar">
    <w:name w:val="Quote Char"/>
    <w:basedOn w:val="DefaultParagraphFont"/>
    <w:link w:val="Quote"/>
    <w:uiPriority w:val="29"/>
    <w:rsid w:val="005B2730"/>
    <w:rPr>
      <w:i/>
      <w:iCs/>
      <w:color w:val="404040" w:themeColor="text1" w:themeTint="BF"/>
    </w:rPr>
  </w:style>
  <w:style w:type="paragraph" w:styleId="ListParagraph">
    <w:name w:val="List Paragraph"/>
    <w:basedOn w:val="Normal"/>
    <w:uiPriority w:val="34"/>
    <w:qFormat/>
    <w:rsid w:val="005B2730"/>
    <w:pPr>
      <w:ind w:left="720"/>
      <w:contextualSpacing/>
    </w:pPr>
  </w:style>
  <w:style w:type="character" w:styleId="IntenseEmphasis">
    <w:name w:val="Intense Emphasis"/>
    <w:basedOn w:val="DefaultParagraphFont"/>
    <w:uiPriority w:val="21"/>
    <w:qFormat/>
    <w:rsid w:val="005B2730"/>
    <w:rPr>
      <w:i/>
      <w:iCs/>
      <w:color w:val="0F4761" w:themeColor="accent1" w:themeShade="BF"/>
    </w:rPr>
  </w:style>
  <w:style w:type="paragraph" w:styleId="IntenseQuote">
    <w:name w:val="Intense Quote"/>
    <w:basedOn w:val="Normal"/>
    <w:next w:val="Normal"/>
    <w:link w:val="IntenseQuoteChar"/>
    <w:uiPriority w:val="30"/>
    <w:qFormat/>
    <w:rsid w:val="005B2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730"/>
    <w:rPr>
      <w:i/>
      <w:iCs/>
      <w:color w:val="0F4761" w:themeColor="accent1" w:themeShade="BF"/>
    </w:rPr>
  </w:style>
  <w:style w:type="character" w:styleId="IntenseReference">
    <w:name w:val="Intense Reference"/>
    <w:basedOn w:val="DefaultParagraphFont"/>
    <w:uiPriority w:val="32"/>
    <w:qFormat/>
    <w:rsid w:val="005B2730"/>
    <w:rPr>
      <w:b/>
      <w:bCs/>
      <w:smallCaps/>
      <w:color w:val="0F4761" w:themeColor="accent1" w:themeShade="BF"/>
      <w:spacing w:val="5"/>
    </w:rPr>
  </w:style>
  <w:style w:type="paragraph" w:styleId="Header">
    <w:name w:val="header"/>
    <w:basedOn w:val="Normal"/>
    <w:link w:val="HeaderChar"/>
    <w:uiPriority w:val="99"/>
    <w:unhideWhenUsed/>
    <w:rsid w:val="005B27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730"/>
  </w:style>
  <w:style w:type="paragraph" w:styleId="Footer">
    <w:name w:val="footer"/>
    <w:basedOn w:val="Normal"/>
    <w:link w:val="FooterChar"/>
    <w:uiPriority w:val="99"/>
    <w:unhideWhenUsed/>
    <w:rsid w:val="005B2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730"/>
  </w:style>
  <w:style w:type="paragraph" w:styleId="NoSpacing">
    <w:name w:val="No Spacing"/>
    <w:link w:val="NoSpacingChar"/>
    <w:uiPriority w:val="1"/>
    <w:qFormat/>
    <w:rsid w:val="005B273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B2730"/>
    <w:rPr>
      <w:rFonts w:eastAsiaTheme="minorEastAsia"/>
      <w:kern w:val="0"/>
      <w:lang w:val="en-US"/>
      <w14:ligatures w14:val="none"/>
    </w:rPr>
  </w:style>
  <w:style w:type="paragraph" w:styleId="Bibliography">
    <w:name w:val="Bibliography"/>
    <w:basedOn w:val="Normal"/>
    <w:next w:val="Normal"/>
    <w:uiPriority w:val="37"/>
    <w:unhideWhenUsed/>
    <w:rsid w:val="00AC487F"/>
    <w:pPr>
      <w:spacing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92609">
      <w:bodyDiv w:val="1"/>
      <w:marLeft w:val="0"/>
      <w:marRight w:val="0"/>
      <w:marTop w:val="0"/>
      <w:marBottom w:val="0"/>
      <w:divBdr>
        <w:top w:val="none" w:sz="0" w:space="0" w:color="auto"/>
        <w:left w:val="none" w:sz="0" w:space="0" w:color="auto"/>
        <w:bottom w:val="none" w:sz="0" w:space="0" w:color="auto"/>
        <w:right w:val="none" w:sz="0" w:space="0" w:color="auto"/>
      </w:divBdr>
    </w:div>
    <w:div w:id="371224493">
      <w:bodyDiv w:val="1"/>
      <w:marLeft w:val="0"/>
      <w:marRight w:val="0"/>
      <w:marTop w:val="0"/>
      <w:marBottom w:val="0"/>
      <w:divBdr>
        <w:top w:val="none" w:sz="0" w:space="0" w:color="auto"/>
        <w:left w:val="none" w:sz="0" w:space="0" w:color="auto"/>
        <w:bottom w:val="none" w:sz="0" w:space="0" w:color="auto"/>
        <w:right w:val="none" w:sz="0" w:space="0" w:color="auto"/>
      </w:divBdr>
    </w:div>
    <w:div w:id="139207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Cro25</b:Tag>
    <b:SourceType>InternetSite</b:SourceType>
    <b:Guid>{7E6AF4D3-D4C5-4935-A196-4DA88BA9E9F3}</b:Guid>
    <b:Title>Victims' Guide – what happens when a case comes to the CPS</b:Title>
    <b:Year>2025</b:Year>
    <b:Author>
      <b:Author>
        <b:Corporate>Crown Prosecution Service</b:Corporate>
      </b:Author>
    </b:Author>
    <b:YearAccessed>2025</b:YearAccessed>
    <b:MonthAccessed>01</b:MonthAccessed>
    <b:DayAccessed>28</b:DayAccessed>
    <b:URL>https://www.cps.gov.uk/victims-guide</b:URL>
    <b:RefOrder>2</b:RefOrder>
  </b:Source>
  <b:Source>
    <b:Tag>Rac21</b:Tag>
    <b:SourceType>Book</b:SourceType>
    <b:Guid>{F9F076FB-6DB7-46E4-AC95-D40E3FC6742B}</b:Guid>
    <b:Title>Sexual Violence on Trial Local and Comparative Perspectives</b:Title>
    <b:Year>2021</b:Year>
    <b:Author>
      <b:Author>
        <b:NameList>
          <b:Person>
            <b:Last>Killean</b:Last>
            <b:First>Rachel</b:First>
          </b:Person>
        </b:NameList>
      </b:Author>
    </b:Author>
    <b:City>London</b:City>
    <b:Publisher>Routledge</b:Publisher>
    <b:Edition>1st</b:Edition>
    <b:RefOrder>3</b:RefOrder>
  </b:Source>
  <b:Source>
    <b:Tag>Vic25</b:Tag>
    <b:SourceType>InternetSite</b:SourceType>
    <b:Guid>{4E71C6AC-87D8-4386-9480-63E0A90C5433}</b:Guid>
    <b:Title>Victim and Witness Information</b:Title>
    <b:Year>2025</b:Year>
    <b:Author>
      <b:Author>
        <b:Corporate>Victim and Witness Information</b:Corporate>
      </b:Author>
    </b:Author>
    <b:YearAccessed>2025</b:YearAccessed>
    <b:MonthAccessed>Febuary</b:MonthAccessed>
    <b:DayAccessed>6</b:DayAccessed>
    <b:URL>https://victimandwitnessinformation.org.uk/the-court-process/special-measures</b:URL>
    <b:RefOrder>4</b:RefOrder>
  </b:Source>
  <b:Source>
    <b:Tag>Mur23</b:Tag>
    <b:SourceType>Report</b:SourceType>
    <b:Guid>{7AB9D59F-3407-4324-ACF6-8C51A32F3130}</b:Guid>
    <b:Title>Annual Victims’ Survey 2023</b:Title>
    <b:Year>2023</b:Year>
    <b:Publisher>Victims Commissioner </b:Publisher>
    <b:City>London</b:City>
    <b:Author>
      <b:Author>
        <b:NameList>
          <b:Person>
            <b:Last>Murray</b:Last>
            <b:First>Sasha</b:First>
          </b:Person>
          <b:Person>
            <b:Last>Welland</b:Last>
            <b:First>Sarah</b:First>
          </b:Person>
          <b:Person>
            <b:Last>Storry</b:Last>
            <b:First>Madeleine </b:First>
          </b:Person>
        </b:NameList>
      </b:Author>
    </b:Author>
    <b:RefOrder>5</b:RefOrder>
  </b:Source>
  <b:Source>
    <b:Tag>Har19</b:Tag>
    <b:SourceType>JournalArticle</b:SourceType>
    <b:Guid>{A383CA6A-FE95-40C8-9DB6-7FE9E5B740AF}</b:Guid>
    <b:Title> Responding to complexity: improving service provision for survivors of domestic abuse with ‘complex needs’ </b:Title>
    <b:Year>2019</b:Year>
    <b:JournalName>Journal of gender-based violence</b:JournalName>
    <b:Pages>167-184</b:Pages>
    <b:Volume>3</b:Volume>
    <b:Issue>2</b:Issue>
    <b:Author>
      <b:Author>
        <b:NameList>
          <b:Person>
            <b:Last>Harris</b:Last>
            <b:First>Lyndsey</b:First>
          </b:Person>
          <b:Person>
            <b:Last>Hodges</b:Last>
            <b:First>Kathryn</b:First>
          </b:Person>
        </b:NameList>
      </b:Author>
    </b:Author>
    <b:RefOrder>6</b:RefOrder>
  </b:Source>
  <b:Source>
    <b:Tag>Vic251</b:Tag>
    <b:SourceType>Report</b:SourceType>
    <b:Guid>{FDACC7F1-E31A-473E-8C84-6D4EA37A2091}</b:Guid>
    <b:Title>Next steps for special measures to vulnerable and intimidated witnesses </b:Title>
    <b:Year>2025</b:Year>
    <b:Publisher>Victims Commissioner</b:Publisher>
    <b:City>London</b:City>
    <b:Author>
      <b:Author>
        <b:Corporate>Victims Commissioner</b:Corporate>
      </b:Author>
    </b:Author>
    <b:RefOrder>7</b:RefOrder>
  </b:Source>
  <b:Source>
    <b:Tag>Lam241</b:Tag>
    <b:SourceType>InternetSite</b:SourceType>
    <b:Guid>{6C9B9357-1772-4A4E-8D72-494E8A1A7CD0}</b:Guid>
    <b:Title>Issues affecting courts and the justice system</b:Title>
    <b:Year>2024</b:Year>
    <b:YearAccessed>2025</b:YearAccessed>
    <b:MonthAccessed>March</b:MonthAccessed>
    <b:DayAccessed>04</b:DayAccessed>
    <b:URL>https://post.parliament.uk/issues-affecting-courts-and-the-justice-system/#_edn31</b:URL>
    <b:Author>
      <b:Author>
        <b:NameList>
          <b:Person>
            <b:Last>Lamont</b:Last>
            <b:First>Ruth</b:First>
          </b:Person>
          <b:Person>
            <b:Last>Law</b:Last>
            <b:First>Natalie</b:First>
          </b:Person>
        </b:NameList>
      </b:Author>
    </b:Author>
    <b:RefOrder>8</b:RefOrder>
  </b:Source>
  <b:Source>
    <b:Tag>Gri24</b:Tag>
    <b:SourceType>Report</b:SourceType>
    <b:Guid>{26688433-94A0-44D8-B96B-4603821F575E}</b:Guid>
    <b:Title>The Northumbria University Digital Forensics Project. Digital Forensics in the Criminal Justice System: Use, Effectiveness and Impact</b:Title>
    <b:Year>2024</b:Year>
    <b:Publisher>Northumbria University</b:Publisher>
    <b:City>Northumbria</b:City>
    <b:Author>
      <b:Author>
        <b:NameList>
          <b:Person>
            <b:Last>Griffiths</b:Last>
            <b:First>Cerian </b:First>
          </b:Person>
          <b:Person>
            <b:Last>Piasecki</b:Last>
            <b:First>Emma</b:First>
          </b:Person>
          <b:Person>
            <b:Last>Carr</b:Last>
            <b:First>Sophie</b:First>
          </b:Person>
          <b:Person>
            <b:Last>Anderson</b:Last>
            <b:First>Philip</b:First>
          </b:Person>
          <b:Person>
            <b:Last>Wilson</b:Last>
            <b:First>Tim</b:First>
          </b:Person>
        </b:NameList>
      </b:Author>
    </b:Author>
    <b:LCID>en-GB</b:LCID>
    <b:RefOrder>9</b:RefOrder>
  </b:Source>
  <b:Source>
    <b:Tag>Placeholder1</b:Tag>
    <b:SourceType>InternetSite</b:SourceType>
    <b:Guid>{CD07B653-7845-4B03-A38E-74DEE8344CE7}</b:Guid>
    <b:Title>Victims' Guide – what happens when a case comes to the CPS</b:Title>
    <b:Year>2025</b:Year>
    <b:Author>
      <b:Author>
        <b:Corporate>Crown Prosecution Service</b:Corporate>
      </b:Author>
    </b:Author>
    <b:YearAccessed>2025</b:YearAccessed>
    <b:MonthAccessed>January</b:MonthAccessed>
    <b:DayAccessed>28</b:DayAccessed>
    <b:URL>https://www.cps.gov.uk/victims-guide</b:URL>
    <b:RefOrder>10</b:RefOrder>
  </b:Source>
  <b:Source>
    <b:Tag>Cro24</b:Tag>
    <b:SourceType>InternetSite</b:SourceType>
    <b:Guid>{C01BCDAD-B1AF-4870-8225-BBBF1188BA29}</b:Guid>
    <b:Author>
      <b:Author>
        <b:Corporate>Crown Office and Procurator Fiscal Service</b:Corporate>
      </b:Author>
    </b:Author>
    <b:Title>Vulnerable victims and witnesses</b:Title>
    <b:Year>2024</b:Year>
    <b:YearAccessed>2025</b:YearAccessed>
    <b:MonthAccessed>January</b:MonthAccessed>
    <b:DayAccessed>28</b:DayAccessed>
    <b:URL>https://www.copfs.gov.uk/services/support-at-court/vulnerable-victims-and-witnesses/</b:URL>
    <b:RefOrder>11</b:RefOrder>
  </b:Source>
  <b:Source>
    <b:Tag>Hom24</b:Tag>
    <b:SourceType>DocumentFromInternetSite</b:SourceType>
    <b:Guid>{81622DE0-5358-4574-9563-EB22D631C66D}</b:Guid>
    <b:Title>Policy paper Special measures in the criminal courts factsheet </b:Title>
    <b:Year>2024</b:Year>
    <b:YearAccessed>2025</b:YearAccessed>
    <b:MonthAccessed>January</b:MonthAccessed>
    <b:DayAccessed>28</b:DayAccessed>
    <b:URL>https://www.gov.uk/government/publications/domestic-abuse-bill-2020-factsheets/special-measures-in-the-criminal-courts-factsheet</b:URL>
    <b:Author>
      <b:Author>
        <b:Corporate>Home Office</b:Corporate>
      </b:Author>
    </b:Author>
    <b:Month>January</b:Month>
    <b:Day>3</b:Day>
    <b:RefOrder>12</b:RefOrder>
  </b:Source>
  <b:Source>
    <b:Tag>Sho10</b:Tag>
    <b:SourceType>Book</b:SourceType>
    <b:Guid>{230BEF6E-7ECD-4BB9-9E59-C67AF5DD9B24}</b:Guid>
    <b:Title>International Handbook of Criminology</b:Title>
    <b:Year>2010</b:Year>
    <b:Publisher>Routledge</b:Publisher>
    <b:Edition>1st</b:Edition>
    <b:Author>
      <b:Author>
        <b:NameList>
          <b:Person>
            <b:Last>Shoham</b:Last>
            <b:Middle>Giora</b:Middle>
            <b:First>Shlomo </b:First>
          </b:Person>
          <b:Person>
            <b:Last>Knepper</b:Last>
            <b:First>Paul</b:First>
          </b:Person>
          <b:Person>
            <b:Last>Kett</b:Last>
            <b:First>Martin</b:First>
          </b:Person>
        </b:NameList>
      </b:Author>
    </b:Author>
    <b:RefOrder>13</b:RefOrder>
  </b:Source>
  <b:Source>
    <b:Tag>Ros17</b:Tag>
    <b:SourceType>Report</b:SourceType>
    <b:Guid>{A34C1D29-C4DD-408F-A69E-3F98E9B56BD4}</b:Guid>
    <b:Title>Victim of the system: The experiences, interests and rights of victims of crime in the criminal justice process</b:Title>
    <b:Year>2017</b:Year>
    <b:Publisher>Research Gate</b:Publisher>
    <b:Author>
      <b:Author>
        <b:NameList>
          <b:Person>
            <b:Last>Rossetti</b:Last>
            <b:First>Polly</b:First>
          </b:Person>
          <b:Person>
            <b:Last>Mayes</b:Last>
            <b:First>Alex</b:First>
          </b:Person>
          <b:Person>
            <b:Last>Moroz</b:Last>
            <b:First>Ania </b:First>
          </b:Person>
        </b:NameList>
      </b:Author>
    </b:Author>
    <b:RefOrder>14</b:RefOrder>
  </b:Source>
  <b:Source>
    <b:Tag>Cor16</b:Tag>
    <b:SourceType>Report</b:SourceType>
    <b:Guid>{93DABB1F-A877-491D-B815-10139AF48608}</b:Guid>
    <b:Title>Special measures for vulnerable and intimidated witnesses: research exploring the decisions and actions taken by prosecutors in a sample of CPS case files</b:Title>
    <b:Year>2016</b:Year>
    <b:Author>
      <b:Author>
        <b:NameList>
          <b:Person>
            <b:Last>Charles</b:Last>
            <b:First>Corrine</b:First>
          </b:Person>
        </b:NameList>
      </b:Author>
    </b:Author>
    <b:Publisher>Crown Prosecution Service</b:Publisher>
    <b:City>London</b:City>
    <b:RefOrder>15</b:RefOrder>
  </b:Source>
  <b:Source>
    <b:Tag>Lam24</b:Tag>
    <b:SourceType>InternetSite</b:SourceType>
    <b:Guid>{B760C7EF-1F9C-47EF-B64C-8B935A1F3EB7}</b:Guid>
    <b:Title>Victims’ access to justice and support</b:Title>
    <b:Year>2024</b:Year>
    <b:YearAccessed>2025</b:YearAccessed>
    <b:MonthAccessed>Febuary </b:MonthAccessed>
    <b:DayAccessed>4</b:DayAccessed>
    <b:URL>https://post.parliament.uk/victims-access-to-justice-and-support/#_edn11</b:URL>
    <b:Author>
      <b:Author>
        <b:NameList>
          <b:Person>
            <b:Last>Lamont</b:Last>
            <b:First>Ruth</b:First>
          </b:Person>
          <b:Person>
            <b:Last>Low</b:Last>
            <b:First>Natalie</b:First>
          </b:Person>
        </b:NameList>
      </b:Author>
    </b:Author>
    <b:RefOrder>16</b:RefOrder>
  </b:Source>
  <b:Source>
    <b:Tag>His23</b:Tag>
    <b:SourceType>Report</b:SourceType>
    <b:Guid>{7656CA21-D29A-420E-9966-330AA400D158}</b:Guid>
    <b:Author>
      <b:Author>
        <b:Corporate>His Majesty’s Inspectorate of Constabulary and Fire &amp; Rescue Services</b:Corporate>
      </b:Author>
    </b:Author>
    <b:Title>Meeting the needs of victims in the criminal justice system</b:Title>
    <b:Year>2023</b:Year>
    <b:Publisher>His Majesty’s Inspectorate of Constabulary and Fire &amp; Rescue Services</b:Publisher>
    <b:City>London</b:City>
    <b:RefOrder>17</b:RefOrder>
  </b:Source>
  <b:Source>
    <b:Tag>Cri22</b:Tag>
    <b:SourceType>InternetSite</b:SourceType>
    <b:Guid>{79DEDFB0-8EFC-4530-BC1B-3C28A2CDC418}</b:Guid>
    <b:Title>Criminal justice system continues to fail rape victims</b:Title>
    <b:Year>2022</b:Year>
    <b:Author>
      <b:Author>
        <b:Corporate>Criminal Justice Joint Inspection</b:Corporate>
      </b:Author>
    </b:Author>
    <b:YearAccessed>2025</b:YearAccessed>
    <b:MonthAccessed>Febuary </b:MonthAccessed>
    <b:DayAccessed>2</b:DayAccessed>
    <b:URL>https://www.justiceinspectorates.gov.uk/cjji/media/press-releases/2022/02/criminal-justice-system-continues-to-fail-rape-victims/</b:URL>
    <b:RefOrder>18</b:RefOrder>
  </b:Source>
  <b:Source>
    <b:Tag>Acc23</b:Tag>
    <b:SourceType>InternetSite</b:SourceType>
    <b:Guid>{E59931AD-AABC-48D2-A7B2-6C89A3037415}</b:Guid>
    <b:Title>The Law Society</b:Title>
    <b:Year>2023</b:Year>
    <b:Author>
      <b:Author>
        <b:Corporate>The Law Society</b:Corporate>
      </b:Author>
    </b:Author>
    <b:YearAccessed>2024</b:YearAccessed>
    <b:MonthAccessed>March</b:MonthAccessed>
    <b:DayAccessed>4</b:DayAccessed>
    <b:URL>https://www.lawsociety.org.uk/contact-or-visit-us/press-office/press-releases/access-to-justice-undermined-due-to-lacklustre-online-court-services</b:URL>
    <b:RefOrder>19</b:RefOrder>
  </b:Source>
  <b:Source>
    <b:Tag>Min25</b:Tag>
    <b:SourceType>InternetSite</b:SourceType>
    <b:Guid>{3B4828BE-CD23-4D6D-9C78-43642867618F}</b:Guid>
    <b:Title>GOV.UK</b:Title>
    <b:Year>2025</b:Year>
    <b:Author>
      <b:Author>
        <b:Corporate>Ministry of Justice</b:Corporate>
      </b:Author>
    </b:Author>
    <b:YearAccessed>2025</b:YearAccessed>
    <b:MonthAccessed>March</b:MonthAccessed>
    <b:DayAccessed>3</b:DayAccessed>
    <b:URL>https://www.gov.uk/government/news/swifter-justice-for-victims-as-courts-sit-at-record-level</b:URL>
    <b:RefOrder>1</b:RefOrder>
  </b:Source>
  <b:Source>
    <b:Tag>HMC23</b:Tag>
    <b:SourceType>Report</b:SourceType>
    <b:Guid>{1AA53025-00FB-4629-983B-F546C5865D92}</b:Guid>
    <b:Title>The service from the CPS to victims of domestic abuse A thematic inspection of the handling by the Crown Prosecution Service of domestic abuse cases in the magistrates’ courts</b:Title>
    <b:Year>2023</b:Year>
    <b:Author>
      <b:Author>
        <b:Corporate>HM Crown Prosecution Service Inspectorate </b:Corporate>
      </b:Author>
    </b:Author>
    <b:Publisher>Criminal Justice Inspectorates</b:Publisher>
    <b:City>London</b:City>
    <b:RefOrder>18</b:RefOrder>
  </b:Source>
  <b:Source>
    <b:Tag>Lly24</b:Tag>
    <b:SourceType>Report</b:SourceType>
    <b:Guid>{50F2FAC0-AF1A-466E-AAC4-83DD03B8CFA9}</b:Guid>
    <b:Title>‘WE CARE’ VICTIM INFORMATION PACK</b:Title>
    <b:Year>2024</b:Year>
    <b:Publisher>Dyfed Powys Police</b:Publisher>
    <b:City>Carmarthen</b:City>
    <b:Author>
      <b:Author>
        <b:NameList>
          <b:Person>
            <b:Last>Llywelyn</b:Last>
            <b:First>Dafydd</b:First>
          </b:Person>
          <b:Person>
            <b:Last>Lewis</b:Last>
            <b:First>Richard </b:First>
          </b:Person>
        </b:NameList>
      </b:Author>
    </b:Author>
    <b:RefOrder>6</b:RefOrder>
  </b:Source>
</b:Sources>
</file>

<file path=customXml/itemProps1.xml><?xml version="1.0" encoding="utf-8"?>
<ds:datastoreItem xmlns:ds="http://schemas.openxmlformats.org/officeDocument/2006/customXml" ds:itemID="{F408D1DB-561F-4F6B-BBFE-474B0D274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6593</TotalTime>
  <Pages>9</Pages>
  <Words>2248</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limitations of how the Criminal Justice System responds to victims of crime</vt:lpstr>
    </vt:vector>
  </TitlesOfParts>
  <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limitations of how the Criminal Justice System responds to victims of crime</dc:title>
  <dc:subject>BMCP5007</dc:subject>
  <dc:creator>Shavez Khan</dc:creator>
  <cp:keywords/>
  <dc:description/>
  <cp:lastModifiedBy>Shavez Khan</cp:lastModifiedBy>
  <cp:revision>15</cp:revision>
  <dcterms:created xsi:type="dcterms:W3CDTF">2025-01-27T14:23:00Z</dcterms:created>
  <dcterms:modified xsi:type="dcterms:W3CDTF">2025-03-07T00:19:00Z</dcterms:modified>
</cp:coreProperties>
</file>