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CBBE8" w14:textId="0B34BA46" w:rsidR="00566B31" w:rsidRPr="007D635A" w:rsidRDefault="00A62C56" w:rsidP="001E3258">
      <w:pPr>
        <w:spacing w:line="600" w:lineRule="auto"/>
        <w:rPr>
          <w:sz w:val="24"/>
          <w:szCs w:val="24"/>
        </w:rPr>
      </w:pPr>
      <w:r w:rsidRPr="007D635A">
        <w:rPr>
          <w:sz w:val="24"/>
          <w:szCs w:val="24"/>
        </w:rPr>
        <w:t>This essay will analyse and critically evaluate the strategies, tactics and attack methods adopted by the Provisional Irish Republican Army (PIRA). With consideration to word count limitations, it will do so through the lens of organisational structure</w:t>
      </w:r>
      <w:r w:rsidR="00D46440" w:rsidRPr="007D635A">
        <w:rPr>
          <w:sz w:val="24"/>
          <w:szCs w:val="24"/>
        </w:rPr>
        <w:t>.</w:t>
      </w:r>
    </w:p>
    <w:p w14:paraId="5C918D45" w14:textId="77777777" w:rsidR="00566B31" w:rsidRPr="007D635A" w:rsidRDefault="00566B31" w:rsidP="001E3258">
      <w:pPr>
        <w:spacing w:line="600" w:lineRule="auto"/>
        <w:rPr>
          <w:sz w:val="24"/>
          <w:szCs w:val="24"/>
        </w:rPr>
      </w:pPr>
    </w:p>
    <w:p w14:paraId="56E56FAD" w14:textId="37342B35" w:rsidR="00566B31" w:rsidRPr="007D635A" w:rsidRDefault="00A62C56" w:rsidP="001E3258">
      <w:pPr>
        <w:spacing w:line="600" w:lineRule="auto"/>
        <w:rPr>
          <w:sz w:val="24"/>
          <w:szCs w:val="24"/>
        </w:rPr>
      </w:pPr>
      <w:r w:rsidRPr="007D635A">
        <w:rPr>
          <w:sz w:val="24"/>
          <w:szCs w:val="24"/>
        </w:rPr>
        <w:t xml:space="preserve">PIRA emerged in December of 1969, following a split from the Irish Republican Army (IRA) </w:t>
      </w:r>
      <w:r w:rsidR="00370195" w:rsidRPr="007D635A">
        <w:rPr>
          <w:sz w:val="24"/>
          <w:szCs w:val="24"/>
        </w:rPr>
        <w:t>over a disagreement on how to respond (violently or non-violently) to the widespread mistreatment and police brutality of Catholics</w:t>
      </w:r>
      <w:r w:rsidR="00F149D9">
        <w:rPr>
          <w:sz w:val="24"/>
          <w:szCs w:val="24"/>
        </w:rPr>
        <w:t>,</w:t>
      </w:r>
      <w:r w:rsidR="00370195" w:rsidRPr="007D635A">
        <w:rPr>
          <w:sz w:val="24"/>
          <w:szCs w:val="24"/>
        </w:rPr>
        <w:t xml:space="preserve"> who were seeking equal parity to the protestants of Northern Ireland</w:t>
      </w:r>
      <w:r w:rsidR="00F149D9">
        <w:rPr>
          <w:sz w:val="24"/>
          <w:szCs w:val="24"/>
        </w:rPr>
        <w:t>. Rising tension and violence ensued between the parties,</w:t>
      </w:r>
      <w:r w:rsidR="00370195" w:rsidRPr="007D635A">
        <w:rPr>
          <w:sz w:val="24"/>
          <w:szCs w:val="24"/>
        </w:rPr>
        <w:t xml:space="preserve"> which led to the</w:t>
      </w:r>
      <w:r w:rsidRPr="007D635A">
        <w:rPr>
          <w:sz w:val="24"/>
          <w:szCs w:val="24"/>
        </w:rPr>
        <w:t xml:space="preserve"> British Army intervention to restore order</w:t>
      </w:r>
      <w:r w:rsidR="00370195" w:rsidRPr="007D635A">
        <w:rPr>
          <w:sz w:val="24"/>
          <w:szCs w:val="24"/>
        </w:rPr>
        <w:t xml:space="preserve"> (</w:t>
      </w:r>
      <w:r w:rsidR="001E3258" w:rsidRPr="007D635A">
        <w:rPr>
          <w:sz w:val="24"/>
          <w:szCs w:val="24"/>
        </w:rPr>
        <w:t>Gill and Horgan, 2013)</w:t>
      </w:r>
      <w:r w:rsidR="00370195" w:rsidRPr="007D635A">
        <w:rPr>
          <w:sz w:val="24"/>
          <w:szCs w:val="24"/>
        </w:rPr>
        <w:t>.</w:t>
      </w:r>
      <w:r w:rsidRPr="007D635A">
        <w:rPr>
          <w:sz w:val="24"/>
          <w:szCs w:val="24"/>
        </w:rPr>
        <w:t xml:space="preserve">  PIRA’s strategic aim was to cause the collapse of the Northern Irish and British government and through the use of violence and public opinion, force a British withdrawal from Northern Ireland in order to establish a United Irish Republic based on the Easter Proclamation of 1916 (Hogan and Taylor, 2007). </w:t>
      </w:r>
    </w:p>
    <w:p w14:paraId="3AFA10FF" w14:textId="77777777" w:rsidR="00566B31" w:rsidRPr="007D635A" w:rsidRDefault="00566B31" w:rsidP="001E3258">
      <w:pPr>
        <w:spacing w:line="600" w:lineRule="auto"/>
        <w:rPr>
          <w:sz w:val="24"/>
          <w:szCs w:val="24"/>
        </w:rPr>
      </w:pPr>
    </w:p>
    <w:p w14:paraId="266AD59D" w14:textId="30474613" w:rsidR="00566B31" w:rsidRPr="007D635A" w:rsidRDefault="00A62C56" w:rsidP="001E3258">
      <w:pPr>
        <w:spacing w:line="600" w:lineRule="auto"/>
        <w:rPr>
          <w:sz w:val="24"/>
          <w:szCs w:val="24"/>
        </w:rPr>
      </w:pPr>
      <w:r w:rsidRPr="007D635A">
        <w:rPr>
          <w:sz w:val="24"/>
          <w:szCs w:val="24"/>
        </w:rPr>
        <w:t xml:space="preserve">In its infancy PIRA was relatively small, consisting of approximately 120 members  (Field, 2017). Consisting of a vertical hierarchical structure akin to that of an army. The structure included the General Army convention at the top stemming down through a chain of command to brigades, battalions and companies each with their own territory or combat areas. Acutely aware they lacked a capability to force out the </w:t>
      </w:r>
      <w:r w:rsidRPr="007D635A">
        <w:rPr>
          <w:sz w:val="24"/>
          <w:szCs w:val="24"/>
        </w:rPr>
        <w:lastRenderedPageBreak/>
        <w:t xml:space="preserve">British Army directly, </w:t>
      </w:r>
      <w:r w:rsidR="00F149D9">
        <w:rPr>
          <w:sz w:val="24"/>
          <w:szCs w:val="24"/>
        </w:rPr>
        <w:t xml:space="preserve">PIRA </w:t>
      </w:r>
      <w:r w:rsidRPr="007D635A">
        <w:rPr>
          <w:sz w:val="24"/>
          <w:szCs w:val="24"/>
        </w:rPr>
        <w:t xml:space="preserve">engaged in a terrorist campaign consisting of assassinations and bombing campaigns from 1969 </w:t>
      </w:r>
      <w:r w:rsidR="00F149D9">
        <w:rPr>
          <w:sz w:val="24"/>
          <w:szCs w:val="24"/>
        </w:rPr>
        <w:t>t</w:t>
      </w:r>
      <w:r w:rsidRPr="007D635A">
        <w:rPr>
          <w:sz w:val="24"/>
          <w:szCs w:val="24"/>
        </w:rPr>
        <w:t>o its ceasefire in 1997 (House of Commons, 2011).  PIRA appeared as a well organised group, arguably the most sophisticated militant groups the world had ever seen up to this point (Hogan and Taylor, 2007). However, Mobley (2012) argues that despite the hierarchical structure, leaders had little control over tactical or operational activities, while J. Bowyer Bell (</w:t>
      </w:r>
      <w:proofErr w:type="spellStart"/>
      <w:r w:rsidRPr="007D635A">
        <w:rPr>
          <w:sz w:val="24"/>
          <w:szCs w:val="24"/>
        </w:rPr>
        <w:t>n.d</w:t>
      </w:r>
      <w:proofErr w:type="spellEnd"/>
      <w:r w:rsidRPr="007D635A">
        <w:rPr>
          <w:sz w:val="24"/>
          <w:szCs w:val="24"/>
        </w:rPr>
        <w:t xml:space="preserve"> cited in Mobley, 2012. p24) a conflict historian, described the leadership style as ‘</w:t>
      </w:r>
      <w:r w:rsidRPr="007D635A">
        <w:rPr>
          <w:i/>
          <w:sz w:val="24"/>
          <w:szCs w:val="24"/>
        </w:rPr>
        <w:t xml:space="preserve">control by consensus’ </w:t>
      </w:r>
      <w:r w:rsidRPr="007D635A">
        <w:rPr>
          <w:sz w:val="24"/>
          <w:szCs w:val="24"/>
        </w:rPr>
        <w:t>whereby decisions would be made by those closest to the coalface at the very last minute</w:t>
      </w:r>
      <w:r w:rsidRPr="007D635A">
        <w:rPr>
          <w:i/>
          <w:sz w:val="24"/>
          <w:szCs w:val="24"/>
        </w:rPr>
        <w:t xml:space="preserve">. </w:t>
      </w:r>
    </w:p>
    <w:p w14:paraId="6B91ACBE" w14:textId="77777777" w:rsidR="00566B31" w:rsidRPr="007D635A" w:rsidRDefault="00566B31" w:rsidP="001E3258">
      <w:pPr>
        <w:spacing w:line="600" w:lineRule="auto"/>
        <w:rPr>
          <w:sz w:val="24"/>
          <w:szCs w:val="24"/>
        </w:rPr>
      </w:pPr>
    </w:p>
    <w:p w14:paraId="4E9CE484" w14:textId="6AD939E9" w:rsidR="00566B31" w:rsidRPr="007D635A" w:rsidRDefault="00A62C56" w:rsidP="001E3258">
      <w:pPr>
        <w:spacing w:line="600" w:lineRule="auto"/>
        <w:rPr>
          <w:sz w:val="24"/>
          <w:szCs w:val="24"/>
        </w:rPr>
      </w:pPr>
      <w:r w:rsidRPr="007D635A">
        <w:rPr>
          <w:sz w:val="24"/>
          <w:szCs w:val="24"/>
        </w:rPr>
        <w:t xml:space="preserve">PIRA’s operational plan consisted of attacking ‘central targets’ which were the security </w:t>
      </w:r>
      <w:r w:rsidR="00D36BFF" w:rsidRPr="007D635A">
        <w:rPr>
          <w:sz w:val="24"/>
          <w:szCs w:val="24"/>
        </w:rPr>
        <w:t>forces,</w:t>
      </w:r>
      <w:r w:rsidRPr="007D635A">
        <w:rPr>
          <w:sz w:val="24"/>
          <w:szCs w:val="24"/>
        </w:rPr>
        <w:t xml:space="preserve"> and anyone perceived to be collaborators to the British presence in Northern Ireland. PIRA viewed collaborators as police officers, Judges, prison officers and soldiers, many of whom were unarmed and off duty, drug dealers, informants, rival paramilitary militants and royalty, however, this is not an exhaustive list (Gregory, 2010). PIRA also targeted secondary targets, (who were also viewed as collaborators) such as those providing a service to their perceived enemy; from the milkman delivering supplies to service engineers mending barracks. The attacking of secondary targets also served the purpose of sending a clear message of fear, discipline and obedience that any individual or organisation seen as aiding </w:t>
      </w:r>
      <w:r w:rsidRPr="007D635A">
        <w:rPr>
          <w:sz w:val="24"/>
          <w:szCs w:val="24"/>
        </w:rPr>
        <w:lastRenderedPageBreak/>
        <w:t xml:space="preserve">the enemy, regardless of how minimal the contribution, would be punished (Drake, 1998). Upon selecting a target PIRA </w:t>
      </w:r>
      <w:r w:rsidR="0098372B">
        <w:rPr>
          <w:sz w:val="24"/>
          <w:szCs w:val="24"/>
        </w:rPr>
        <w:t xml:space="preserve">leadership </w:t>
      </w:r>
      <w:r w:rsidRPr="007D635A">
        <w:rPr>
          <w:sz w:val="24"/>
          <w:szCs w:val="24"/>
        </w:rPr>
        <w:t>would engage in operational planning, whereby the likelihood of success would be assessed based on the intelligence, such as the security arrangements or the vulnerability of the target, the capabilities and resources required and weapons available</w:t>
      </w:r>
      <w:r w:rsidR="0098372B">
        <w:rPr>
          <w:sz w:val="24"/>
          <w:szCs w:val="24"/>
        </w:rPr>
        <w:t>,</w:t>
      </w:r>
      <w:r w:rsidRPr="007D635A">
        <w:rPr>
          <w:sz w:val="24"/>
          <w:szCs w:val="24"/>
        </w:rPr>
        <w:t xml:space="preserve"> coupled with the level of operational risk posed to the organisation or its members. Once weighed up the decision to proceed, delay or abort the planned attack would be made (Jackson et al, 2005). However, Bell (1993, cited in Jackson et al, 2005) argues based on many years of research on the organisation, that PIRA spent little to no time considering their strategy or tactics to achieve the organisational goals. This argument appears to echo the criticism made by Mobley (2012) regarding the lack of control within the leadership. However, Bell (</w:t>
      </w:r>
      <w:proofErr w:type="spellStart"/>
      <w:r w:rsidRPr="007D635A">
        <w:rPr>
          <w:sz w:val="24"/>
          <w:szCs w:val="24"/>
        </w:rPr>
        <w:t>n.d</w:t>
      </w:r>
      <w:proofErr w:type="spellEnd"/>
      <w:r w:rsidR="00370195" w:rsidRPr="007D635A">
        <w:rPr>
          <w:sz w:val="24"/>
          <w:szCs w:val="24"/>
        </w:rPr>
        <w:t xml:space="preserve"> cited in Mobley, 2012</w:t>
      </w:r>
      <w:r w:rsidRPr="007D635A">
        <w:rPr>
          <w:sz w:val="24"/>
          <w:szCs w:val="24"/>
        </w:rPr>
        <w:t>) goes on to argue that the lack of control gained PIRA an advantage, as the tempo of attacks were maintained at a high level, allowing the leaders time to either sustain or escalate their attacks to maximise impact.</w:t>
      </w:r>
    </w:p>
    <w:p w14:paraId="73F78094" w14:textId="77777777" w:rsidR="00566B31" w:rsidRPr="007D635A" w:rsidRDefault="00566B31" w:rsidP="001E3258">
      <w:pPr>
        <w:spacing w:line="600" w:lineRule="auto"/>
        <w:rPr>
          <w:sz w:val="24"/>
          <w:szCs w:val="24"/>
        </w:rPr>
      </w:pPr>
    </w:p>
    <w:p w14:paraId="790CABCB" w14:textId="2C926957" w:rsidR="00566B31" w:rsidRPr="007D635A" w:rsidRDefault="00A62C56" w:rsidP="001E3258">
      <w:pPr>
        <w:spacing w:line="600" w:lineRule="auto"/>
        <w:rPr>
          <w:sz w:val="24"/>
          <w:szCs w:val="24"/>
        </w:rPr>
      </w:pPr>
      <w:r w:rsidRPr="007D635A">
        <w:rPr>
          <w:sz w:val="24"/>
          <w:szCs w:val="24"/>
        </w:rPr>
        <w:t>As per PIRA’s strategy, to inflict heavy British Army casualties, the procurement of weapons</w:t>
      </w:r>
      <w:r w:rsidR="0098372B">
        <w:rPr>
          <w:sz w:val="24"/>
          <w:szCs w:val="24"/>
        </w:rPr>
        <w:t>,</w:t>
      </w:r>
      <w:r w:rsidRPr="007D635A">
        <w:rPr>
          <w:sz w:val="24"/>
          <w:szCs w:val="24"/>
        </w:rPr>
        <w:t xml:space="preserve"> explosives and members to do so were sought (Drake, 2007). Recruitment pitches along with targeted recruitment was initiated, whereby talent spotters were deployed to educational establishments seeking out potential recruits with advanced </w:t>
      </w:r>
      <w:r w:rsidRPr="007D635A">
        <w:rPr>
          <w:sz w:val="24"/>
          <w:szCs w:val="24"/>
        </w:rPr>
        <w:lastRenderedPageBreak/>
        <w:t xml:space="preserve">degrees in maths, chemistry and engineering to utilize </w:t>
      </w:r>
      <w:r w:rsidR="0098372B">
        <w:rPr>
          <w:sz w:val="24"/>
          <w:szCs w:val="24"/>
        </w:rPr>
        <w:t>those</w:t>
      </w:r>
      <w:r w:rsidRPr="007D635A">
        <w:rPr>
          <w:sz w:val="24"/>
          <w:szCs w:val="24"/>
        </w:rPr>
        <w:t xml:space="preserve"> skills in the development of explosives. </w:t>
      </w:r>
      <w:r w:rsidR="0098372B">
        <w:rPr>
          <w:sz w:val="24"/>
          <w:szCs w:val="24"/>
        </w:rPr>
        <w:t>A move v</w:t>
      </w:r>
      <w:r w:rsidRPr="007D635A">
        <w:rPr>
          <w:sz w:val="24"/>
          <w:szCs w:val="24"/>
        </w:rPr>
        <w:t xml:space="preserve">iewed by Bloom (2017) as a trailblazing tactic in the recruitment process. Homemade explosives were a favoured weapon due to their effectiveness, coupled with, the ease of sourcing the ingredients cheaply and legitimately thus, reducing the possibility of alerting security services (Horgan and Taylor, 1999). These homemade IED devices would then be planted in vehicles, roadside or within buildings in preparation for detonation. This style of attack was initially chosen, due partly, to the fact PIRA were under equipped with regards to arms, with as little as ten handguns available in their stocks. Quartermasters were appointed the duty of procuring weaponry through interactions with sources, such as Libya in the middle east. Originally, PIRA lacked an ability to source arms due to a lack of knowledge on sourcing and shipment, which led to a catalogue of failures that generated worldwide publicity (Jackson et al, 2005). </w:t>
      </w:r>
      <w:r w:rsidR="0098372B">
        <w:rPr>
          <w:sz w:val="24"/>
          <w:szCs w:val="24"/>
        </w:rPr>
        <w:t xml:space="preserve">However, </w:t>
      </w:r>
      <w:r w:rsidRPr="007D635A">
        <w:rPr>
          <w:sz w:val="24"/>
          <w:szCs w:val="24"/>
        </w:rPr>
        <w:t>PIRA were able to</w:t>
      </w:r>
      <w:r w:rsidR="0098372B">
        <w:rPr>
          <w:sz w:val="24"/>
          <w:szCs w:val="24"/>
        </w:rPr>
        <w:t xml:space="preserve"> adapt and</w:t>
      </w:r>
      <w:r w:rsidRPr="007D635A">
        <w:rPr>
          <w:sz w:val="24"/>
          <w:szCs w:val="24"/>
        </w:rPr>
        <w:t xml:space="preserve"> overcome this issue</w:t>
      </w:r>
      <w:r w:rsidR="0098372B">
        <w:rPr>
          <w:sz w:val="24"/>
          <w:szCs w:val="24"/>
        </w:rPr>
        <w:t>. D</w:t>
      </w:r>
      <w:r w:rsidRPr="007D635A">
        <w:rPr>
          <w:sz w:val="24"/>
          <w:szCs w:val="24"/>
        </w:rPr>
        <w:t xml:space="preserve">uring the 1980’s numerous shipments of arms and explosives flooded into Ireland from Libya (English, 2004). Horgan and Taylor (2003) argue that between </w:t>
      </w:r>
      <w:r w:rsidR="00D36BFF" w:rsidRPr="007D635A">
        <w:rPr>
          <w:sz w:val="24"/>
          <w:szCs w:val="24"/>
        </w:rPr>
        <w:t>forty-five</w:t>
      </w:r>
      <w:r w:rsidRPr="007D635A">
        <w:rPr>
          <w:sz w:val="24"/>
          <w:szCs w:val="24"/>
        </w:rPr>
        <w:t xml:space="preserve"> and sixty percent of the weapons acquired from middle eastern countries were recovered following an operation in the Republic by the Gard</w:t>
      </w:r>
      <w:r w:rsidR="00D36BFF" w:rsidRPr="007D635A">
        <w:rPr>
          <w:sz w:val="24"/>
          <w:szCs w:val="24"/>
        </w:rPr>
        <w:t>a</w:t>
      </w:r>
      <w:r w:rsidRPr="007D635A">
        <w:rPr>
          <w:sz w:val="24"/>
          <w:szCs w:val="24"/>
        </w:rPr>
        <w:t>. However, regardless of the recovery it is thought that PIRA retained</w:t>
      </w:r>
      <w:r w:rsidR="0098372B">
        <w:rPr>
          <w:sz w:val="24"/>
          <w:szCs w:val="24"/>
        </w:rPr>
        <w:t xml:space="preserve"> a vast majority of weapons</w:t>
      </w:r>
      <w:r w:rsidRPr="007D635A">
        <w:rPr>
          <w:sz w:val="24"/>
          <w:szCs w:val="24"/>
        </w:rPr>
        <w:t xml:space="preserve"> suggesting that such operations were futile in disarming PIRA. The funding of PIRA’s armament was largely sourced by the Irish American </w:t>
      </w:r>
      <w:r w:rsidRPr="007D635A">
        <w:rPr>
          <w:sz w:val="24"/>
          <w:szCs w:val="24"/>
        </w:rPr>
        <w:lastRenderedPageBreak/>
        <w:t xml:space="preserve">community within the United States via the organisation NORAID. Originally set up to provide charitable aid to Northern Ireland, the funds raised were arguably not distributed to the families of imprisoned IRA members but rather, into the coughers of those tasked with purchasing arms (Byrne et al, 2008). Woodford and Smith (2018) argue that NORAID provided an overwhelming proportion of PIRA’s funds as well as being the organisation’s largest supplier of arms, which English (2004) argues, undoubtedly helped sustain the ‘troubles’ for the organisation. The domestic fundraising department, which operated within the General </w:t>
      </w:r>
      <w:r w:rsidR="00D36BFF" w:rsidRPr="007D635A">
        <w:rPr>
          <w:sz w:val="24"/>
          <w:szCs w:val="24"/>
        </w:rPr>
        <w:t>Headquarters</w:t>
      </w:r>
      <w:r w:rsidRPr="007D635A">
        <w:rPr>
          <w:sz w:val="24"/>
          <w:szCs w:val="24"/>
        </w:rPr>
        <w:t xml:space="preserve"> staff, developed a reliance on criminal activity to raise their funds. Engaging in numerous racketeering schemes, which were generally viewed as a low risk means of obtaining funds included kidnapping, extortion and protection rackets to name a few. To ensure prosperity, threats of violence towards companies were upheld upon non-payment, using fear </w:t>
      </w:r>
      <w:r w:rsidR="0098372B">
        <w:rPr>
          <w:sz w:val="24"/>
          <w:szCs w:val="24"/>
        </w:rPr>
        <w:t xml:space="preserve">and intimidation as a tactic </w:t>
      </w:r>
      <w:r w:rsidR="00D36BFF" w:rsidRPr="007D635A">
        <w:rPr>
          <w:sz w:val="24"/>
          <w:szCs w:val="24"/>
        </w:rPr>
        <w:t>to</w:t>
      </w:r>
      <w:r w:rsidRPr="007D635A">
        <w:rPr>
          <w:sz w:val="24"/>
          <w:szCs w:val="24"/>
        </w:rPr>
        <w:t xml:space="preserve"> meet their strategic ends. Smuggling and armed robberies quickly became a lucrative means of obtaining funds, so much so a minimum objective amount of ten thousand pounds was implemented by the leadership in order to justify the risk of capture or infiltration posed. Further schemes such as ‘Shebeens’, unlicensed drinking establishments which through the selling of stolen alcohol and cigarettes, also provided a major fundraising front for PIRA (Woodford and Smith, 2018).</w:t>
      </w:r>
    </w:p>
    <w:p w14:paraId="762778AA" w14:textId="77777777" w:rsidR="00566B31" w:rsidRPr="007D635A" w:rsidRDefault="00566B31" w:rsidP="001E3258">
      <w:pPr>
        <w:spacing w:line="600" w:lineRule="auto"/>
        <w:rPr>
          <w:sz w:val="24"/>
          <w:szCs w:val="24"/>
        </w:rPr>
      </w:pPr>
    </w:p>
    <w:p w14:paraId="634CFD94" w14:textId="77777777" w:rsidR="00566B31" w:rsidRPr="007D635A" w:rsidRDefault="00566B31" w:rsidP="001E3258">
      <w:pPr>
        <w:spacing w:line="600" w:lineRule="auto"/>
        <w:rPr>
          <w:sz w:val="24"/>
          <w:szCs w:val="24"/>
        </w:rPr>
      </w:pPr>
    </w:p>
    <w:p w14:paraId="1BA8FF4B" w14:textId="75071C5D" w:rsidR="00566B31" w:rsidRPr="007D635A" w:rsidRDefault="00A62C56" w:rsidP="001E3258">
      <w:pPr>
        <w:spacing w:line="600" w:lineRule="auto"/>
        <w:rPr>
          <w:sz w:val="24"/>
          <w:szCs w:val="24"/>
        </w:rPr>
      </w:pPr>
      <w:r w:rsidRPr="007D635A">
        <w:rPr>
          <w:sz w:val="24"/>
          <w:szCs w:val="24"/>
        </w:rPr>
        <w:t>During the early 1970’s the British Government handed the group a series of propaganda coups, firstly,</w:t>
      </w:r>
      <w:r w:rsidR="00370195" w:rsidRPr="007D635A">
        <w:rPr>
          <w:sz w:val="24"/>
          <w:szCs w:val="24"/>
        </w:rPr>
        <w:t xml:space="preserve"> when hundreds of Catholic men were arrested and indefinitely detained without trial or a crime being committed (Internment), </w:t>
      </w:r>
      <w:r w:rsidRPr="007D635A">
        <w:rPr>
          <w:sz w:val="24"/>
          <w:szCs w:val="24"/>
        </w:rPr>
        <w:t>and secondly,</w:t>
      </w:r>
      <w:r w:rsidR="00370195" w:rsidRPr="007D635A">
        <w:rPr>
          <w:sz w:val="24"/>
          <w:szCs w:val="24"/>
        </w:rPr>
        <w:t xml:space="preserve"> the massacre of unarmed catholic protesters by British paratroopers (Bloody Sunday). </w:t>
      </w:r>
      <w:r w:rsidRPr="007D635A">
        <w:rPr>
          <w:sz w:val="24"/>
          <w:szCs w:val="24"/>
        </w:rPr>
        <w:t xml:space="preserve">These coups strengthened Catholic sympathies toward PIRA, who framed themselves on being defenders of the Catholic Communities, leading to a much needed and significant swell in supporters and members (Gill and Horgan, 2013). Further exploiting the deteriorating attitudes towards the British, a specialist defensive propaganda unit was set up. Understanding the importance of maintaining the support of the catholic communities, the unit’s aim was to portray PIRA as a militant force, to legitimise the cause and justify the actions of the organisation, often depicting the presence of the British Army as a hostile occupation through press releases, leaflets and posters (Sama, 2007). The additional purpose of the propaganda unit was to transform non or soft supporters into hard dedicated supporters </w:t>
      </w:r>
      <w:r w:rsidR="00795A0F">
        <w:rPr>
          <w:sz w:val="24"/>
          <w:szCs w:val="24"/>
        </w:rPr>
        <w:t xml:space="preserve">which allowed </w:t>
      </w:r>
      <w:r w:rsidRPr="007D635A">
        <w:rPr>
          <w:sz w:val="24"/>
          <w:szCs w:val="24"/>
        </w:rPr>
        <w:t xml:space="preserve">PIRA </w:t>
      </w:r>
      <w:r w:rsidR="00795A0F">
        <w:rPr>
          <w:sz w:val="24"/>
          <w:szCs w:val="24"/>
        </w:rPr>
        <w:t>free reign of the community, enabling them to</w:t>
      </w:r>
      <w:r w:rsidRPr="007D635A">
        <w:rPr>
          <w:sz w:val="24"/>
          <w:szCs w:val="24"/>
        </w:rPr>
        <w:t xml:space="preserve"> gather much needed intelligence on their enemy. PIRA’s free reign saw their role </w:t>
      </w:r>
      <w:r w:rsidR="00795A0F">
        <w:rPr>
          <w:sz w:val="24"/>
          <w:szCs w:val="24"/>
        </w:rPr>
        <w:t xml:space="preserve">in the community </w:t>
      </w:r>
      <w:r w:rsidRPr="007D635A">
        <w:rPr>
          <w:sz w:val="24"/>
          <w:szCs w:val="24"/>
        </w:rPr>
        <w:t>morph into that of law enforcers</w:t>
      </w:r>
      <w:r w:rsidR="00795A0F">
        <w:rPr>
          <w:sz w:val="24"/>
          <w:szCs w:val="24"/>
        </w:rPr>
        <w:t>, whereby the p</w:t>
      </w:r>
      <w:r w:rsidRPr="007D635A">
        <w:rPr>
          <w:sz w:val="24"/>
          <w:szCs w:val="24"/>
        </w:rPr>
        <w:t>unishment of criminals, such as drug dealers</w:t>
      </w:r>
      <w:r w:rsidR="00795A0F">
        <w:rPr>
          <w:sz w:val="24"/>
          <w:szCs w:val="24"/>
        </w:rPr>
        <w:t>, would be dealt with by the organisation, further cementing community support</w:t>
      </w:r>
      <w:r w:rsidRPr="007D635A">
        <w:rPr>
          <w:sz w:val="24"/>
          <w:szCs w:val="24"/>
        </w:rPr>
        <w:t xml:space="preserve">. Mobley (2012) suggests that local support was a fundamental </w:t>
      </w:r>
      <w:r w:rsidRPr="007D635A">
        <w:rPr>
          <w:sz w:val="24"/>
          <w:szCs w:val="24"/>
        </w:rPr>
        <w:lastRenderedPageBreak/>
        <w:t xml:space="preserve">asset in PIRA’s intelligence and counterintelligence operations as was the communities non denunciation or denial of any knowledge, which aided in stemming the </w:t>
      </w:r>
      <w:r w:rsidR="00E55EC9" w:rsidRPr="007D635A">
        <w:rPr>
          <w:sz w:val="24"/>
          <w:szCs w:val="24"/>
        </w:rPr>
        <w:t>British</w:t>
      </w:r>
      <w:r w:rsidR="00E55EC9">
        <w:rPr>
          <w:sz w:val="24"/>
          <w:szCs w:val="24"/>
        </w:rPr>
        <w:t>’</w:t>
      </w:r>
      <w:r w:rsidRPr="007D635A">
        <w:rPr>
          <w:sz w:val="24"/>
          <w:szCs w:val="24"/>
        </w:rPr>
        <w:t xml:space="preserve"> ability to gather intelligence on members and their potential targets. In the 1970’s PIRA members were provided with ‘The Green book’, the PIRA policy and training manual. Within, the manual clearly outlined the organisation’s aims, the tactics that were to be utilised and the code of conduct (Collins and McGovern, 1998) The supply of the ‘Green Book’ was not only a symbol of initiation into the organisation, but a rule book that ensured members worked collaboratively to meet their strategic aim. </w:t>
      </w:r>
    </w:p>
    <w:p w14:paraId="3D56A2A2" w14:textId="77777777" w:rsidR="00566B31" w:rsidRPr="007D635A" w:rsidRDefault="00566B31" w:rsidP="001E3258">
      <w:pPr>
        <w:spacing w:line="600" w:lineRule="auto"/>
        <w:rPr>
          <w:sz w:val="24"/>
          <w:szCs w:val="24"/>
        </w:rPr>
      </w:pPr>
    </w:p>
    <w:p w14:paraId="3FA9F825" w14:textId="77777777" w:rsidR="00566B31" w:rsidRPr="007D635A" w:rsidRDefault="00566B31" w:rsidP="001E3258">
      <w:pPr>
        <w:spacing w:line="600" w:lineRule="auto"/>
        <w:rPr>
          <w:sz w:val="24"/>
          <w:szCs w:val="24"/>
        </w:rPr>
      </w:pPr>
    </w:p>
    <w:p w14:paraId="76A16E5E" w14:textId="5CC58D2F" w:rsidR="00566B31" w:rsidRPr="007D635A" w:rsidRDefault="00A62C56" w:rsidP="001E3258">
      <w:pPr>
        <w:spacing w:line="600" w:lineRule="auto"/>
        <w:rPr>
          <w:sz w:val="24"/>
          <w:szCs w:val="24"/>
        </w:rPr>
      </w:pPr>
      <w:r w:rsidRPr="007D635A">
        <w:rPr>
          <w:sz w:val="24"/>
          <w:szCs w:val="24"/>
        </w:rPr>
        <w:t xml:space="preserve">Defined by the organisation’s strategic aims, PIRA </w:t>
      </w:r>
      <w:r w:rsidR="00D36BFF" w:rsidRPr="007D635A">
        <w:rPr>
          <w:sz w:val="24"/>
          <w:szCs w:val="24"/>
        </w:rPr>
        <w:t>detonated</w:t>
      </w:r>
      <w:r w:rsidRPr="007D635A">
        <w:rPr>
          <w:sz w:val="24"/>
          <w:szCs w:val="24"/>
        </w:rPr>
        <w:t xml:space="preserve"> a no warning bomb at a bank in High Street Belfast, the first of its kind in the city, which initiated the organisation’s commercial/economic bombing campaign (</w:t>
      </w:r>
      <w:proofErr w:type="spellStart"/>
      <w:r w:rsidRPr="007D635A">
        <w:rPr>
          <w:sz w:val="24"/>
          <w:szCs w:val="24"/>
        </w:rPr>
        <w:t>Asal</w:t>
      </w:r>
      <w:proofErr w:type="spellEnd"/>
      <w:r w:rsidRPr="007D635A">
        <w:rPr>
          <w:sz w:val="24"/>
          <w:szCs w:val="24"/>
        </w:rPr>
        <w:t xml:space="preserve"> et al, 2015). PIRA hoped that in targeting commercial/ economic buildings that the increase of the financial burden of repairs </w:t>
      </w:r>
      <w:r w:rsidR="00E55EC9">
        <w:rPr>
          <w:sz w:val="24"/>
          <w:szCs w:val="24"/>
        </w:rPr>
        <w:t>on</w:t>
      </w:r>
      <w:r w:rsidRPr="007D635A">
        <w:rPr>
          <w:sz w:val="24"/>
          <w:szCs w:val="24"/>
        </w:rPr>
        <w:t xml:space="preserve"> the British government would persuade British voters to pressurise the British government, to not only withdraw their military control but also their political interest in Northern Ireland (</w:t>
      </w:r>
      <w:proofErr w:type="spellStart"/>
      <w:r w:rsidRPr="007D635A">
        <w:rPr>
          <w:sz w:val="24"/>
          <w:szCs w:val="24"/>
        </w:rPr>
        <w:t>Asal</w:t>
      </w:r>
      <w:proofErr w:type="spellEnd"/>
      <w:r w:rsidRPr="007D635A">
        <w:rPr>
          <w:sz w:val="24"/>
          <w:szCs w:val="24"/>
        </w:rPr>
        <w:t xml:space="preserve"> et al, 2015). Although Commercial/economic</w:t>
      </w:r>
      <w:r w:rsidR="00E55EC9">
        <w:rPr>
          <w:sz w:val="24"/>
          <w:szCs w:val="24"/>
        </w:rPr>
        <w:t xml:space="preserve"> buildings were the</w:t>
      </w:r>
      <w:r w:rsidRPr="007D635A">
        <w:rPr>
          <w:sz w:val="24"/>
          <w:szCs w:val="24"/>
        </w:rPr>
        <w:t xml:space="preserve"> target, sometimes targets were chosen opportunistically rather than strategically, other times, targets were chosen for </w:t>
      </w:r>
      <w:r w:rsidR="00E55EC9">
        <w:rPr>
          <w:sz w:val="24"/>
          <w:szCs w:val="24"/>
        </w:rPr>
        <w:lastRenderedPageBreak/>
        <w:t xml:space="preserve">numerous </w:t>
      </w:r>
      <w:r w:rsidRPr="007D635A">
        <w:rPr>
          <w:sz w:val="24"/>
          <w:szCs w:val="24"/>
        </w:rPr>
        <w:t xml:space="preserve">reasons such as, the prior surveillance required was minimal. The less time spent on surveillance freed up its members for other roles such as ‘floating’, whereby members would drive around until a target such as soldiers or off duty police officers could be found (Mobley 2012).  </w:t>
      </w:r>
      <w:r w:rsidR="00E55EC9">
        <w:rPr>
          <w:sz w:val="24"/>
          <w:szCs w:val="24"/>
        </w:rPr>
        <w:t>The use of e</w:t>
      </w:r>
      <w:r w:rsidRPr="007D635A">
        <w:rPr>
          <w:sz w:val="24"/>
          <w:szCs w:val="24"/>
        </w:rPr>
        <w:t>xplosi</w:t>
      </w:r>
      <w:r w:rsidR="00E55EC9">
        <w:rPr>
          <w:sz w:val="24"/>
          <w:szCs w:val="24"/>
        </w:rPr>
        <w:t>ves had several</w:t>
      </w:r>
      <w:r w:rsidRPr="007D635A">
        <w:rPr>
          <w:sz w:val="24"/>
          <w:szCs w:val="24"/>
        </w:rPr>
        <w:t xml:space="preserve"> </w:t>
      </w:r>
      <w:r w:rsidR="00E55EC9">
        <w:rPr>
          <w:sz w:val="24"/>
          <w:szCs w:val="24"/>
        </w:rPr>
        <w:t xml:space="preserve">beneficial </w:t>
      </w:r>
      <w:r w:rsidRPr="007D635A">
        <w:rPr>
          <w:sz w:val="24"/>
          <w:szCs w:val="24"/>
        </w:rPr>
        <w:t>use</w:t>
      </w:r>
      <w:r w:rsidR="00E55EC9">
        <w:rPr>
          <w:sz w:val="24"/>
          <w:szCs w:val="24"/>
        </w:rPr>
        <w:t>s;</w:t>
      </w:r>
      <w:r w:rsidRPr="007D635A">
        <w:rPr>
          <w:sz w:val="24"/>
          <w:szCs w:val="24"/>
        </w:rPr>
        <w:t xml:space="preserve"> </w:t>
      </w:r>
      <w:r w:rsidR="00E55EC9" w:rsidRPr="007D635A">
        <w:rPr>
          <w:sz w:val="24"/>
          <w:szCs w:val="24"/>
        </w:rPr>
        <w:t>to</w:t>
      </w:r>
      <w:r w:rsidRPr="007D635A">
        <w:rPr>
          <w:sz w:val="24"/>
          <w:szCs w:val="24"/>
        </w:rPr>
        <w:t xml:space="preserve"> tie up the security forces, allowing PIRA to operate unhindered</w:t>
      </w:r>
      <w:r w:rsidR="00E55EC9">
        <w:rPr>
          <w:sz w:val="24"/>
          <w:szCs w:val="24"/>
        </w:rPr>
        <w:t xml:space="preserve"> coupled with </w:t>
      </w:r>
      <w:r w:rsidR="00B92EA5">
        <w:rPr>
          <w:sz w:val="24"/>
          <w:szCs w:val="24"/>
        </w:rPr>
        <w:t>its</w:t>
      </w:r>
      <w:r w:rsidR="00E55EC9">
        <w:rPr>
          <w:sz w:val="24"/>
          <w:szCs w:val="24"/>
        </w:rPr>
        <w:t xml:space="preserve"> ability</w:t>
      </w:r>
      <w:r w:rsidRPr="007D635A">
        <w:rPr>
          <w:sz w:val="24"/>
          <w:szCs w:val="24"/>
        </w:rPr>
        <w:t xml:space="preserve"> to cause disruption</w:t>
      </w:r>
      <w:r w:rsidR="00B92EA5">
        <w:rPr>
          <w:sz w:val="24"/>
          <w:szCs w:val="24"/>
        </w:rPr>
        <w:t xml:space="preserve"> in towns and cities and</w:t>
      </w:r>
      <w:r w:rsidR="00E55EC9">
        <w:rPr>
          <w:sz w:val="24"/>
          <w:szCs w:val="24"/>
        </w:rPr>
        <w:t xml:space="preserve"> </w:t>
      </w:r>
      <w:r w:rsidRPr="007D635A">
        <w:rPr>
          <w:sz w:val="24"/>
          <w:szCs w:val="24"/>
        </w:rPr>
        <w:t>deter investment</w:t>
      </w:r>
      <w:r w:rsidR="00B92EA5">
        <w:rPr>
          <w:sz w:val="24"/>
          <w:szCs w:val="24"/>
        </w:rPr>
        <w:t>,</w:t>
      </w:r>
      <w:r w:rsidRPr="007D635A">
        <w:rPr>
          <w:sz w:val="24"/>
          <w:szCs w:val="24"/>
        </w:rPr>
        <w:t xml:space="preserve"> </w:t>
      </w:r>
      <w:r w:rsidR="00B92EA5">
        <w:rPr>
          <w:sz w:val="24"/>
          <w:szCs w:val="24"/>
        </w:rPr>
        <w:t>in a bid to</w:t>
      </w:r>
      <w:r w:rsidRPr="007D635A">
        <w:rPr>
          <w:sz w:val="24"/>
          <w:szCs w:val="24"/>
        </w:rPr>
        <w:t xml:space="preserve"> render the country unprofitable.</w:t>
      </w:r>
      <w:r w:rsidR="00B92EA5">
        <w:rPr>
          <w:sz w:val="24"/>
          <w:szCs w:val="24"/>
        </w:rPr>
        <w:t xml:space="preserve"> </w:t>
      </w:r>
      <w:r w:rsidR="00B92EA5" w:rsidRPr="007D635A">
        <w:rPr>
          <w:sz w:val="24"/>
          <w:szCs w:val="24"/>
        </w:rPr>
        <w:t>To minimise civilian casualties</w:t>
      </w:r>
      <w:r w:rsidR="00B92EA5">
        <w:rPr>
          <w:sz w:val="24"/>
          <w:szCs w:val="24"/>
        </w:rPr>
        <w:t xml:space="preserve"> and maintain support</w:t>
      </w:r>
      <w:r w:rsidR="00B92EA5" w:rsidRPr="007D635A">
        <w:rPr>
          <w:sz w:val="24"/>
          <w:szCs w:val="24"/>
        </w:rPr>
        <w:t>, many explosions took place at night or prior warning would be provided to the authorities (</w:t>
      </w:r>
      <w:proofErr w:type="spellStart"/>
      <w:r w:rsidR="00B92EA5" w:rsidRPr="007D635A">
        <w:rPr>
          <w:sz w:val="24"/>
          <w:szCs w:val="24"/>
        </w:rPr>
        <w:t>Asal</w:t>
      </w:r>
      <w:proofErr w:type="spellEnd"/>
      <w:r w:rsidR="00B92EA5" w:rsidRPr="007D635A">
        <w:rPr>
          <w:sz w:val="24"/>
          <w:szCs w:val="24"/>
        </w:rPr>
        <w:t xml:space="preserve"> et al, 2015) to allow for areas to be cleared prior to detonation (Jackson et al, 2005).  However, not all warnings would be received in time or received by the correct authorities</w:t>
      </w:r>
      <w:r w:rsidR="00B92EA5">
        <w:rPr>
          <w:sz w:val="24"/>
          <w:szCs w:val="24"/>
        </w:rPr>
        <w:t xml:space="preserve"> leading to some civilian casualties and deaths.</w:t>
      </w:r>
      <w:r w:rsidRPr="007D635A">
        <w:rPr>
          <w:sz w:val="24"/>
          <w:szCs w:val="24"/>
        </w:rPr>
        <w:t xml:space="preserve"> </w:t>
      </w:r>
      <w:r w:rsidR="00B92EA5">
        <w:rPr>
          <w:sz w:val="24"/>
          <w:szCs w:val="24"/>
        </w:rPr>
        <w:t>T</w:t>
      </w:r>
      <w:r w:rsidRPr="007D635A">
        <w:rPr>
          <w:sz w:val="24"/>
          <w:szCs w:val="24"/>
        </w:rPr>
        <w:t xml:space="preserve">he implication of the early bombing campaign resulted in </w:t>
      </w:r>
      <w:r w:rsidR="00B92EA5">
        <w:rPr>
          <w:sz w:val="24"/>
          <w:szCs w:val="24"/>
        </w:rPr>
        <w:t xml:space="preserve">a </w:t>
      </w:r>
      <w:r w:rsidRPr="007D635A">
        <w:rPr>
          <w:sz w:val="24"/>
          <w:szCs w:val="24"/>
        </w:rPr>
        <w:t>high number of member casualties and deaths</w:t>
      </w:r>
      <w:r w:rsidR="00B92EA5">
        <w:rPr>
          <w:sz w:val="24"/>
          <w:szCs w:val="24"/>
        </w:rPr>
        <w:t xml:space="preserve"> caused by the</w:t>
      </w:r>
      <w:r w:rsidRPr="007D635A">
        <w:rPr>
          <w:sz w:val="24"/>
          <w:szCs w:val="24"/>
        </w:rPr>
        <w:t xml:space="preserve"> instability and crudeness of the devices, so much so, those who volunteered to work with explosives were viewed as crazy or nutty professors, which emphasised the need for innovation. In order to protect their members</w:t>
      </w:r>
      <w:r w:rsidR="00B92EA5">
        <w:rPr>
          <w:sz w:val="24"/>
          <w:szCs w:val="24"/>
        </w:rPr>
        <w:t>, civilians</w:t>
      </w:r>
      <w:r w:rsidRPr="007D635A">
        <w:rPr>
          <w:sz w:val="24"/>
          <w:szCs w:val="24"/>
        </w:rPr>
        <w:t xml:space="preserve"> and increase the chances of operational success, PIRA advanced on their technology. Moving to remote and automatic detonators resulted in a decline in fatalities from 31 </w:t>
      </w:r>
      <w:r w:rsidR="004207AD">
        <w:rPr>
          <w:sz w:val="24"/>
          <w:szCs w:val="24"/>
        </w:rPr>
        <w:t>members</w:t>
      </w:r>
      <w:r w:rsidRPr="007D635A">
        <w:rPr>
          <w:sz w:val="24"/>
          <w:szCs w:val="24"/>
        </w:rPr>
        <w:t xml:space="preserve"> in 1973 to fewer than two a year by 1978, clearly demonstrating their ability to adapt and learn from their mistakes (Jackson et al, 2005). </w:t>
      </w:r>
    </w:p>
    <w:p w14:paraId="2A13FE91" w14:textId="77777777" w:rsidR="00566B31" w:rsidRPr="007D635A" w:rsidRDefault="00566B31" w:rsidP="001E3258">
      <w:pPr>
        <w:spacing w:line="600" w:lineRule="auto"/>
        <w:rPr>
          <w:sz w:val="24"/>
          <w:szCs w:val="24"/>
        </w:rPr>
      </w:pPr>
    </w:p>
    <w:p w14:paraId="5C19C23D" w14:textId="6649E02B" w:rsidR="00566B31" w:rsidRPr="007D635A" w:rsidRDefault="00A62C56" w:rsidP="001E3258">
      <w:pPr>
        <w:spacing w:line="600" w:lineRule="auto"/>
        <w:rPr>
          <w:sz w:val="24"/>
          <w:szCs w:val="24"/>
        </w:rPr>
      </w:pPr>
      <w:r w:rsidRPr="007D635A">
        <w:rPr>
          <w:sz w:val="24"/>
          <w:szCs w:val="24"/>
        </w:rPr>
        <w:t xml:space="preserve">Although external appearances gave the impression that  PIRA were highly organised, the influx of supporters following the coups and propaganda campaigns had a significant effect on central leadership’s control over rank and file and target choices, resulting in many attacks being opportunistic in nature than the result of careful planning (Field, 2017). The lack of control over members by its leaders, led to an increase in carelessly executed attacks on the police and military which placed the lives of civilians, bystanders and the organisation itself at risk (Mobley, 2012). Utilising the disorganisation within PIRA’s ranks, aggressive counter terrorism operations easily identified and arrested PIRA members further disrupting </w:t>
      </w:r>
      <w:r w:rsidR="004207AD">
        <w:rPr>
          <w:sz w:val="24"/>
          <w:szCs w:val="24"/>
        </w:rPr>
        <w:t xml:space="preserve">their </w:t>
      </w:r>
      <w:r w:rsidRPr="007D635A">
        <w:rPr>
          <w:sz w:val="24"/>
          <w:szCs w:val="24"/>
        </w:rPr>
        <w:t xml:space="preserve">internal communications and operations (Field, 2017). The government response to the bombing campaign resulted in the </w:t>
      </w:r>
      <w:proofErr w:type="gramStart"/>
      <w:r w:rsidRPr="007D635A">
        <w:rPr>
          <w:sz w:val="24"/>
          <w:szCs w:val="24"/>
        </w:rPr>
        <w:t>aforementioned internment</w:t>
      </w:r>
      <w:proofErr w:type="gramEnd"/>
      <w:r w:rsidRPr="007D635A">
        <w:rPr>
          <w:sz w:val="24"/>
          <w:szCs w:val="24"/>
        </w:rPr>
        <w:t xml:space="preserve"> of three hundred and </w:t>
      </w:r>
      <w:r w:rsidR="00D36BFF" w:rsidRPr="007D635A">
        <w:rPr>
          <w:sz w:val="24"/>
          <w:szCs w:val="24"/>
        </w:rPr>
        <w:t>forty-two</w:t>
      </w:r>
      <w:r w:rsidRPr="007D635A">
        <w:rPr>
          <w:sz w:val="24"/>
          <w:szCs w:val="24"/>
        </w:rPr>
        <w:t xml:space="preserve"> men, many of whom had no association to PIRA known as</w:t>
      </w:r>
      <w:r w:rsidR="004207AD">
        <w:rPr>
          <w:sz w:val="24"/>
          <w:szCs w:val="24"/>
        </w:rPr>
        <w:t>,</w:t>
      </w:r>
      <w:r w:rsidRPr="007D635A">
        <w:rPr>
          <w:sz w:val="24"/>
          <w:szCs w:val="24"/>
        </w:rPr>
        <w:t xml:space="preserve"> Operation Demetrious. The operation was a disaster move by the British Army due to their lack of intelligence </w:t>
      </w:r>
      <w:r w:rsidR="004207AD">
        <w:rPr>
          <w:sz w:val="24"/>
          <w:szCs w:val="24"/>
        </w:rPr>
        <w:t xml:space="preserve">on member </w:t>
      </w:r>
      <w:r w:rsidRPr="007D635A">
        <w:rPr>
          <w:sz w:val="24"/>
          <w:szCs w:val="24"/>
        </w:rPr>
        <w:t xml:space="preserve">and </w:t>
      </w:r>
      <w:r w:rsidR="004207AD">
        <w:rPr>
          <w:sz w:val="24"/>
          <w:szCs w:val="24"/>
        </w:rPr>
        <w:t xml:space="preserve">use of </w:t>
      </w:r>
      <w:r w:rsidRPr="007D635A">
        <w:rPr>
          <w:sz w:val="24"/>
          <w:szCs w:val="24"/>
        </w:rPr>
        <w:t>interrogation techniques only served to further alienate and infuriate the catholic community further into the arms of the PIRA (Mobley, 2012).</w:t>
      </w:r>
    </w:p>
    <w:p w14:paraId="633D7586" w14:textId="77777777" w:rsidR="00566B31" w:rsidRPr="007D635A" w:rsidRDefault="00566B31" w:rsidP="001E3258">
      <w:pPr>
        <w:spacing w:line="600" w:lineRule="auto"/>
        <w:rPr>
          <w:sz w:val="24"/>
          <w:szCs w:val="24"/>
        </w:rPr>
      </w:pPr>
    </w:p>
    <w:p w14:paraId="47D28DF0" w14:textId="4CA04F19" w:rsidR="00566B31" w:rsidRPr="007D635A" w:rsidRDefault="00A62C56" w:rsidP="001E3258">
      <w:pPr>
        <w:spacing w:line="600" w:lineRule="auto"/>
        <w:rPr>
          <w:sz w:val="24"/>
          <w:szCs w:val="24"/>
        </w:rPr>
      </w:pPr>
      <w:r w:rsidRPr="007D635A">
        <w:rPr>
          <w:sz w:val="24"/>
          <w:szCs w:val="24"/>
        </w:rPr>
        <w:t>In the Early 1970’s PIRA engaged in a strategy known as the ‘mainland campaign’</w:t>
      </w:r>
      <w:r w:rsidR="004207AD">
        <w:rPr>
          <w:sz w:val="24"/>
          <w:szCs w:val="24"/>
        </w:rPr>
        <w:t>,</w:t>
      </w:r>
      <w:r w:rsidRPr="007D635A">
        <w:rPr>
          <w:sz w:val="24"/>
          <w:szCs w:val="24"/>
        </w:rPr>
        <w:t xml:space="preserve"> </w:t>
      </w:r>
      <w:r w:rsidR="004207AD">
        <w:rPr>
          <w:sz w:val="24"/>
          <w:szCs w:val="24"/>
        </w:rPr>
        <w:t xml:space="preserve">utilised </w:t>
      </w:r>
      <w:r w:rsidRPr="007D635A">
        <w:rPr>
          <w:sz w:val="24"/>
          <w:szCs w:val="24"/>
        </w:rPr>
        <w:t>to bring the ‘struggles’ of Northern Ireland to the door of their enemy</w:t>
      </w:r>
      <w:r w:rsidR="004207AD">
        <w:rPr>
          <w:sz w:val="24"/>
          <w:szCs w:val="24"/>
        </w:rPr>
        <w:t xml:space="preserve">. </w:t>
      </w:r>
      <w:r w:rsidRPr="007D635A">
        <w:rPr>
          <w:sz w:val="24"/>
          <w:szCs w:val="24"/>
        </w:rPr>
        <w:t xml:space="preserve"> </w:t>
      </w:r>
      <w:r w:rsidRPr="007D635A">
        <w:rPr>
          <w:sz w:val="24"/>
          <w:szCs w:val="24"/>
        </w:rPr>
        <w:lastRenderedPageBreak/>
        <w:t xml:space="preserve">(Oppenheimer, 2008). </w:t>
      </w:r>
      <w:r w:rsidR="004207AD">
        <w:rPr>
          <w:sz w:val="24"/>
          <w:szCs w:val="24"/>
        </w:rPr>
        <w:t>The tactic being to turn what</w:t>
      </w:r>
      <w:r w:rsidRPr="007D635A">
        <w:rPr>
          <w:sz w:val="24"/>
          <w:szCs w:val="24"/>
        </w:rPr>
        <w:t xml:space="preserve"> had become an ‘acceptable’ level of violence in Northern Ireland, into an ‘unacceptable’ level in England</w:t>
      </w:r>
      <w:r w:rsidR="0088247E">
        <w:rPr>
          <w:sz w:val="24"/>
          <w:szCs w:val="24"/>
        </w:rPr>
        <w:t xml:space="preserve"> and parts of Europe</w:t>
      </w:r>
      <w:r w:rsidRPr="007D635A">
        <w:rPr>
          <w:sz w:val="24"/>
          <w:szCs w:val="24"/>
        </w:rPr>
        <w:t xml:space="preserve"> that would </w:t>
      </w:r>
      <w:r w:rsidR="0088247E">
        <w:rPr>
          <w:sz w:val="24"/>
          <w:szCs w:val="24"/>
        </w:rPr>
        <w:t>attract</w:t>
      </w:r>
      <w:r w:rsidRPr="007D635A">
        <w:rPr>
          <w:sz w:val="24"/>
          <w:szCs w:val="24"/>
        </w:rPr>
        <w:t xml:space="preserve"> both British and </w:t>
      </w:r>
      <w:r w:rsidR="00D36BFF" w:rsidRPr="007D635A">
        <w:rPr>
          <w:sz w:val="24"/>
          <w:szCs w:val="24"/>
        </w:rPr>
        <w:t>worldwide</w:t>
      </w:r>
      <w:r w:rsidRPr="007D635A">
        <w:rPr>
          <w:sz w:val="24"/>
          <w:szCs w:val="24"/>
        </w:rPr>
        <w:t xml:space="preserve"> publicity, </w:t>
      </w:r>
      <w:r w:rsidR="0088247E">
        <w:rPr>
          <w:sz w:val="24"/>
          <w:szCs w:val="24"/>
        </w:rPr>
        <w:t>drawing attention to the republican</w:t>
      </w:r>
      <w:r w:rsidRPr="007D635A">
        <w:rPr>
          <w:sz w:val="24"/>
          <w:szCs w:val="24"/>
        </w:rPr>
        <w:t xml:space="preserve"> cause worldwide (Leahy, 2020</w:t>
      </w:r>
      <w:r w:rsidR="004207AD">
        <w:rPr>
          <w:sz w:val="24"/>
          <w:szCs w:val="24"/>
        </w:rPr>
        <w:t>.p103</w:t>
      </w:r>
      <w:r w:rsidRPr="007D635A">
        <w:rPr>
          <w:sz w:val="24"/>
          <w:szCs w:val="24"/>
        </w:rPr>
        <w:t xml:space="preserve">). In terms of the impact and possible publicity generated, one bomb in the country's capital London, was worth a dozen or more in Northern Ireland (The Guardian, 2005). Through the careful selection of targets </w:t>
      </w:r>
      <w:r w:rsidR="00D36BFF" w:rsidRPr="007D635A">
        <w:rPr>
          <w:sz w:val="24"/>
          <w:szCs w:val="24"/>
        </w:rPr>
        <w:t>mainly</w:t>
      </w:r>
      <w:r w:rsidRPr="007D635A">
        <w:rPr>
          <w:sz w:val="24"/>
          <w:szCs w:val="24"/>
        </w:rPr>
        <w:t xml:space="preserve"> military bases and soldiers coupled with high profile locations; Harrods, Oxford street, Houses of Parliament and downing street to name a few, aimed to disrupt and </w:t>
      </w:r>
      <w:r w:rsidR="00D36BFF" w:rsidRPr="007D635A">
        <w:rPr>
          <w:sz w:val="24"/>
          <w:szCs w:val="24"/>
        </w:rPr>
        <w:t>instil</w:t>
      </w:r>
      <w:r w:rsidRPr="007D635A">
        <w:rPr>
          <w:sz w:val="24"/>
          <w:szCs w:val="24"/>
        </w:rPr>
        <w:t xml:space="preserve"> fear into the lives of ordinary Britons</w:t>
      </w:r>
      <w:r w:rsidR="0088247E">
        <w:rPr>
          <w:sz w:val="24"/>
          <w:szCs w:val="24"/>
        </w:rPr>
        <w:t xml:space="preserve"> began</w:t>
      </w:r>
      <w:r w:rsidRPr="007D635A">
        <w:rPr>
          <w:sz w:val="24"/>
          <w:szCs w:val="24"/>
        </w:rPr>
        <w:t xml:space="preserve">. (Oppenheimer, 2008). To apply further pressure, PIRA ‘upped the ante’ to include the </w:t>
      </w:r>
      <w:r w:rsidR="00D36BFF" w:rsidRPr="007D635A">
        <w:rPr>
          <w:sz w:val="24"/>
          <w:szCs w:val="24"/>
        </w:rPr>
        <w:t>assassination</w:t>
      </w:r>
      <w:r w:rsidRPr="007D635A">
        <w:rPr>
          <w:sz w:val="24"/>
          <w:szCs w:val="24"/>
        </w:rPr>
        <w:t xml:space="preserve"> of high-profile British figures, the most significant being, Lord Mountbatten, a cousin of Queen Elizabeth the second (Mumford, 2017). However, it is important to note that his death occurred while Lord Mountbatten was on his Irish annual summer holiday (Saner, 2019). The purpose of the ‘mainland campaign’ was to intimidate the British population, who in turn, would apply enough pressure on the British government to withdraw their troops from Northern Ireland. </w:t>
      </w:r>
      <w:r w:rsidR="0088247E">
        <w:rPr>
          <w:sz w:val="24"/>
          <w:szCs w:val="24"/>
        </w:rPr>
        <w:t>To evade arrest, a</w:t>
      </w:r>
      <w:r w:rsidRPr="007D635A">
        <w:rPr>
          <w:sz w:val="24"/>
          <w:szCs w:val="24"/>
        </w:rPr>
        <w:t xml:space="preserve">s many of PIRA operatives were known to the British authorities, those that were deployed by PIRA to carry out the attacks were required to have clear criminal records known as ‘clean skins’ to ensure operational success (Oppenheimer, 2008). However, the mainland campaign had a significant negative effect on PIRA. </w:t>
      </w:r>
      <w:r w:rsidRPr="007D635A">
        <w:rPr>
          <w:sz w:val="24"/>
          <w:szCs w:val="24"/>
        </w:rPr>
        <w:lastRenderedPageBreak/>
        <w:t>Oppenheimer (2008) argues that the campaign lacked direction</w:t>
      </w:r>
      <w:r w:rsidR="0088247E">
        <w:rPr>
          <w:sz w:val="24"/>
          <w:szCs w:val="24"/>
        </w:rPr>
        <w:t xml:space="preserve"> and drained</w:t>
      </w:r>
      <w:r w:rsidRPr="007D635A">
        <w:rPr>
          <w:sz w:val="24"/>
          <w:szCs w:val="24"/>
        </w:rPr>
        <w:t xml:space="preserve"> the expertise and resources of Northern Ireland's operations. Although, to a degree, PIRA succeeded in causing disruption and instilling fear into the lives of ordinary Britons, the ‘Mainland campaign’ strategy ultimately failed in its objective to influence a government withdrawal (Dingley, 2012) instead, </w:t>
      </w:r>
      <w:r w:rsidR="00D36BFF" w:rsidRPr="007D635A">
        <w:rPr>
          <w:sz w:val="24"/>
          <w:szCs w:val="24"/>
        </w:rPr>
        <w:t xml:space="preserve">only served to </w:t>
      </w:r>
      <w:r w:rsidRPr="007D635A">
        <w:rPr>
          <w:sz w:val="24"/>
          <w:szCs w:val="24"/>
        </w:rPr>
        <w:t>intensif</w:t>
      </w:r>
      <w:r w:rsidR="00D36BFF" w:rsidRPr="007D635A">
        <w:rPr>
          <w:sz w:val="24"/>
          <w:szCs w:val="24"/>
        </w:rPr>
        <w:t>y</w:t>
      </w:r>
      <w:r w:rsidRPr="007D635A">
        <w:rPr>
          <w:sz w:val="24"/>
          <w:szCs w:val="24"/>
        </w:rPr>
        <w:t xml:space="preserve"> Anti-Irish bigotry (Oppenheimer, 2008).  </w:t>
      </w:r>
    </w:p>
    <w:p w14:paraId="739C1E7B" w14:textId="77777777" w:rsidR="00566B31" w:rsidRPr="007D635A" w:rsidRDefault="00566B31" w:rsidP="001E3258">
      <w:pPr>
        <w:spacing w:line="600" w:lineRule="auto"/>
        <w:rPr>
          <w:sz w:val="24"/>
          <w:szCs w:val="24"/>
        </w:rPr>
      </w:pPr>
    </w:p>
    <w:p w14:paraId="474A3CE9" w14:textId="77777777" w:rsidR="00566B31" w:rsidRPr="007D635A" w:rsidRDefault="00566B31" w:rsidP="001E3258">
      <w:pPr>
        <w:spacing w:line="600" w:lineRule="auto"/>
        <w:rPr>
          <w:sz w:val="24"/>
          <w:szCs w:val="24"/>
        </w:rPr>
      </w:pPr>
    </w:p>
    <w:p w14:paraId="060F839A" w14:textId="37FD1763" w:rsidR="00566B31" w:rsidRPr="007D635A" w:rsidRDefault="00A62C56" w:rsidP="001E3258">
      <w:pPr>
        <w:spacing w:line="600" w:lineRule="auto"/>
        <w:rPr>
          <w:sz w:val="24"/>
          <w:szCs w:val="24"/>
        </w:rPr>
      </w:pPr>
      <w:r w:rsidRPr="007D635A">
        <w:rPr>
          <w:sz w:val="24"/>
          <w:szCs w:val="24"/>
        </w:rPr>
        <w:t>Following the collapse of the ceasefire in 1975 PIRA attempted to gain initiative, increasingly aware that defeating the British Army imminently was no longer a possibility</w:t>
      </w:r>
      <w:r w:rsidR="00D36BFF" w:rsidRPr="007D635A">
        <w:rPr>
          <w:sz w:val="24"/>
          <w:szCs w:val="24"/>
        </w:rPr>
        <w:t>,</w:t>
      </w:r>
      <w:r w:rsidRPr="007D635A">
        <w:rPr>
          <w:sz w:val="24"/>
          <w:szCs w:val="24"/>
        </w:rPr>
        <w:t xml:space="preserve"> a new doctrine was declared which posited the organisations dedication to achieving victory through a ‘Long War’ of attrition (Morrison and </w:t>
      </w:r>
      <w:r w:rsidR="00D36BFF" w:rsidRPr="007D635A">
        <w:rPr>
          <w:sz w:val="24"/>
          <w:szCs w:val="24"/>
        </w:rPr>
        <w:t>Gill</w:t>
      </w:r>
      <w:r w:rsidRPr="007D635A">
        <w:rPr>
          <w:sz w:val="24"/>
          <w:szCs w:val="24"/>
        </w:rPr>
        <w:t>, 2017). In the wake of the prison crisis whereby imprisoned PIRA members called for their political status and privileges to be reinstated</w:t>
      </w:r>
      <w:r w:rsidR="00D36BFF" w:rsidRPr="007D635A">
        <w:rPr>
          <w:sz w:val="24"/>
          <w:szCs w:val="24"/>
        </w:rPr>
        <w:t>,</w:t>
      </w:r>
      <w:r w:rsidRPr="007D635A">
        <w:rPr>
          <w:sz w:val="24"/>
          <w:szCs w:val="24"/>
        </w:rPr>
        <w:t xml:space="preserve"> escalated to the ‘hunger strikes’. The support shown for the cause</w:t>
      </w:r>
      <w:r w:rsidR="001A7A52" w:rsidRPr="007D635A">
        <w:rPr>
          <w:sz w:val="24"/>
          <w:szCs w:val="24"/>
        </w:rPr>
        <w:t>,</w:t>
      </w:r>
      <w:r w:rsidRPr="007D635A">
        <w:rPr>
          <w:sz w:val="24"/>
          <w:szCs w:val="24"/>
        </w:rPr>
        <w:t xml:space="preserve"> </w:t>
      </w:r>
      <w:r w:rsidR="00D36BFF" w:rsidRPr="007D635A">
        <w:rPr>
          <w:sz w:val="24"/>
          <w:szCs w:val="24"/>
        </w:rPr>
        <w:t>domestically and worldwide</w:t>
      </w:r>
      <w:r w:rsidR="001A7A52" w:rsidRPr="007D635A">
        <w:rPr>
          <w:sz w:val="24"/>
          <w:szCs w:val="24"/>
        </w:rPr>
        <w:t>, followed by the</w:t>
      </w:r>
      <w:r w:rsidRPr="007D635A">
        <w:rPr>
          <w:sz w:val="24"/>
          <w:szCs w:val="24"/>
        </w:rPr>
        <w:t xml:space="preserve"> election of Bobby Sands </w:t>
      </w:r>
      <w:r w:rsidR="001A7A52" w:rsidRPr="007D635A">
        <w:rPr>
          <w:sz w:val="24"/>
          <w:szCs w:val="24"/>
        </w:rPr>
        <w:t xml:space="preserve">(imprisoned hunger striker) </w:t>
      </w:r>
      <w:r w:rsidRPr="007D635A">
        <w:rPr>
          <w:sz w:val="24"/>
          <w:szCs w:val="24"/>
        </w:rPr>
        <w:t xml:space="preserve">as a member of parliament, convinced PIRA </w:t>
      </w:r>
      <w:r w:rsidR="0088247E">
        <w:rPr>
          <w:sz w:val="24"/>
          <w:szCs w:val="24"/>
        </w:rPr>
        <w:t>that</w:t>
      </w:r>
      <w:r w:rsidRPr="007D635A">
        <w:rPr>
          <w:sz w:val="24"/>
          <w:szCs w:val="24"/>
        </w:rPr>
        <w:t xml:space="preserve"> combining their campaign with politics could yield great rewards for their objective. However, Mobley (2012) argues that the lack of control over its members compromised elements of PIRA’s political strategy. </w:t>
      </w:r>
      <w:r w:rsidR="00956A7F">
        <w:rPr>
          <w:sz w:val="24"/>
          <w:szCs w:val="24"/>
        </w:rPr>
        <w:t>In a change of tactic, t</w:t>
      </w:r>
      <w:r w:rsidRPr="007D635A">
        <w:rPr>
          <w:sz w:val="24"/>
          <w:szCs w:val="24"/>
        </w:rPr>
        <w:t xml:space="preserve">hrough the adoption of a parallel electoral strategy, PIRA’s political wing Sinn Fein began </w:t>
      </w:r>
      <w:r w:rsidRPr="007D635A">
        <w:rPr>
          <w:sz w:val="24"/>
          <w:szCs w:val="24"/>
        </w:rPr>
        <w:lastRenderedPageBreak/>
        <w:t>contesting elections in both Northern Ireland and the Republic which sought to work in tandem with PIRA to exert political pressure on Britain</w:t>
      </w:r>
      <w:r w:rsidR="001A7A52" w:rsidRPr="007D635A">
        <w:rPr>
          <w:sz w:val="24"/>
          <w:szCs w:val="24"/>
        </w:rPr>
        <w:t>,</w:t>
      </w:r>
      <w:r w:rsidRPr="007D635A">
        <w:rPr>
          <w:sz w:val="24"/>
          <w:szCs w:val="24"/>
        </w:rPr>
        <w:t xml:space="preserve"> </w:t>
      </w:r>
      <w:r w:rsidR="00956A7F">
        <w:rPr>
          <w:sz w:val="24"/>
          <w:szCs w:val="24"/>
        </w:rPr>
        <w:t>while</w:t>
      </w:r>
      <w:r w:rsidRPr="007D635A">
        <w:rPr>
          <w:sz w:val="24"/>
          <w:szCs w:val="24"/>
        </w:rPr>
        <w:t xml:space="preserve"> PIRA continue</w:t>
      </w:r>
      <w:r w:rsidR="00956A7F">
        <w:rPr>
          <w:sz w:val="24"/>
          <w:szCs w:val="24"/>
        </w:rPr>
        <w:t>d</w:t>
      </w:r>
      <w:r w:rsidRPr="007D635A">
        <w:rPr>
          <w:sz w:val="24"/>
          <w:szCs w:val="24"/>
        </w:rPr>
        <w:t xml:space="preserve"> their campaign of violence known as the Armalite and Ballot Box strategy (Dingley, 2012). Dingley (2012) argues that the political face of PIRA needed to portray an image free from criminal activity. Thus, PIRA moved into running legitimate businesses to accrue legitimate profits such as </w:t>
      </w:r>
      <w:r w:rsidR="001A7A52" w:rsidRPr="007D635A">
        <w:rPr>
          <w:sz w:val="24"/>
          <w:szCs w:val="24"/>
        </w:rPr>
        <w:t>the</w:t>
      </w:r>
      <w:r w:rsidRPr="007D635A">
        <w:rPr>
          <w:sz w:val="24"/>
          <w:szCs w:val="24"/>
        </w:rPr>
        <w:t xml:space="preserve"> ‘Black’ taxi cabs in Belfast with at least two known cab services operating in Dublin. The running of social clubs </w:t>
      </w:r>
      <w:r w:rsidR="001A7A52" w:rsidRPr="007D635A">
        <w:rPr>
          <w:sz w:val="24"/>
          <w:szCs w:val="24"/>
        </w:rPr>
        <w:t>was</w:t>
      </w:r>
      <w:r w:rsidRPr="007D635A">
        <w:rPr>
          <w:sz w:val="24"/>
          <w:szCs w:val="24"/>
        </w:rPr>
        <w:t xml:space="preserve"> also a source of legitimate profits, although</w:t>
      </w:r>
      <w:r w:rsidR="00956A7F">
        <w:rPr>
          <w:sz w:val="24"/>
          <w:szCs w:val="24"/>
        </w:rPr>
        <w:t>,</w:t>
      </w:r>
      <w:r w:rsidRPr="007D635A">
        <w:rPr>
          <w:sz w:val="24"/>
          <w:szCs w:val="24"/>
        </w:rPr>
        <w:t xml:space="preserve"> Hogan and Taylor (2003) argue that some social clubs </w:t>
      </w:r>
      <w:r w:rsidR="00956A7F">
        <w:rPr>
          <w:sz w:val="24"/>
          <w:szCs w:val="24"/>
        </w:rPr>
        <w:t xml:space="preserve">also </w:t>
      </w:r>
      <w:r w:rsidRPr="007D635A">
        <w:rPr>
          <w:sz w:val="24"/>
          <w:szCs w:val="24"/>
        </w:rPr>
        <w:t xml:space="preserve">had illegal slot machines installed to offset the income from those that were legal. PIRA extended their legitimate busines portfolio to </w:t>
      </w:r>
      <w:r w:rsidR="00956A7F">
        <w:rPr>
          <w:sz w:val="24"/>
          <w:szCs w:val="24"/>
        </w:rPr>
        <w:t xml:space="preserve">include </w:t>
      </w:r>
      <w:r w:rsidRPr="007D635A">
        <w:rPr>
          <w:sz w:val="24"/>
          <w:szCs w:val="24"/>
        </w:rPr>
        <w:t>construction firms, guest houses, shops, restaurants and courier services to name a few. Although many of the businesses were legal</w:t>
      </w:r>
      <w:r w:rsidR="001A7A52" w:rsidRPr="007D635A">
        <w:rPr>
          <w:sz w:val="24"/>
          <w:szCs w:val="24"/>
        </w:rPr>
        <w:t>,</w:t>
      </w:r>
      <w:r w:rsidRPr="007D635A">
        <w:rPr>
          <w:sz w:val="24"/>
          <w:szCs w:val="24"/>
        </w:rPr>
        <w:t xml:space="preserve"> PIRA </w:t>
      </w:r>
      <w:r w:rsidR="001A7A52" w:rsidRPr="007D635A">
        <w:rPr>
          <w:sz w:val="24"/>
          <w:szCs w:val="24"/>
        </w:rPr>
        <w:t>often</w:t>
      </w:r>
      <w:r w:rsidRPr="007D635A">
        <w:rPr>
          <w:sz w:val="24"/>
          <w:szCs w:val="24"/>
        </w:rPr>
        <w:t xml:space="preserve"> run two sets of books to conceal their illicit profiteering and the transferring of funds to affiliate</w:t>
      </w:r>
      <w:r w:rsidR="001A7A52" w:rsidRPr="007D635A">
        <w:rPr>
          <w:sz w:val="24"/>
          <w:szCs w:val="24"/>
        </w:rPr>
        <w:t>d</w:t>
      </w:r>
      <w:r w:rsidRPr="007D635A">
        <w:rPr>
          <w:sz w:val="24"/>
          <w:szCs w:val="24"/>
        </w:rPr>
        <w:t xml:space="preserve"> organisations (Woodford and Smith, 2018)</w:t>
      </w:r>
      <w:r w:rsidR="00956A7F">
        <w:rPr>
          <w:sz w:val="24"/>
          <w:szCs w:val="24"/>
        </w:rPr>
        <w:t>.</w:t>
      </w:r>
    </w:p>
    <w:p w14:paraId="1C384CF7" w14:textId="77777777" w:rsidR="00566B31" w:rsidRPr="007D635A" w:rsidRDefault="00566B31" w:rsidP="001E3258">
      <w:pPr>
        <w:spacing w:line="600" w:lineRule="auto"/>
        <w:rPr>
          <w:sz w:val="24"/>
          <w:szCs w:val="24"/>
        </w:rPr>
      </w:pPr>
    </w:p>
    <w:p w14:paraId="36ED650A" w14:textId="6F405ADF" w:rsidR="00566B31" w:rsidRPr="007D635A" w:rsidRDefault="00A62C56" w:rsidP="001E3258">
      <w:pPr>
        <w:spacing w:line="600" w:lineRule="auto"/>
        <w:rPr>
          <w:sz w:val="24"/>
          <w:szCs w:val="24"/>
        </w:rPr>
      </w:pPr>
      <w:r w:rsidRPr="007D635A">
        <w:rPr>
          <w:sz w:val="24"/>
          <w:szCs w:val="24"/>
        </w:rPr>
        <w:t>In preparation for the ‘Long War’ PIRA underwent many changes including a structural reorganisation. Field (2017) argues that although PIRA gave the outward impression that they were a well organised</w:t>
      </w:r>
      <w:r w:rsidR="001A7A52" w:rsidRPr="007D635A">
        <w:rPr>
          <w:sz w:val="24"/>
          <w:szCs w:val="24"/>
        </w:rPr>
        <w:t>,</w:t>
      </w:r>
      <w:r w:rsidR="00956A7F">
        <w:rPr>
          <w:sz w:val="24"/>
          <w:szCs w:val="24"/>
        </w:rPr>
        <w:t xml:space="preserve"> their structure </w:t>
      </w:r>
      <w:r w:rsidRPr="007D635A">
        <w:rPr>
          <w:sz w:val="24"/>
          <w:szCs w:val="24"/>
        </w:rPr>
        <w:t>was vulnerable</w:t>
      </w:r>
      <w:r w:rsidR="001A7A52" w:rsidRPr="007D635A">
        <w:rPr>
          <w:sz w:val="24"/>
          <w:szCs w:val="24"/>
        </w:rPr>
        <w:t>,</w:t>
      </w:r>
      <w:r w:rsidRPr="007D635A">
        <w:rPr>
          <w:sz w:val="24"/>
          <w:szCs w:val="24"/>
        </w:rPr>
        <w:t xml:space="preserve"> easily infiltrated by security services and </w:t>
      </w:r>
      <w:r w:rsidR="00956A7F">
        <w:rPr>
          <w:sz w:val="24"/>
          <w:szCs w:val="24"/>
        </w:rPr>
        <w:t xml:space="preserve">easily </w:t>
      </w:r>
      <w:r w:rsidRPr="007D635A">
        <w:rPr>
          <w:sz w:val="24"/>
          <w:szCs w:val="24"/>
        </w:rPr>
        <w:t>exploit</w:t>
      </w:r>
      <w:r w:rsidR="001A7A52" w:rsidRPr="007D635A">
        <w:rPr>
          <w:sz w:val="24"/>
          <w:szCs w:val="24"/>
        </w:rPr>
        <w:t>ative</w:t>
      </w:r>
      <w:r w:rsidRPr="007D635A">
        <w:rPr>
          <w:sz w:val="24"/>
          <w:szCs w:val="24"/>
        </w:rPr>
        <w:t xml:space="preserve"> by informants</w:t>
      </w:r>
      <w:r w:rsidR="001A7A52" w:rsidRPr="007D635A">
        <w:rPr>
          <w:sz w:val="24"/>
          <w:szCs w:val="24"/>
        </w:rPr>
        <w:t>,</w:t>
      </w:r>
      <w:r w:rsidRPr="007D635A">
        <w:rPr>
          <w:sz w:val="24"/>
          <w:szCs w:val="24"/>
        </w:rPr>
        <w:t xml:space="preserve"> posing a security risk to its members</w:t>
      </w:r>
      <w:r w:rsidR="001A7A52" w:rsidRPr="007D635A">
        <w:rPr>
          <w:sz w:val="24"/>
          <w:szCs w:val="24"/>
        </w:rPr>
        <w:t xml:space="preserve"> and objective</w:t>
      </w:r>
      <w:r w:rsidRPr="007D635A">
        <w:rPr>
          <w:sz w:val="24"/>
          <w:szCs w:val="24"/>
        </w:rPr>
        <w:t xml:space="preserve">. To address these issues the battalion and </w:t>
      </w:r>
      <w:r w:rsidRPr="007D635A">
        <w:rPr>
          <w:sz w:val="24"/>
          <w:szCs w:val="24"/>
        </w:rPr>
        <w:lastRenderedPageBreak/>
        <w:t>companies were dissolved</w:t>
      </w:r>
      <w:r w:rsidR="00956A7F">
        <w:rPr>
          <w:sz w:val="24"/>
          <w:szCs w:val="24"/>
        </w:rPr>
        <w:t xml:space="preserve"> and</w:t>
      </w:r>
      <w:r w:rsidRPr="007D635A">
        <w:rPr>
          <w:sz w:val="24"/>
          <w:szCs w:val="24"/>
        </w:rPr>
        <w:t xml:space="preserve"> </w:t>
      </w:r>
      <w:r w:rsidR="001A7A52" w:rsidRPr="007D635A">
        <w:rPr>
          <w:sz w:val="24"/>
          <w:szCs w:val="24"/>
        </w:rPr>
        <w:t xml:space="preserve">replaced by </w:t>
      </w:r>
      <w:r w:rsidRPr="007D635A">
        <w:rPr>
          <w:sz w:val="24"/>
          <w:szCs w:val="24"/>
        </w:rPr>
        <w:t>cells and active service units</w:t>
      </w:r>
      <w:r w:rsidR="001A7A52" w:rsidRPr="007D635A">
        <w:rPr>
          <w:sz w:val="24"/>
          <w:szCs w:val="24"/>
        </w:rPr>
        <w:t>.</w:t>
      </w:r>
      <w:r w:rsidRPr="007D635A">
        <w:rPr>
          <w:sz w:val="24"/>
          <w:szCs w:val="24"/>
        </w:rPr>
        <w:t xml:space="preserve"> Each unit was ordered to operate independently from one another to protect against the </w:t>
      </w:r>
      <w:r w:rsidR="00956A7F" w:rsidRPr="007D635A">
        <w:rPr>
          <w:sz w:val="24"/>
          <w:szCs w:val="24"/>
        </w:rPr>
        <w:t>security</w:t>
      </w:r>
      <w:r w:rsidRPr="007D635A">
        <w:rPr>
          <w:sz w:val="24"/>
          <w:szCs w:val="24"/>
        </w:rPr>
        <w:t xml:space="preserve"> threats with an emphasis placed on imposing stricter discipline and </w:t>
      </w:r>
      <w:r w:rsidR="001A7A52" w:rsidRPr="007D635A">
        <w:rPr>
          <w:sz w:val="24"/>
          <w:szCs w:val="24"/>
        </w:rPr>
        <w:t>anti-interrogation</w:t>
      </w:r>
      <w:r w:rsidRPr="007D635A">
        <w:rPr>
          <w:sz w:val="24"/>
          <w:szCs w:val="24"/>
        </w:rPr>
        <w:t xml:space="preserve"> training to its members. To further reduce the enemies ability to gather intelligence, cells were instructed to carry out operations outside of their own areas to not only improve the area's militant force, but to confuse British intelligence (Morrison and Gill, 2017).</w:t>
      </w:r>
      <w:r w:rsidR="001A7A52" w:rsidRPr="007D635A">
        <w:rPr>
          <w:sz w:val="24"/>
          <w:szCs w:val="24"/>
        </w:rPr>
        <w:t xml:space="preserve"> Although on paper the reorganisation was effective, in practice Morgan (2016.p51) argues that the new structure </w:t>
      </w:r>
      <w:r w:rsidR="003773E2" w:rsidRPr="007D635A">
        <w:rPr>
          <w:sz w:val="24"/>
          <w:szCs w:val="24"/>
        </w:rPr>
        <w:t>opened the organisation up to ‘</w:t>
      </w:r>
      <w:r w:rsidR="003773E2" w:rsidRPr="007D635A">
        <w:rPr>
          <w:i/>
          <w:iCs/>
          <w:sz w:val="24"/>
          <w:szCs w:val="24"/>
        </w:rPr>
        <w:t xml:space="preserve">further </w:t>
      </w:r>
      <w:r w:rsidR="00956A7F" w:rsidRPr="007D635A">
        <w:rPr>
          <w:i/>
          <w:iCs/>
          <w:sz w:val="24"/>
          <w:szCs w:val="24"/>
        </w:rPr>
        <w:t>weaknesses</w:t>
      </w:r>
      <w:r w:rsidR="003773E2" w:rsidRPr="007D635A">
        <w:rPr>
          <w:sz w:val="24"/>
          <w:szCs w:val="24"/>
        </w:rPr>
        <w:t>.</w:t>
      </w:r>
      <w:r w:rsidR="00956A7F">
        <w:rPr>
          <w:sz w:val="24"/>
          <w:szCs w:val="24"/>
        </w:rPr>
        <w:t>’</w:t>
      </w:r>
    </w:p>
    <w:p w14:paraId="4C4A0B25" w14:textId="77777777" w:rsidR="00566B31" w:rsidRPr="007D635A" w:rsidRDefault="00566B31" w:rsidP="001E3258">
      <w:pPr>
        <w:spacing w:line="600" w:lineRule="auto"/>
        <w:rPr>
          <w:sz w:val="24"/>
          <w:szCs w:val="24"/>
        </w:rPr>
      </w:pPr>
    </w:p>
    <w:p w14:paraId="4F9A7477" w14:textId="54CB82E2" w:rsidR="00566B31" w:rsidRPr="007D635A" w:rsidRDefault="00A62C56" w:rsidP="001E3258">
      <w:pPr>
        <w:spacing w:line="600" w:lineRule="auto"/>
        <w:rPr>
          <w:sz w:val="24"/>
          <w:szCs w:val="24"/>
        </w:rPr>
      </w:pPr>
      <w:r w:rsidRPr="007D635A">
        <w:rPr>
          <w:sz w:val="24"/>
          <w:szCs w:val="24"/>
        </w:rPr>
        <w:t>In the Mid 1990’s, having raged for almost thirty years, PIRA engaged, through its mediators and political Wing Sinn Fein, in peace talks that resulted in the eventual signing of the Belfast Agreement</w:t>
      </w:r>
      <w:r w:rsidR="00956A7F">
        <w:rPr>
          <w:sz w:val="24"/>
          <w:szCs w:val="24"/>
        </w:rPr>
        <w:t xml:space="preserve"> (</w:t>
      </w:r>
      <w:r w:rsidRPr="007D635A">
        <w:rPr>
          <w:sz w:val="24"/>
          <w:szCs w:val="24"/>
        </w:rPr>
        <w:t>Good Friday Agreement</w:t>
      </w:r>
      <w:r w:rsidR="00956A7F">
        <w:rPr>
          <w:sz w:val="24"/>
          <w:szCs w:val="24"/>
        </w:rPr>
        <w:t>)</w:t>
      </w:r>
      <w:r w:rsidRPr="007D635A">
        <w:rPr>
          <w:sz w:val="24"/>
          <w:szCs w:val="24"/>
        </w:rPr>
        <w:t xml:space="preserve"> in April 1998, which was agreed via referendums held in both Northern Ireland and the </w:t>
      </w:r>
      <w:r w:rsidR="00956A7F">
        <w:rPr>
          <w:sz w:val="24"/>
          <w:szCs w:val="24"/>
        </w:rPr>
        <w:t>R</w:t>
      </w:r>
      <w:r w:rsidRPr="007D635A">
        <w:rPr>
          <w:sz w:val="24"/>
          <w:szCs w:val="24"/>
        </w:rPr>
        <w:t xml:space="preserve">epublic. The agreement led to a devolved Northern Ireland government </w:t>
      </w:r>
      <w:r w:rsidR="003773E2" w:rsidRPr="007D635A">
        <w:rPr>
          <w:sz w:val="24"/>
          <w:szCs w:val="24"/>
        </w:rPr>
        <w:t>which further led</w:t>
      </w:r>
      <w:r w:rsidRPr="007D635A">
        <w:rPr>
          <w:sz w:val="24"/>
          <w:szCs w:val="24"/>
        </w:rPr>
        <w:t xml:space="preserve"> to the conception of several new institutions. The agreement signed between the British and Irish governments agree</w:t>
      </w:r>
      <w:r w:rsidR="003773E2" w:rsidRPr="007D635A">
        <w:rPr>
          <w:sz w:val="24"/>
          <w:szCs w:val="24"/>
        </w:rPr>
        <w:t>d</w:t>
      </w:r>
      <w:r w:rsidRPr="007D635A">
        <w:rPr>
          <w:sz w:val="24"/>
          <w:szCs w:val="24"/>
        </w:rPr>
        <w:t xml:space="preserve"> to</w:t>
      </w:r>
      <w:r w:rsidR="003773E2" w:rsidRPr="007D635A">
        <w:rPr>
          <w:sz w:val="24"/>
          <w:szCs w:val="24"/>
        </w:rPr>
        <w:t>,</w:t>
      </w:r>
      <w:r w:rsidRPr="007D635A">
        <w:rPr>
          <w:sz w:val="24"/>
          <w:szCs w:val="24"/>
        </w:rPr>
        <w:t xml:space="preserve"> recognise the choices made by Northern Ireland regarding their desire to remain part of the United Kingdom, it also refers to the equal treatment of and respect for the civil and political rights of the Northern Ireland </w:t>
      </w:r>
      <w:r w:rsidRPr="007D635A">
        <w:rPr>
          <w:sz w:val="24"/>
          <w:szCs w:val="24"/>
        </w:rPr>
        <w:lastRenderedPageBreak/>
        <w:t xml:space="preserve">people. Those who are born in Northern Ireland </w:t>
      </w:r>
      <w:r w:rsidR="00B92840">
        <w:rPr>
          <w:sz w:val="24"/>
          <w:szCs w:val="24"/>
        </w:rPr>
        <w:t xml:space="preserve">were </w:t>
      </w:r>
      <w:r w:rsidRPr="007D635A">
        <w:rPr>
          <w:sz w:val="24"/>
          <w:szCs w:val="24"/>
        </w:rPr>
        <w:t xml:space="preserve">also </w:t>
      </w:r>
      <w:r w:rsidR="00B92840">
        <w:rPr>
          <w:sz w:val="24"/>
          <w:szCs w:val="24"/>
        </w:rPr>
        <w:t>given</w:t>
      </w:r>
      <w:r w:rsidRPr="007D635A">
        <w:rPr>
          <w:sz w:val="24"/>
          <w:szCs w:val="24"/>
        </w:rPr>
        <w:t xml:space="preserve"> the right to identify as British, Irish or both (Citizen Information, 2020).</w:t>
      </w:r>
    </w:p>
    <w:p w14:paraId="7372D3E4" w14:textId="77777777" w:rsidR="00566B31" w:rsidRPr="007D635A" w:rsidRDefault="00566B31" w:rsidP="001E3258">
      <w:pPr>
        <w:spacing w:line="600" w:lineRule="auto"/>
        <w:rPr>
          <w:sz w:val="24"/>
          <w:szCs w:val="24"/>
        </w:rPr>
      </w:pPr>
    </w:p>
    <w:p w14:paraId="1737C9CB" w14:textId="77777777" w:rsidR="00566B31" w:rsidRPr="007D635A" w:rsidRDefault="00566B31" w:rsidP="001E3258">
      <w:pPr>
        <w:spacing w:line="600" w:lineRule="auto"/>
        <w:rPr>
          <w:sz w:val="24"/>
          <w:szCs w:val="24"/>
        </w:rPr>
      </w:pPr>
    </w:p>
    <w:p w14:paraId="52451CE1" w14:textId="166D096D" w:rsidR="00566B31" w:rsidRPr="007D635A" w:rsidRDefault="00A62C56" w:rsidP="001E3258">
      <w:pPr>
        <w:spacing w:line="600" w:lineRule="auto"/>
        <w:rPr>
          <w:sz w:val="24"/>
          <w:szCs w:val="24"/>
        </w:rPr>
      </w:pPr>
      <w:r w:rsidRPr="007D635A">
        <w:rPr>
          <w:sz w:val="24"/>
          <w:szCs w:val="24"/>
        </w:rPr>
        <w:t>To conclude, throughout their operational career PIRA have demonstrated their ability to learn from mistakes, adapt their military and political strategy and drive innovation to meet their objective. Although their vertical hierarchical structure left the organisation vulnerable to infiltration from security forces, as an organisation</w:t>
      </w:r>
      <w:r w:rsidR="003773E2" w:rsidRPr="007D635A">
        <w:rPr>
          <w:sz w:val="24"/>
          <w:szCs w:val="24"/>
        </w:rPr>
        <w:t>, they</w:t>
      </w:r>
      <w:r w:rsidRPr="007D635A">
        <w:rPr>
          <w:sz w:val="24"/>
          <w:szCs w:val="24"/>
        </w:rPr>
        <w:t xml:space="preserve"> won the hearts and minds of their community and beyond</w:t>
      </w:r>
      <w:r w:rsidR="003773E2" w:rsidRPr="007D635A">
        <w:rPr>
          <w:sz w:val="24"/>
          <w:szCs w:val="24"/>
        </w:rPr>
        <w:t>,</w:t>
      </w:r>
      <w:r w:rsidRPr="007D635A">
        <w:rPr>
          <w:sz w:val="24"/>
          <w:szCs w:val="24"/>
        </w:rPr>
        <w:t xml:space="preserve"> who</w:t>
      </w:r>
      <w:r w:rsidR="003773E2" w:rsidRPr="007D635A">
        <w:rPr>
          <w:sz w:val="24"/>
          <w:szCs w:val="24"/>
        </w:rPr>
        <w:t>,</w:t>
      </w:r>
      <w:r w:rsidRPr="007D635A">
        <w:rPr>
          <w:sz w:val="24"/>
          <w:szCs w:val="24"/>
        </w:rPr>
        <w:t xml:space="preserve"> provided them with the financial aid, armament, intelligence, resources and the man power needed to pursue their goal. Although PIRA did not succeed in their ambition to evict the British from Northern Ireland</w:t>
      </w:r>
      <w:r w:rsidR="003773E2" w:rsidRPr="007D635A">
        <w:rPr>
          <w:sz w:val="24"/>
          <w:szCs w:val="24"/>
        </w:rPr>
        <w:t>,</w:t>
      </w:r>
      <w:r w:rsidRPr="007D635A">
        <w:rPr>
          <w:sz w:val="24"/>
          <w:szCs w:val="24"/>
        </w:rPr>
        <w:t xml:space="preserve"> they did however, through their political wing Sinn Fein, achieve a great deal in terms of </w:t>
      </w:r>
      <w:r w:rsidR="003773E2" w:rsidRPr="007D635A">
        <w:rPr>
          <w:sz w:val="24"/>
          <w:szCs w:val="24"/>
        </w:rPr>
        <w:t>transforming</w:t>
      </w:r>
      <w:r w:rsidRPr="007D635A">
        <w:rPr>
          <w:sz w:val="24"/>
          <w:szCs w:val="24"/>
        </w:rPr>
        <w:t xml:space="preserve"> Northern Ireland’s political arena into a</w:t>
      </w:r>
      <w:r w:rsidR="00B92840">
        <w:rPr>
          <w:sz w:val="24"/>
          <w:szCs w:val="24"/>
        </w:rPr>
        <w:t xml:space="preserve"> devolved</w:t>
      </w:r>
      <w:r w:rsidRPr="007D635A">
        <w:rPr>
          <w:sz w:val="24"/>
          <w:szCs w:val="24"/>
        </w:rPr>
        <w:t xml:space="preserve"> democratic process that provides equality </w:t>
      </w:r>
      <w:r w:rsidR="003773E2" w:rsidRPr="007D635A">
        <w:rPr>
          <w:sz w:val="24"/>
          <w:szCs w:val="24"/>
        </w:rPr>
        <w:t xml:space="preserve">and respect </w:t>
      </w:r>
      <w:r w:rsidRPr="007D635A">
        <w:rPr>
          <w:sz w:val="24"/>
          <w:szCs w:val="24"/>
        </w:rPr>
        <w:t xml:space="preserve">for all. </w:t>
      </w:r>
    </w:p>
    <w:p w14:paraId="4071BD0E" w14:textId="77777777" w:rsidR="00566B31" w:rsidRPr="007D635A" w:rsidRDefault="00566B31" w:rsidP="001E3258">
      <w:pPr>
        <w:spacing w:line="600" w:lineRule="auto"/>
        <w:rPr>
          <w:sz w:val="24"/>
          <w:szCs w:val="24"/>
        </w:rPr>
      </w:pPr>
    </w:p>
    <w:p w14:paraId="666E8957" w14:textId="77777777" w:rsidR="00566B31" w:rsidRPr="007D635A" w:rsidRDefault="00566B31" w:rsidP="001E3258">
      <w:pPr>
        <w:spacing w:line="600" w:lineRule="auto"/>
        <w:rPr>
          <w:sz w:val="24"/>
          <w:szCs w:val="24"/>
        </w:rPr>
      </w:pPr>
    </w:p>
    <w:p w14:paraId="3997C4D8" w14:textId="77777777" w:rsidR="00566B31" w:rsidRPr="007D635A" w:rsidRDefault="00566B31" w:rsidP="001E3258">
      <w:pPr>
        <w:spacing w:line="600" w:lineRule="auto"/>
        <w:rPr>
          <w:sz w:val="24"/>
          <w:szCs w:val="24"/>
        </w:rPr>
      </w:pPr>
    </w:p>
    <w:p w14:paraId="0E675E13" w14:textId="77777777" w:rsidR="00566B31" w:rsidRPr="007D635A" w:rsidRDefault="00566B31" w:rsidP="001E3258">
      <w:pPr>
        <w:spacing w:line="600" w:lineRule="auto"/>
        <w:rPr>
          <w:sz w:val="24"/>
          <w:szCs w:val="24"/>
        </w:rPr>
      </w:pPr>
    </w:p>
    <w:p w14:paraId="54C35028" w14:textId="77777777" w:rsidR="007D635A" w:rsidRDefault="007D635A" w:rsidP="001E3258">
      <w:pPr>
        <w:spacing w:line="600" w:lineRule="auto"/>
        <w:rPr>
          <w:sz w:val="24"/>
          <w:szCs w:val="24"/>
        </w:rPr>
      </w:pPr>
    </w:p>
    <w:p w14:paraId="166F5DDC" w14:textId="77777777" w:rsidR="00B92840" w:rsidRDefault="00B92840" w:rsidP="001E3258">
      <w:pPr>
        <w:spacing w:line="600" w:lineRule="auto"/>
        <w:rPr>
          <w:sz w:val="24"/>
          <w:szCs w:val="24"/>
        </w:rPr>
      </w:pPr>
    </w:p>
    <w:p w14:paraId="7E670E19" w14:textId="77777777" w:rsidR="00B92840" w:rsidRDefault="00B92840" w:rsidP="001E3258">
      <w:pPr>
        <w:spacing w:line="600" w:lineRule="auto"/>
        <w:rPr>
          <w:sz w:val="24"/>
          <w:szCs w:val="24"/>
        </w:rPr>
      </w:pPr>
    </w:p>
    <w:p w14:paraId="3076FDE9" w14:textId="77777777" w:rsidR="00B92840" w:rsidRDefault="00B92840" w:rsidP="001E3258">
      <w:pPr>
        <w:spacing w:line="600" w:lineRule="auto"/>
        <w:rPr>
          <w:sz w:val="24"/>
          <w:szCs w:val="24"/>
        </w:rPr>
      </w:pPr>
    </w:p>
    <w:p w14:paraId="37BF4E26" w14:textId="77777777" w:rsidR="00B92840" w:rsidRDefault="00B92840" w:rsidP="001E3258">
      <w:pPr>
        <w:spacing w:line="600" w:lineRule="auto"/>
        <w:rPr>
          <w:sz w:val="24"/>
          <w:szCs w:val="24"/>
        </w:rPr>
      </w:pPr>
    </w:p>
    <w:p w14:paraId="62BC063A" w14:textId="77777777" w:rsidR="00B92840" w:rsidRDefault="00B92840" w:rsidP="001E3258">
      <w:pPr>
        <w:spacing w:line="600" w:lineRule="auto"/>
        <w:rPr>
          <w:sz w:val="24"/>
          <w:szCs w:val="24"/>
        </w:rPr>
      </w:pPr>
    </w:p>
    <w:p w14:paraId="77EECD63" w14:textId="77777777" w:rsidR="00B92840" w:rsidRDefault="00B92840" w:rsidP="001E3258">
      <w:pPr>
        <w:spacing w:line="600" w:lineRule="auto"/>
        <w:rPr>
          <w:sz w:val="24"/>
          <w:szCs w:val="24"/>
        </w:rPr>
      </w:pPr>
    </w:p>
    <w:p w14:paraId="7ECF2D54" w14:textId="77777777" w:rsidR="00B92840" w:rsidRDefault="00B92840" w:rsidP="001E3258">
      <w:pPr>
        <w:spacing w:line="600" w:lineRule="auto"/>
        <w:rPr>
          <w:sz w:val="24"/>
          <w:szCs w:val="24"/>
        </w:rPr>
      </w:pPr>
    </w:p>
    <w:p w14:paraId="59B4BF7B" w14:textId="77777777" w:rsidR="00B92840" w:rsidRDefault="00B92840" w:rsidP="001E3258">
      <w:pPr>
        <w:spacing w:line="600" w:lineRule="auto"/>
        <w:rPr>
          <w:sz w:val="24"/>
          <w:szCs w:val="24"/>
        </w:rPr>
      </w:pPr>
    </w:p>
    <w:p w14:paraId="7CA1F3C3" w14:textId="77777777" w:rsidR="00B92840" w:rsidRDefault="00B92840" w:rsidP="001E3258">
      <w:pPr>
        <w:spacing w:line="600" w:lineRule="auto"/>
        <w:rPr>
          <w:sz w:val="24"/>
          <w:szCs w:val="24"/>
        </w:rPr>
      </w:pPr>
    </w:p>
    <w:p w14:paraId="6E558312" w14:textId="0622B5B7" w:rsidR="00566B31" w:rsidRPr="007D635A" w:rsidRDefault="00A62C56" w:rsidP="001E3258">
      <w:pPr>
        <w:spacing w:line="600" w:lineRule="auto"/>
        <w:rPr>
          <w:sz w:val="24"/>
          <w:szCs w:val="24"/>
        </w:rPr>
      </w:pPr>
      <w:r w:rsidRPr="007D635A">
        <w:rPr>
          <w:sz w:val="24"/>
          <w:szCs w:val="24"/>
        </w:rPr>
        <w:t>References</w:t>
      </w:r>
    </w:p>
    <w:p w14:paraId="61924B3D" w14:textId="77777777" w:rsidR="00566B31" w:rsidRPr="007D635A" w:rsidRDefault="00566B31" w:rsidP="001E3258">
      <w:pPr>
        <w:spacing w:line="600" w:lineRule="auto"/>
        <w:rPr>
          <w:sz w:val="24"/>
          <w:szCs w:val="24"/>
        </w:rPr>
      </w:pPr>
    </w:p>
    <w:p w14:paraId="760D05BC" w14:textId="77777777" w:rsidR="001E3258" w:rsidRPr="007D635A" w:rsidRDefault="00A62C56" w:rsidP="001E3258">
      <w:pPr>
        <w:spacing w:line="600" w:lineRule="auto"/>
        <w:rPr>
          <w:sz w:val="24"/>
          <w:szCs w:val="24"/>
          <w:highlight w:val="white"/>
        </w:rPr>
      </w:pPr>
      <w:proofErr w:type="spellStart"/>
      <w:r w:rsidRPr="007D635A">
        <w:rPr>
          <w:sz w:val="24"/>
          <w:szCs w:val="24"/>
        </w:rPr>
        <w:t>Asal</w:t>
      </w:r>
      <w:proofErr w:type="spellEnd"/>
      <w:r w:rsidRPr="007D635A">
        <w:rPr>
          <w:sz w:val="24"/>
          <w:szCs w:val="24"/>
        </w:rPr>
        <w:t xml:space="preserve">, V, Gill, P, </w:t>
      </w:r>
      <w:proofErr w:type="spellStart"/>
      <w:r w:rsidRPr="007D635A">
        <w:rPr>
          <w:sz w:val="24"/>
          <w:szCs w:val="24"/>
        </w:rPr>
        <w:t>Rethemeyer</w:t>
      </w:r>
      <w:proofErr w:type="spellEnd"/>
      <w:r w:rsidRPr="007D635A">
        <w:rPr>
          <w:sz w:val="24"/>
          <w:szCs w:val="24"/>
        </w:rPr>
        <w:t xml:space="preserve">, R, and Horgan, J (2015) Killing rage. </w:t>
      </w:r>
      <w:r w:rsidRPr="007D635A">
        <w:rPr>
          <w:sz w:val="24"/>
          <w:szCs w:val="24"/>
          <w:highlight w:val="white"/>
        </w:rPr>
        <w:t xml:space="preserve">Explaining Lethality Variance within a Terrorist Organization. </w:t>
      </w:r>
      <w:r w:rsidRPr="007D635A">
        <w:rPr>
          <w:i/>
          <w:sz w:val="24"/>
          <w:szCs w:val="24"/>
          <w:highlight w:val="white"/>
        </w:rPr>
        <w:t xml:space="preserve">The Journal of Conflict Resolution </w:t>
      </w:r>
      <w:r w:rsidRPr="007D635A">
        <w:rPr>
          <w:sz w:val="24"/>
          <w:szCs w:val="24"/>
          <w:highlight w:val="white"/>
        </w:rPr>
        <w:t xml:space="preserve">(Online) 59(4). p.401-427.Available from: </w:t>
      </w:r>
    </w:p>
    <w:p w14:paraId="445D4D2F" w14:textId="62F1EC8F" w:rsidR="00566B31" w:rsidRPr="007D635A" w:rsidRDefault="00A62C56" w:rsidP="001E3258">
      <w:pPr>
        <w:spacing w:line="600" w:lineRule="auto"/>
        <w:rPr>
          <w:sz w:val="24"/>
          <w:szCs w:val="24"/>
        </w:rPr>
      </w:pPr>
      <w:r w:rsidRPr="007D635A">
        <w:rPr>
          <w:sz w:val="24"/>
          <w:szCs w:val="24"/>
          <w:highlight w:val="white"/>
        </w:rPr>
        <w:t>https://www.ncbi.nlm.nih.gov/pmc/articles/PMC4361499/</w:t>
      </w:r>
      <w:r w:rsidRPr="007D635A">
        <w:rPr>
          <w:sz w:val="24"/>
          <w:szCs w:val="24"/>
        </w:rPr>
        <w:t xml:space="preserve"> (Accessed on the 24th of October 2020)</w:t>
      </w:r>
    </w:p>
    <w:p w14:paraId="4A66DEBD" w14:textId="77777777" w:rsidR="00566B31" w:rsidRPr="007D635A" w:rsidRDefault="00566B31" w:rsidP="001E3258">
      <w:pPr>
        <w:spacing w:line="600" w:lineRule="auto"/>
        <w:rPr>
          <w:sz w:val="24"/>
          <w:szCs w:val="24"/>
        </w:rPr>
      </w:pPr>
    </w:p>
    <w:p w14:paraId="443C31EE" w14:textId="2F63C760" w:rsidR="00370195" w:rsidRPr="007D635A" w:rsidRDefault="00A62C56" w:rsidP="001E3258">
      <w:pPr>
        <w:spacing w:line="600" w:lineRule="auto"/>
        <w:rPr>
          <w:sz w:val="24"/>
          <w:szCs w:val="24"/>
        </w:rPr>
      </w:pPr>
      <w:r w:rsidRPr="007D635A">
        <w:rPr>
          <w:sz w:val="24"/>
          <w:szCs w:val="24"/>
        </w:rPr>
        <w:t>Byrne, J, Coleman, P and King, J (eds) (2008)</w:t>
      </w:r>
      <w:r w:rsidRPr="007D635A">
        <w:rPr>
          <w:i/>
          <w:sz w:val="24"/>
          <w:szCs w:val="24"/>
        </w:rPr>
        <w:t xml:space="preserve"> Ireland and the Americas: Culture, Politics, and History : </w:t>
      </w:r>
      <w:r w:rsidR="001E3258" w:rsidRPr="007D635A">
        <w:rPr>
          <w:i/>
          <w:sz w:val="24"/>
          <w:szCs w:val="24"/>
        </w:rPr>
        <w:t>A</w:t>
      </w:r>
      <w:r w:rsidRPr="007D635A">
        <w:rPr>
          <w:i/>
          <w:sz w:val="24"/>
          <w:szCs w:val="24"/>
        </w:rPr>
        <w:t xml:space="preserve"> Multidisciplinary </w:t>
      </w:r>
      <w:r w:rsidR="00C3588D" w:rsidRPr="007D635A">
        <w:rPr>
          <w:i/>
          <w:sz w:val="24"/>
          <w:szCs w:val="24"/>
        </w:rPr>
        <w:t>Encyclopaedia</w:t>
      </w:r>
      <w:r w:rsidRPr="007D635A">
        <w:rPr>
          <w:i/>
          <w:sz w:val="24"/>
          <w:szCs w:val="24"/>
        </w:rPr>
        <w:t xml:space="preserve">, Volume 1. </w:t>
      </w:r>
      <w:r w:rsidRPr="007D635A">
        <w:rPr>
          <w:sz w:val="24"/>
          <w:szCs w:val="24"/>
        </w:rPr>
        <w:t>(Online) USA:ABC-CLIO. Available</w:t>
      </w:r>
      <w:r w:rsidR="00370195" w:rsidRPr="007D635A">
        <w:rPr>
          <w:sz w:val="24"/>
          <w:szCs w:val="24"/>
        </w:rPr>
        <w:t xml:space="preserve"> </w:t>
      </w:r>
      <w:r w:rsidRPr="007D635A">
        <w:rPr>
          <w:sz w:val="24"/>
          <w:szCs w:val="24"/>
        </w:rPr>
        <w:t>from:</w:t>
      </w:r>
    </w:p>
    <w:p w14:paraId="677BCA41" w14:textId="21E4876B" w:rsidR="00566B31" w:rsidRPr="007D635A" w:rsidRDefault="00A62C56" w:rsidP="001E3258">
      <w:pPr>
        <w:spacing w:line="600" w:lineRule="auto"/>
        <w:rPr>
          <w:sz w:val="24"/>
          <w:szCs w:val="24"/>
        </w:rPr>
      </w:pPr>
      <w:r w:rsidRPr="007D635A">
        <w:rPr>
          <w:sz w:val="24"/>
          <w:szCs w:val="24"/>
        </w:rPr>
        <w:lastRenderedPageBreak/>
        <w:t>https://books.google.co.uk/books?id=agfvVQnBu9MC&amp;pg=PA683&amp;dq=noraid&amp;hl=en&amp;sa=X&amp;ved=2ahUKEwiAJbf7dnsAhUzmVwKHRhABswQ6AEwAHoECAQQAg#v=onepage&amp;q=noraid&amp;f=false (Accessed on the 29th of October 2020)</w:t>
      </w:r>
    </w:p>
    <w:p w14:paraId="130B1867" w14:textId="77777777" w:rsidR="00566B31" w:rsidRPr="007D635A" w:rsidRDefault="00566B31" w:rsidP="001E3258">
      <w:pPr>
        <w:spacing w:line="600" w:lineRule="auto"/>
        <w:rPr>
          <w:sz w:val="24"/>
          <w:szCs w:val="24"/>
        </w:rPr>
      </w:pPr>
    </w:p>
    <w:p w14:paraId="2BB3D367" w14:textId="38136C14" w:rsidR="00566B31" w:rsidRPr="007D635A" w:rsidRDefault="00A62C56" w:rsidP="001E3258">
      <w:pPr>
        <w:spacing w:line="600" w:lineRule="auto"/>
        <w:rPr>
          <w:sz w:val="24"/>
          <w:szCs w:val="24"/>
        </w:rPr>
      </w:pPr>
      <w:r w:rsidRPr="007D635A">
        <w:rPr>
          <w:sz w:val="24"/>
          <w:szCs w:val="24"/>
        </w:rPr>
        <w:t xml:space="preserve">Citizen Information (2020) </w:t>
      </w:r>
      <w:r w:rsidRPr="007D635A">
        <w:rPr>
          <w:i/>
          <w:sz w:val="24"/>
          <w:szCs w:val="24"/>
        </w:rPr>
        <w:t xml:space="preserve">The Good Friday Agreement. </w:t>
      </w:r>
      <w:r w:rsidRPr="007D635A">
        <w:rPr>
          <w:sz w:val="24"/>
          <w:szCs w:val="24"/>
        </w:rPr>
        <w:t>(Online) Available from</w:t>
      </w:r>
      <w:r w:rsidR="001E3258" w:rsidRPr="007D635A">
        <w:rPr>
          <w:sz w:val="24"/>
          <w:szCs w:val="24"/>
        </w:rPr>
        <w:t xml:space="preserve">: </w:t>
      </w:r>
      <w:r w:rsidRPr="007D635A">
        <w:rPr>
          <w:sz w:val="24"/>
          <w:szCs w:val="24"/>
        </w:rPr>
        <w:t>https://www.citizensinformation.ie/en/government_in_ireland/ireland_and_the_uk/good_friday_agreement.html# (Accessed on the 1st of November 2020)</w:t>
      </w:r>
    </w:p>
    <w:p w14:paraId="2CC1E1CC" w14:textId="77777777" w:rsidR="00566B31" w:rsidRPr="007D635A" w:rsidRDefault="00566B31" w:rsidP="001E3258">
      <w:pPr>
        <w:spacing w:line="600" w:lineRule="auto"/>
        <w:rPr>
          <w:sz w:val="24"/>
          <w:szCs w:val="24"/>
        </w:rPr>
      </w:pPr>
    </w:p>
    <w:p w14:paraId="25001E9C" w14:textId="77777777" w:rsidR="00566B31" w:rsidRPr="007D635A" w:rsidRDefault="00A62C56" w:rsidP="001E3258">
      <w:pPr>
        <w:spacing w:line="600" w:lineRule="auto"/>
        <w:rPr>
          <w:sz w:val="24"/>
          <w:szCs w:val="24"/>
        </w:rPr>
      </w:pPr>
      <w:r w:rsidRPr="007D635A">
        <w:rPr>
          <w:sz w:val="24"/>
          <w:szCs w:val="24"/>
        </w:rPr>
        <w:t xml:space="preserve">Collins, E and McGovern, M (1998) </w:t>
      </w:r>
      <w:r w:rsidRPr="007D635A">
        <w:rPr>
          <w:i/>
          <w:sz w:val="24"/>
          <w:szCs w:val="24"/>
        </w:rPr>
        <w:t xml:space="preserve">Killing Rage. </w:t>
      </w:r>
      <w:r w:rsidRPr="007D635A">
        <w:rPr>
          <w:sz w:val="24"/>
          <w:szCs w:val="24"/>
        </w:rPr>
        <w:t>(Online)</w:t>
      </w:r>
      <w:r w:rsidRPr="007D635A">
        <w:rPr>
          <w:i/>
          <w:sz w:val="24"/>
          <w:szCs w:val="24"/>
        </w:rPr>
        <w:t xml:space="preserve"> </w:t>
      </w:r>
      <w:proofErr w:type="spellStart"/>
      <w:r w:rsidRPr="007D635A">
        <w:rPr>
          <w:sz w:val="24"/>
          <w:szCs w:val="24"/>
        </w:rPr>
        <w:t>London:Granta</w:t>
      </w:r>
      <w:proofErr w:type="spellEnd"/>
      <w:r w:rsidRPr="007D635A">
        <w:rPr>
          <w:sz w:val="24"/>
          <w:szCs w:val="24"/>
        </w:rPr>
        <w:t xml:space="preserve"> Books. Available from: https://books.google.co.uk/books/about/Killing_Rage.html?id=0ayPS7zBIpsC&amp;printsec=frontcover&amp;source=kp_read_button&amp;redir_esc=y#v=onepage&amp;q&amp;f=false (Accessed on the 19th of October 2020)</w:t>
      </w:r>
    </w:p>
    <w:p w14:paraId="10A315CD" w14:textId="77777777" w:rsidR="00566B31" w:rsidRPr="007D635A" w:rsidRDefault="00566B31" w:rsidP="001E3258">
      <w:pPr>
        <w:spacing w:line="600" w:lineRule="auto"/>
        <w:rPr>
          <w:sz w:val="24"/>
          <w:szCs w:val="24"/>
        </w:rPr>
      </w:pPr>
    </w:p>
    <w:p w14:paraId="5B8805C1" w14:textId="77777777" w:rsidR="00566B31" w:rsidRPr="007D635A" w:rsidRDefault="00A62C56" w:rsidP="001E3258">
      <w:pPr>
        <w:spacing w:line="600" w:lineRule="auto"/>
        <w:rPr>
          <w:sz w:val="24"/>
          <w:szCs w:val="24"/>
        </w:rPr>
      </w:pPr>
      <w:r w:rsidRPr="007D635A">
        <w:rPr>
          <w:sz w:val="24"/>
          <w:szCs w:val="24"/>
        </w:rPr>
        <w:t xml:space="preserve">Dingley, J (2012) </w:t>
      </w:r>
      <w:r w:rsidRPr="007D635A">
        <w:rPr>
          <w:i/>
          <w:sz w:val="24"/>
          <w:szCs w:val="24"/>
          <w:highlight w:val="white"/>
        </w:rPr>
        <w:t xml:space="preserve">The IRA: The Irish Republican Army. </w:t>
      </w:r>
      <w:r w:rsidRPr="007D635A">
        <w:rPr>
          <w:sz w:val="24"/>
          <w:szCs w:val="24"/>
          <w:highlight w:val="white"/>
        </w:rPr>
        <w:t xml:space="preserve">(Online) </w:t>
      </w:r>
      <w:proofErr w:type="spellStart"/>
      <w:r w:rsidRPr="007D635A">
        <w:rPr>
          <w:sz w:val="24"/>
          <w:szCs w:val="24"/>
          <w:highlight w:val="white"/>
        </w:rPr>
        <w:t>California:ABC-CLIO</w:t>
      </w:r>
      <w:proofErr w:type="spellEnd"/>
      <w:r w:rsidRPr="007D635A">
        <w:rPr>
          <w:sz w:val="24"/>
          <w:szCs w:val="24"/>
          <w:highlight w:val="white"/>
        </w:rPr>
        <w:t>. Available from: https://books.google.co.uk/books?id=JYFO9lPphsQC&amp;pg=PA1&amp;dq=armalite+and+the+ballot+box&amp;hl=en&amp;sa=X&amp;ved=2ahUKEwiJ5LmLmtrsAhViWxUIHfUUDUYQ6wEwA3oECAEQAQ#v=onepage&amp;q&amp;f=false</w:t>
      </w:r>
      <w:r w:rsidRPr="007D635A">
        <w:rPr>
          <w:sz w:val="24"/>
          <w:szCs w:val="24"/>
        </w:rPr>
        <w:t xml:space="preserve"> (Accessed on the 29th of October 2020)</w:t>
      </w:r>
    </w:p>
    <w:p w14:paraId="0C51A45E" w14:textId="77777777" w:rsidR="00566B31" w:rsidRPr="007D635A" w:rsidRDefault="00566B31" w:rsidP="001E3258">
      <w:pPr>
        <w:spacing w:line="600" w:lineRule="auto"/>
        <w:rPr>
          <w:sz w:val="24"/>
          <w:szCs w:val="24"/>
        </w:rPr>
      </w:pPr>
    </w:p>
    <w:p w14:paraId="1E5E5EA0" w14:textId="77777777" w:rsidR="001E3258" w:rsidRPr="007D635A" w:rsidRDefault="00A62C56" w:rsidP="001E3258">
      <w:pPr>
        <w:spacing w:line="600" w:lineRule="auto"/>
        <w:rPr>
          <w:sz w:val="24"/>
          <w:szCs w:val="24"/>
        </w:rPr>
      </w:pPr>
      <w:r w:rsidRPr="007D635A">
        <w:rPr>
          <w:sz w:val="24"/>
          <w:szCs w:val="24"/>
        </w:rPr>
        <w:lastRenderedPageBreak/>
        <w:t xml:space="preserve">Drake, C (1998) </w:t>
      </w:r>
      <w:r w:rsidRPr="007D635A">
        <w:rPr>
          <w:i/>
          <w:sz w:val="24"/>
          <w:szCs w:val="24"/>
        </w:rPr>
        <w:t xml:space="preserve">Terrorists’ Target Selection. </w:t>
      </w:r>
      <w:r w:rsidRPr="007D635A">
        <w:rPr>
          <w:sz w:val="24"/>
          <w:szCs w:val="24"/>
        </w:rPr>
        <w:t xml:space="preserve">(Online) Great </w:t>
      </w:r>
      <w:proofErr w:type="spellStart"/>
      <w:r w:rsidRPr="007D635A">
        <w:rPr>
          <w:sz w:val="24"/>
          <w:szCs w:val="24"/>
        </w:rPr>
        <w:t>Britain:Macmillan</w:t>
      </w:r>
      <w:proofErr w:type="spellEnd"/>
      <w:r w:rsidRPr="007D635A">
        <w:rPr>
          <w:sz w:val="24"/>
          <w:szCs w:val="24"/>
        </w:rPr>
        <w:t xml:space="preserve"> Press LTD. Available</w:t>
      </w:r>
      <w:r w:rsidR="001E3258" w:rsidRPr="007D635A">
        <w:rPr>
          <w:sz w:val="24"/>
          <w:szCs w:val="24"/>
        </w:rPr>
        <w:t xml:space="preserve"> </w:t>
      </w:r>
      <w:r w:rsidRPr="007D635A">
        <w:rPr>
          <w:sz w:val="24"/>
          <w:szCs w:val="24"/>
        </w:rPr>
        <w:t>from:</w:t>
      </w:r>
    </w:p>
    <w:p w14:paraId="331B692A" w14:textId="6C4E995C" w:rsidR="00566B31" w:rsidRPr="007D635A" w:rsidRDefault="00A62C56" w:rsidP="001E3258">
      <w:pPr>
        <w:spacing w:line="600" w:lineRule="auto"/>
        <w:rPr>
          <w:sz w:val="24"/>
          <w:szCs w:val="24"/>
        </w:rPr>
      </w:pPr>
      <w:r w:rsidRPr="007D635A">
        <w:rPr>
          <w:sz w:val="24"/>
          <w:szCs w:val="24"/>
        </w:rPr>
        <w:t xml:space="preserve">https://books.google.co.uk/books?id=7CV9DAAAQBAJ&amp;printsec=frontcover&amp;source=gbs_ge_summary_r&amp;cad=0#v=onepage&amp;q&amp;f=false (Accessed on the 1st of November 2020) </w:t>
      </w:r>
    </w:p>
    <w:p w14:paraId="3D9E40E2" w14:textId="77777777" w:rsidR="00566B31" w:rsidRPr="007D635A" w:rsidRDefault="00566B31" w:rsidP="001E3258">
      <w:pPr>
        <w:spacing w:line="600" w:lineRule="auto"/>
        <w:rPr>
          <w:sz w:val="24"/>
          <w:szCs w:val="24"/>
        </w:rPr>
      </w:pPr>
    </w:p>
    <w:p w14:paraId="132BD85F" w14:textId="77777777" w:rsidR="001E3258" w:rsidRPr="007D635A" w:rsidRDefault="00A62C56" w:rsidP="001E3258">
      <w:pPr>
        <w:spacing w:line="600" w:lineRule="auto"/>
        <w:rPr>
          <w:sz w:val="24"/>
          <w:szCs w:val="24"/>
        </w:rPr>
      </w:pPr>
      <w:r w:rsidRPr="007D635A">
        <w:rPr>
          <w:sz w:val="24"/>
          <w:szCs w:val="24"/>
        </w:rPr>
        <w:t xml:space="preserve">Drake, C. (2007) The provisional IRA : A Case Study. </w:t>
      </w:r>
      <w:r w:rsidRPr="007D635A">
        <w:rPr>
          <w:i/>
          <w:sz w:val="24"/>
          <w:szCs w:val="24"/>
        </w:rPr>
        <w:t xml:space="preserve">Terrorism and Political Violence </w:t>
      </w:r>
      <w:r w:rsidRPr="007D635A">
        <w:rPr>
          <w:sz w:val="24"/>
          <w:szCs w:val="24"/>
        </w:rPr>
        <w:t>(Online) 3(12). p.43-60. Available from:</w:t>
      </w:r>
    </w:p>
    <w:p w14:paraId="7B2BE2A8" w14:textId="2560F1E0" w:rsidR="00566B31" w:rsidRPr="007D635A" w:rsidRDefault="00A62C56" w:rsidP="001E3258">
      <w:pPr>
        <w:spacing w:line="600" w:lineRule="auto"/>
        <w:rPr>
          <w:sz w:val="24"/>
          <w:szCs w:val="24"/>
        </w:rPr>
      </w:pPr>
      <w:r w:rsidRPr="007D635A">
        <w:rPr>
          <w:sz w:val="24"/>
          <w:szCs w:val="24"/>
        </w:rPr>
        <w:t>https://www.tandfonline.com/doi/pdf/10.1080/09546559108427103?needAccess=true (Accessed on the 19th of October 2020)</w:t>
      </w:r>
    </w:p>
    <w:p w14:paraId="5DA34EF3" w14:textId="77777777" w:rsidR="00566B31" w:rsidRPr="007D635A" w:rsidRDefault="00566B31" w:rsidP="001E3258">
      <w:pPr>
        <w:spacing w:line="600" w:lineRule="auto"/>
        <w:rPr>
          <w:sz w:val="24"/>
          <w:szCs w:val="24"/>
        </w:rPr>
      </w:pPr>
    </w:p>
    <w:p w14:paraId="5D18AD4C" w14:textId="77777777" w:rsidR="00566B31" w:rsidRPr="007D635A" w:rsidRDefault="00A62C56" w:rsidP="001E3258">
      <w:pPr>
        <w:spacing w:line="600" w:lineRule="auto"/>
        <w:rPr>
          <w:sz w:val="24"/>
          <w:szCs w:val="24"/>
        </w:rPr>
      </w:pPr>
      <w:r w:rsidRPr="007D635A">
        <w:rPr>
          <w:sz w:val="24"/>
          <w:szCs w:val="24"/>
        </w:rPr>
        <w:t xml:space="preserve">English, R (2004) </w:t>
      </w:r>
      <w:r w:rsidRPr="007D635A">
        <w:rPr>
          <w:i/>
          <w:sz w:val="24"/>
          <w:szCs w:val="24"/>
          <w:highlight w:val="white"/>
        </w:rPr>
        <w:t xml:space="preserve">Armed Struggle: The History of the IRA. </w:t>
      </w:r>
      <w:r w:rsidRPr="007D635A">
        <w:rPr>
          <w:sz w:val="24"/>
          <w:szCs w:val="24"/>
          <w:highlight w:val="white"/>
        </w:rPr>
        <w:t>(online) London: Pan Books. Available from: https://books.google.co.uk/books?id=VFPiMw8iLyAC&amp;printsec=frontcover&amp;source=gbs_ge_summary_r&amp;cad=0#v=onepage&amp;q&amp;f=false</w:t>
      </w:r>
      <w:r w:rsidRPr="007D635A">
        <w:rPr>
          <w:sz w:val="24"/>
          <w:szCs w:val="24"/>
        </w:rPr>
        <w:t xml:space="preserve"> (Accessed on the 29th of October 2020)</w:t>
      </w:r>
    </w:p>
    <w:p w14:paraId="16BD2177" w14:textId="77777777" w:rsidR="00566B31" w:rsidRPr="007D635A" w:rsidRDefault="00566B31" w:rsidP="001E3258">
      <w:pPr>
        <w:spacing w:line="600" w:lineRule="auto"/>
        <w:rPr>
          <w:sz w:val="24"/>
          <w:szCs w:val="24"/>
        </w:rPr>
      </w:pPr>
    </w:p>
    <w:p w14:paraId="39865B31" w14:textId="77777777" w:rsidR="001E3258" w:rsidRPr="007D635A" w:rsidRDefault="00A62C56" w:rsidP="001E3258">
      <w:pPr>
        <w:spacing w:line="600" w:lineRule="auto"/>
        <w:rPr>
          <w:sz w:val="24"/>
          <w:szCs w:val="24"/>
        </w:rPr>
      </w:pPr>
      <w:r w:rsidRPr="007D635A">
        <w:rPr>
          <w:sz w:val="24"/>
          <w:szCs w:val="24"/>
        </w:rPr>
        <w:t xml:space="preserve">Field, A (2017) The Hollow Hierarchy: Problems of Command and Control in the Provisional IRA. </w:t>
      </w:r>
      <w:r w:rsidRPr="007D635A">
        <w:rPr>
          <w:i/>
          <w:sz w:val="24"/>
          <w:szCs w:val="24"/>
        </w:rPr>
        <w:t xml:space="preserve">Journal of Terrorism Research. </w:t>
      </w:r>
      <w:r w:rsidRPr="007D635A">
        <w:rPr>
          <w:sz w:val="24"/>
          <w:szCs w:val="24"/>
        </w:rPr>
        <w:t>(Online) 8 (10). p. 11-23. Available from:</w:t>
      </w:r>
    </w:p>
    <w:p w14:paraId="70B99870" w14:textId="5C260478" w:rsidR="00566B31" w:rsidRPr="007D635A" w:rsidRDefault="00A62C56" w:rsidP="001E3258">
      <w:pPr>
        <w:spacing w:line="600" w:lineRule="auto"/>
        <w:rPr>
          <w:sz w:val="24"/>
          <w:szCs w:val="24"/>
        </w:rPr>
      </w:pPr>
      <w:r w:rsidRPr="007D635A">
        <w:rPr>
          <w:sz w:val="24"/>
          <w:szCs w:val="24"/>
        </w:rPr>
        <w:lastRenderedPageBreak/>
        <w:t xml:space="preserve">file:///C:/Users/fumbl/Downloads/1328-4547-2-PB%20(1).pdf (Accessed on the 21st of October 2020) </w:t>
      </w:r>
    </w:p>
    <w:p w14:paraId="1B19E219" w14:textId="77777777" w:rsidR="00566B31" w:rsidRPr="007D635A" w:rsidRDefault="00566B31" w:rsidP="001E3258">
      <w:pPr>
        <w:spacing w:line="600" w:lineRule="auto"/>
        <w:rPr>
          <w:sz w:val="24"/>
          <w:szCs w:val="24"/>
        </w:rPr>
      </w:pPr>
    </w:p>
    <w:p w14:paraId="417288C7" w14:textId="77777777" w:rsidR="001E3258" w:rsidRPr="007D635A" w:rsidRDefault="00A62C56" w:rsidP="001E3258">
      <w:pPr>
        <w:spacing w:line="600" w:lineRule="auto"/>
        <w:rPr>
          <w:sz w:val="24"/>
          <w:szCs w:val="24"/>
        </w:rPr>
      </w:pPr>
      <w:r w:rsidRPr="007D635A">
        <w:rPr>
          <w:sz w:val="24"/>
          <w:szCs w:val="24"/>
        </w:rPr>
        <w:t>Gill, P and Hogan, J (2013) Who Were the Volunteers?</w:t>
      </w:r>
      <w:hyperlink r:id="rId7">
        <w:r w:rsidRPr="007D635A">
          <w:rPr>
            <w:sz w:val="24"/>
            <w:szCs w:val="24"/>
          </w:rPr>
          <w:t xml:space="preserve"> 1 </w:t>
        </w:r>
      </w:hyperlink>
      <w:r w:rsidRPr="007D635A">
        <w:rPr>
          <w:sz w:val="24"/>
          <w:szCs w:val="24"/>
        </w:rPr>
        <w:t xml:space="preserve">The Shifting Sociological and Operational Profile of 1240 Provisional Irish Republican Army Members. </w:t>
      </w:r>
      <w:r w:rsidRPr="007D635A">
        <w:rPr>
          <w:i/>
          <w:sz w:val="24"/>
          <w:szCs w:val="24"/>
        </w:rPr>
        <w:t xml:space="preserve">Terrorism and Political Violence. </w:t>
      </w:r>
      <w:r w:rsidRPr="007D635A">
        <w:rPr>
          <w:sz w:val="24"/>
          <w:szCs w:val="24"/>
        </w:rPr>
        <w:t>(Online) 25(6). p.435-456. Available</w:t>
      </w:r>
      <w:r w:rsidR="001E3258" w:rsidRPr="007D635A">
        <w:rPr>
          <w:sz w:val="24"/>
          <w:szCs w:val="24"/>
        </w:rPr>
        <w:t xml:space="preserve"> </w:t>
      </w:r>
      <w:r w:rsidRPr="007D635A">
        <w:rPr>
          <w:sz w:val="24"/>
          <w:szCs w:val="24"/>
        </w:rPr>
        <w:t>from:</w:t>
      </w:r>
    </w:p>
    <w:p w14:paraId="4B0391A7" w14:textId="3F97E680" w:rsidR="00566B31" w:rsidRPr="007D635A" w:rsidRDefault="00A62C56" w:rsidP="001E3258">
      <w:pPr>
        <w:spacing w:line="600" w:lineRule="auto"/>
        <w:rPr>
          <w:sz w:val="24"/>
          <w:szCs w:val="24"/>
        </w:rPr>
      </w:pPr>
      <w:r w:rsidRPr="007D635A">
        <w:rPr>
          <w:sz w:val="24"/>
          <w:szCs w:val="24"/>
        </w:rPr>
        <w:t>https://www.tandfonline.com/doi/full/10.1080/09546553.2012.664587 (Accessed on the 21st of October 2020.</w:t>
      </w:r>
    </w:p>
    <w:p w14:paraId="62F792D3" w14:textId="77777777" w:rsidR="00566B31" w:rsidRPr="007D635A" w:rsidRDefault="00566B31" w:rsidP="001E3258">
      <w:pPr>
        <w:spacing w:line="600" w:lineRule="auto"/>
        <w:rPr>
          <w:sz w:val="24"/>
          <w:szCs w:val="24"/>
        </w:rPr>
      </w:pPr>
    </w:p>
    <w:p w14:paraId="4EC89CB7" w14:textId="77777777" w:rsidR="00566B31" w:rsidRPr="007D635A" w:rsidRDefault="00A62C56" w:rsidP="001E3258">
      <w:pPr>
        <w:spacing w:line="600" w:lineRule="auto"/>
        <w:rPr>
          <w:sz w:val="24"/>
          <w:szCs w:val="24"/>
        </w:rPr>
      </w:pPr>
      <w:r w:rsidRPr="007D635A">
        <w:rPr>
          <w:sz w:val="24"/>
          <w:szCs w:val="24"/>
        </w:rPr>
        <w:t xml:space="preserve">Gregory, K (2010) </w:t>
      </w:r>
      <w:r w:rsidRPr="007D635A">
        <w:rPr>
          <w:i/>
          <w:sz w:val="24"/>
          <w:szCs w:val="24"/>
        </w:rPr>
        <w:t xml:space="preserve">Provisional Irish Republican Army (IRA) (aka, PIRA, "the </w:t>
      </w:r>
      <w:proofErr w:type="spellStart"/>
      <w:r w:rsidRPr="007D635A">
        <w:rPr>
          <w:i/>
          <w:sz w:val="24"/>
          <w:szCs w:val="24"/>
        </w:rPr>
        <w:t>provos</w:t>
      </w:r>
      <w:proofErr w:type="spellEnd"/>
      <w:r w:rsidRPr="007D635A">
        <w:rPr>
          <w:i/>
          <w:sz w:val="24"/>
          <w:szCs w:val="24"/>
        </w:rPr>
        <w:t xml:space="preserve">," </w:t>
      </w:r>
      <w:proofErr w:type="spellStart"/>
      <w:r w:rsidRPr="007D635A">
        <w:rPr>
          <w:i/>
          <w:sz w:val="24"/>
          <w:szCs w:val="24"/>
        </w:rPr>
        <w:t>Óglaigh</w:t>
      </w:r>
      <w:proofErr w:type="spellEnd"/>
      <w:r w:rsidRPr="007D635A">
        <w:rPr>
          <w:i/>
          <w:sz w:val="24"/>
          <w:szCs w:val="24"/>
        </w:rPr>
        <w:t xml:space="preserve"> </w:t>
      </w:r>
      <w:proofErr w:type="spellStart"/>
      <w:r w:rsidRPr="007D635A">
        <w:rPr>
          <w:i/>
          <w:sz w:val="24"/>
          <w:szCs w:val="24"/>
        </w:rPr>
        <w:t>na</w:t>
      </w:r>
      <w:proofErr w:type="spellEnd"/>
      <w:r w:rsidRPr="007D635A">
        <w:rPr>
          <w:i/>
          <w:sz w:val="24"/>
          <w:szCs w:val="24"/>
        </w:rPr>
        <w:t xml:space="preserve"> </w:t>
      </w:r>
      <w:proofErr w:type="spellStart"/>
      <w:r w:rsidRPr="007D635A">
        <w:rPr>
          <w:i/>
          <w:sz w:val="24"/>
          <w:szCs w:val="24"/>
        </w:rPr>
        <w:t>hÉireann</w:t>
      </w:r>
      <w:proofErr w:type="spellEnd"/>
      <w:r w:rsidRPr="007D635A">
        <w:rPr>
          <w:i/>
          <w:sz w:val="24"/>
          <w:szCs w:val="24"/>
        </w:rPr>
        <w:t xml:space="preserve">) (UK separatists) </w:t>
      </w:r>
      <w:r w:rsidRPr="007D635A">
        <w:rPr>
          <w:sz w:val="24"/>
          <w:szCs w:val="24"/>
        </w:rPr>
        <w:t>(Online) Available from: https://www.cfr.org/backgrounder/provisional-irish-republican-army-ira-aka-pira-provos-oglaigh-na-heireann-uk (Accessed on the 28th of October 2020)</w:t>
      </w:r>
    </w:p>
    <w:p w14:paraId="0131002F" w14:textId="77777777" w:rsidR="00566B31" w:rsidRPr="007D635A" w:rsidRDefault="00566B31" w:rsidP="001E3258">
      <w:pPr>
        <w:spacing w:line="600" w:lineRule="auto"/>
        <w:rPr>
          <w:sz w:val="24"/>
          <w:szCs w:val="24"/>
        </w:rPr>
      </w:pPr>
    </w:p>
    <w:p w14:paraId="1805C6F1" w14:textId="77777777" w:rsidR="001E3258" w:rsidRPr="007D635A" w:rsidRDefault="00A62C56" w:rsidP="001E3258">
      <w:pPr>
        <w:spacing w:line="600" w:lineRule="auto"/>
        <w:rPr>
          <w:sz w:val="24"/>
          <w:szCs w:val="24"/>
          <w:highlight w:val="white"/>
        </w:rPr>
      </w:pPr>
      <w:r w:rsidRPr="007D635A">
        <w:rPr>
          <w:sz w:val="24"/>
          <w:szCs w:val="24"/>
        </w:rPr>
        <w:t>Hogan, J and Taylor, M (2003) Playing the 'Green Card' - Financing the</w:t>
      </w:r>
      <w:r w:rsidR="001E3258" w:rsidRPr="007D635A">
        <w:rPr>
          <w:sz w:val="24"/>
          <w:szCs w:val="24"/>
        </w:rPr>
        <w:t xml:space="preserve"> </w:t>
      </w:r>
      <w:r w:rsidRPr="007D635A">
        <w:rPr>
          <w:sz w:val="24"/>
          <w:szCs w:val="24"/>
        </w:rPr>
        <w:t xml:space="preserve">Provisional IRA: Part 1. </w:t>
      </w:r>
      <w:r w:rsidRPr="007D635A">
        <w:rPr>
          <w:i/>
          <w:sz w:val="24"/>
          <w:szCs w:val="24"/>
          <w:highlight w:val="white"/>
        </w:rPr>
        <w:t xml:space="preserve">Terrorism and Political Violence </w:t>
      </w:r>
      <w:r w:rsidRPr="007D635A">
        <w:rPr>
          <w:sz w:val="24"/>
          <w:szCs w:val="24"/>
          <w:highlight w:val="white"/>
        </w:rPr>
        <w:t>(Online) 11(6). p.1-38.  Available from:</w:t>
      </w:r>
    </w:p>
    <w:p w14:paraId="7E39DF07" w14:textId="4B9E6E99" w:rsidR="00566B31" w:rsidRPr="007D635A" w:rsidRDefault="00A62C56" w:rsidP="001E3258">
      <w:pPr>
        <w:spacing w:line="600" w:lineRule="auto"/>
        <w:rPr>
          <w:sz w:val="24"/>
          <w:szCs w:val="24"/>
        </w:rPr>
      </w:pPr>
      <w:r w:rsidRPr="007D635A">
        <w:rPr>
          <w:sz w:val="24"/>
          <w:szCs w:val="24"/>
          <w:highlight w:val="white"/>
        </w:rPr>
        <w:t>https://www.researchgate.net/publication/233106152_Playing_the_'Green_Card'_-Financing_the_Provisional_IRA_Part_1</w:t>
      </w:r>
      <w:r w:rsidRPr="007D635A">
        <w:rPr>
          <w:sz w:val="24"/>
          <w:szCs w:val="24"/>
        </w:rPr>
        <w:t xml:space="preserve"> (Accessed on the 26th of October 2020)</w:t>
      </w:r>
    </w:p>
    <w:p w14:paraId="782CAB26" w14:textId="77777777" w:rsidR="003773E2" w:rsidRPr="007D635A" w:rsidRDefault="003773E2" w:rsidP="001E3258">
      <w:pPr>
        <w:spacing w:line="600" w:lineRule="auto"/>
        <w:rPr>
          <w:sz w:val="24"/>
          <w:szCs w:val="24"/>
        </w:rPr>
      </w:pPr>
    </w:p>
    <w:p w14:paraId="307C301D" w14:textId="77777777" w:rsidR="001E3258" w:rsidRPr="007D635A" w:rsidRDefault="00A62C56" w:rsidP="001E3258">
      <w:pPr>
        <w:spacing w:line="600" w:lineRule="auto"/>
        <w:rPr>
          <w:sz w:val="24"/>
          <w:szCs w:val="24"/>
        </w:rPr>
      </w:pPr>
      <w:r w:rsidRPr="007D635A">
        <w:rPr>
          <w:sz w:val="24"/>
          <w:szCs w:val="24"/>
        </w:rPr>
        <w:lastRenderedPageBreak/>
        <w:t xml:space="preserve">Hogan, J and Taylor, M (2007). The Provisional Irish Republican Army: Command and functional structure. </w:t>
      </w:r>
      <w:r w:rsidRPr="007D635A">
        <w:rPr>
          <w:i/>
          <w:sz w:val="24"/>
          <w:szCs w:val="24"/>
        </w:rPr>
        <w:t xml:space="preserve">Terrorism and Political Violence. </w:t>
      </w:r>
      <w:r w:rsidRPr="007D635A">
        <w:rPr>
          <w:sz w:val="24"/>
          <w:szCs w:val="24"/>
        </w:rPr>
        <w:t>(Online) 9(12). p.1-32. Available from:</w:t>
      </w:r>
    </w:p>
    <w:p w14:paraId="295DE5A0" w14:textId="72653A58" w:rsidR="00566B31" w:rsidRPr="007D635A" w:rsidRDefault="00A62C56" w:rsidP="001E3258">
      <w:pPr>
        <w:spacing w:line="600" w:lineRule="auto"/>
        <w:rPr>
          <w:sz w:val="24"/>
          <w:szCs w:val="24"/>
        </w:rPr>
      </w:pPr>
      <w:r w:rsidRPr="007D635A">
        <w:rPr>
          <w:sz w:val="24"/>
          <w:szCs w:val="24"/>
        </w:rPr>
        <w:t>https://www.tandfonline.com/doi/abs/10.1080/09546559708427413?journalCode=ftpv20 (Accessed on the 19th of October 2020)</w:t>
      </w:r>
    </w:p>
    <w:p w14:paraId="1F506599" w14:textId="77777777" w:rsidR="003773E2" w:rsidRPr="007D635A" w:rsidRDefault="003773E2" w:rsidP="001E3258">
      <w:pPr>
        <w:spacing w:line="600" w:lineRule="auto"/>
        <w:rPr>
          <w:sz w:val="24"/>
          <w:szCs w:val="24"/>
        </w:rPr>
      </w:pPr>
    </w:p>
    <w:p w14:paraId="13B18ACA" w14:textId="77777777" w:rsidR="001E3258" w:rsidRPr="007D635A" w:rsidRDefault="00A62C56" w:rsidP="001E3258">
      <w:pPr>
        <w:spacing w:line="600" w:lineRule="auto"/>
        <w:rPr>
          <w:sz w:val="24"/>
          <w:szCs w:val="24"/>
        </w:rPr>
      </w:pPr>
      <w:r w:rsidRPr="007D635A">
        <w:rPr>
          <w:sz w:val="24"/>
          <w:szCs w:val="24"/>
        </w:rPr>
        <w:t xml:space="preserve">House of Commons (2011) </w:t>
      </w:r>
      <w:r w:rsidRPr="007D635A">
        <w:rPr>
          <w:i/>
          <w:sz w:val="24"/>
          <w:szCs w:val="24"/>
        </w:rPr>
        <w:t xml:space="preserve">The Rosemary Nelson Enquiry Report. </w:t>
      </w:r>
      <w:r w:rsidRPr="007D635A">
        <w:rPr>
          <w:sz w:val="24"/>
          <w:szCs w:val="24"/>
        </w:rPr>
        <w:t>(Online) Available from:</w:t>
      </w:r>
    </w:p>
    <w:p w14:paraId="13C8AAC5" w14:textId="30ADB97C" w:rsidR="00566B31" w:rsidRPr="007D635A" w:rsidRDefault="00A62C56" w:rsidP="001E3258">
      <w:pPr>
        <w:spacing w:line="600" w:lineRule="auto"/>
        <w:rPr>
          <w:sz w:val="24"/>
          <w:szCs w:val="24"/>
        </w:rPr>
      </w:pPr>
      <w:r w:rsidRPr="007D635A">
        <w:rPr>
          <w:sz w:val="24"/>
          <w:szCs w:val="24"/>
        </w:rPr>
        <w:t>https://assets.publishing.service.gov.uk/government/uploads/system/uploads/attachment_data/file/247461/0947.pdf (Accessed on the 25th of October 2020)</w:t>
      </w:r>
    </w:p>
    <w:p w14:paraId="144C1605" w14:textId="77777777" w:rsidR="00566B31" w:rsidRPr="007D635A" w:rsidRDefault="00566B31" w:rsidP="001E3258">
      <w:pPr>
        <w:spacing w:line="600" w:lineRule="auto"/>
        <w:rPr>
          <w:sz w:val="24"/>
          <w:szCs w:val="24"/>
        </w:rPr>
      </w:pPr>
    </w:p>
    <w:p w14:paraId="45F5781C" w14:textId="77777777" w:rsidR="00566B31" w:rsidRPr="007D635A" w:rsidRDefault="00566B31" w:rsidP="001E3258">
      <w:pPr>
        <w:spacing w:line="600" w:lineRule="auto"/>
        <w:rPr>
          <w:sz w:val="24"/>
          <w:szCs w:val="24"/>
        </w:rPr>
      </w:pPr>
    </w:p>
    <w:p w14:paraId="750DB025" w14:textId="47BB4C97" w:rsidR="00566B31" w:rsidRPr="007D635A" w:rsidRDefault="00A62C56" w:rsidP="001E3258">
      <w:pPr>
        <w:spacing w:line="600" w:lineRule="auto"/>
        <w:rPr>
          <w:sz w:val="24"/>
          <w:szCs w:val="24"/>
        </w:rPr>
      </w:pPr>
      <w:r w:rsidRPr="007D635A">
        <w:rPr>
          <w:sz w:val="24"/>
          <w:szCs w:val="24"/>
        </w:rPr>
        <w:t xml:space="preserve">Jackson, B, Baker, J, </w:t>
      </w:r>
      <w:proofErr w:type="spellStart"/>
      <w:r w:rsidRPr="007D635A">
        <w:rPr>
          <w:sz w:val="24"/>
          <w:szCs w:val="24"/>
        </w:rPr>
        <w:t>Cragin</w:t>
      </w:r>
      <w:proofErr w:type="spellEnd"/>
      <w:r w:rsidRPr="007D635A">
        <w:rPr>
          <w:sz w:val="24"/>
          <w:szCs w:val="24"/>
        </w:rPr>
        <w:t xml:space="preserve">, K, </w:t>
      </w:r>
      <w:proofErr w:type="spellStart"/>
      <w:r w:rsidRPr="007D635A">
        <w:rPr>
          <w:sz w:val="24"/>
          <w:szCs w:val="24"/>
        </w:rPr>
        <w:t>Parachini</w:t>
      </w:r>
      <w:proofErr w:type="spellEnd"/>
      <w:r w:rsidRPr="007D635A">
        <w:rPr>
          <w:sz w:val="24"/>
          <w:szCs w:val="24"/>
        </w:rPr>
        <w:t xml:space="preserve">, J, Trujillo, H and Chalk, P. (2005) </w:t>
      </w:r>
      <w:r w:rsidRPr="007D635A">
        <w:rPr>
          <w:i/>
          <w:sz w:val="24"/>
          <w:szCs w:val="24"/>
        </w:rPr>
        <w:t xml:space="preserve">Aptitude for Destruction, Case Studies of Organizational Learning in Five Terrorist Groups. </w:t>
      </w:r>
      <w:r w:rsidRPr="007D635A">
        <w:rPr>
          <w:sz w:val="24"/>
          <w:szCs w:val="24"/>
        </w:rPr>
        <w:t xml:space="preserve">Volume 2. Santa </w:t>
      </w:r>
      <w:proofErr w:type="spellStart"/>
      <w:r w:rsidRPr="007D635A">
        <w:rPr>
          <w:sz w:val="24"/>
          <w:szCs w:val="24"/>
        </w:rPr>
        <w:t>Monica:Rand</w:t>
      </w:r>
      <w:proofErr w:type="spellEnd"/>
      <w:r w:rsidRPr="007D635A">
        <w:rPr>
          <w:sz w:val="24"/>
          <w:szCs w:val="24"/>
        </w:rPr>
        <w:t xml:space="preserve">. </w:t>
      </w:r>
      <w:r w:rsidR="007D635A" w:rsidRPr="007D635A">
        <w:rPr>
          <w:sz w:val="24"/>
          <w:szCs w:val="24"/>
        </w:rPr>
        <w:t>Available from:</w:t>
      </w:r>
    </w:p>
    <w:p w14:paraId="77762A66" w14:textId="299C8B62" w:rsidR="007D635A" w:rsidRPr="007D635A" w:rsidRDefault="007D635A" w:rsidP="001E3258">
      <w:pPr>
        <w:spacing w:line="600" w:lineRule="auto"/>
        <w:rPr>
          <w:sz w:val="24"/>
          <w:szCs w:val="24"/>
        </w:rPr>
      </w:pPr>
      <w:r w:rsidRPr="007D635A">
        <w:rPr>
          <w:sz w:val="24"/>
          <w:szCs w:val="24"/>
        </w:rPr>
        <w:t>https://www.jstor.org/stable/10.7249/mg332nij.12?seq=1#metadata_info_tab_contents (Accessed on the 19</w:t>
      </w:r>
      <w:r w:rsidRPr="007D635A">
        <w:rPr>
          <w:sz w:val="24"/>
          <w:szCs w:val="24"/>
          <w:vertAlign w:val="superscript"/>
        </w:rPr>
        <w:t>th</w:t>
      </w:r>
      <w:r w:rsidRPr="007D635A">
        <w:rPr>
          <w:sz w:val="24"/>
          <w:szCs w:val="24"/>
        </w:rPr>
        <w:t xml:space="preserve"> of October 2020)</w:t>
      </w:r>
    </w:p>
    <w:p w14:paraId="292B83D0" w14:textId="77777777" w:rsidR="00566B31" w:rsidRPr="007D635A" w:rsidRDefault="00566B31" w:rsidP="001E3258">
      <w:pPr>
        <w:spacing w:line="600" w:lineRule="auto"/>
        <w:rPr>
          <w:sz w:val="24"/>
          <w:szCs w:val="24"/>
        </w:rPr>
      </w:pPr>
    </w:p>
    <w:p w14:paraId="056C8C85" w14:textId="77777777" w:rsidR="00566B31" w:rsidRPr="007D635A" w:rsidRDefault="00A62C56" w:rsidP="001E3258">
      <w:pPr>
        <w:spacing w:line="600" w:lineRule="auto"/>
        <w:rPr>
          <w:sz w:val="24"/>
          <w:szCs w:val="24"/>
        </w:rPr>
      </w:pPr>
      <w:r w:rsidRPr="007D635A">
        <w:rPr>
          <w:sz w:val="24"/>
          <w:szCs w:val="24"/>
        </w:rPr>
        <w:t xml:space="preserve">Leahy, T (2020) </w:t>
      </w:r>
      <w:r w:rsidRPr="007D635A">
        <w:rPr>
          <w:i/>
          <w:sz w:val="24"/>
          <w:szCs w:val="24"/>
        </w:rPr>
        <w:t xml:space="preserve">The Intelligence War against the IRA. </w:t>
      </w:r>
      <w:r w:rsidRPr="007D635A">
        <w:rPr>
          <w:sz w:val="24"/>
          <w:szCs w:val="24"/>
        </w:rPr>
        <w:t xml:space="preserve">(Online) Cambridge: Cambridge University Press. Available from: </w:t>
      </w:r>
      <w:r w:rsidRPr="007D635A">
        <w:rPr>
          <w:sz w:val="24"/>
          <w:szCs w:val="24"/>
        </w:rPr>
        <w:lastRenderedPageBreak/>
        <w:t>https://books.google.co.uk/books?id=ntnNDwAAQBAJ&amp;printsec=frontcover&amp;source=gbs_ge_summary_r&amp;cad=0#v=onepage&amp;q&amp;f=false (Accessed on the 30th of October 2020)</w:t>
      </w:r>
    </w:p>
    <w:p w14:paraId="30578882" w14:textId="77777777" w:rsidR="00566B31" w:rsidRPr="007D635A" w:rsidRDefault="00566B31" w:rsidP="001E3258">
      <w:pPr>
        <w:spacing w:line="600" w:lineRule="auto"/>
        <w:rPr>
          <w:sz w:val="24"/>
          <w:szCs w:val="24"/>
        </w:rPr>
      </w:pPr>
    </w:p>
    <w:p w14:paraId="291CB3ED" w14:textId="77777777" w:rsidR="00566B31" w:rsidRPr="007D635A" w:rsidRDefault="00566B31" w:rsidP="001E3258">
      <w:pPr>
        <w:spacing w:line="600" w:lineRule="auto"/>
        <w:rPr>
          <w:sz w:val="24"/>
          <w:szCs w:val="24"/>
        </w:rPr>
      </w:pPr>
    </w:p>
    <w:p w14:paraId="4D2F56A0" w14:textId="11960193" w:rsidR="00566B31" w:rsidRPr="007D635A" w:rsidRDefault="003773E2" w:rsidP="001E3258">
      <w:pPr>
        <w:spacing w:line="600" w:lineRule="auto"/>
        <w:rPr>
          <w:sz w:val="24"/>
          <w:szCs w:val="24"/>
        </w:rPr>
      </w:pPr>
      <w:r w:rsidRPr="007D635A">
        <w:rPr>
          <w:sz w:val="24"/>
          <w:szCs w:val="24"/>
        </w:rPr>
        <w:t>Mobley</w:t>
      </w:r>
      <w:r w:rsidR="00A62C56" w:rsidRPr="007D635A">
        <w:rPr>
          <w:sz w:val="24"/>
          <w:szCs w:val="24"/>
        </w:rPr>
        <w:t xml:space="preserve">, B (2012) </w:t>
      </w:r>
      <w:r w:rsidR="00A62C56" w:rsidRPr="007D635A">
        <w:rPr>
          <w:i/>
          <w:sz w:val="24"/>
          <w:szCs w:val="24"/>
        </w:rPr>
        <w:t xml:space="preserve">Terrorism and </w:t>
      </w:r>
      <w:proofErr w:type="gramStart"/>
      <w:r w:rsidR="00A62C56" w:rsidRPr="007D635A">
        <w:rPr>
          <w:i/>
          <w:sz w:val="24"/>
          <w:szCs w:val="24"/>
        </w:rPr>
        <w:t>Counter Intelligence</w:t>
      </w:r>
      <w:proofErr w:type="gramEnd"/>
      <w:r w:rsidR="00A62C56" w:rsidRPr="007D635A">
        <w:rPr>
          <w:i/>
          <w:sz w:val="24"/>
          <w:szCs w:val="24"/>
        </w:rPr>
        <w:t xml:space="preserve">; How Terrorist Groups Elude Detection. </w:t>
      </w:r>
      <w:r w:rsidR="00A62C56" w:rsidRPr="007D635A">
        <w:rPr>
          <w:sz w:val="24"/>
          <w:szCs w:val="24"/>
        </w:rPr>
        <w:t xml:space="preserve">(Online) </w:t>
      </w:r>
      <w:r w:rsidR="00A62C56" w:rsidRPr="007D635A">
        <w:rPr>
          <w:i/>
          <w:sz w:val="24"/>
          <w:szCs w:val="24"/>
        </w:rPr>
        <w:t xml:space="preserve"> </w:t>
      </w:r>
      <w:r w:rsidR="00A62C56" w:rsidRPr="007D635A">
        <w:rPr>
          <w:sz w:val="24"/>
          <w:szCs w:val="24"/>
        </w:rPr>
        <w:t xml:space="preserve">New </w:t>
      </w:r>
      <w:proofErr w:type="spellStart"/>
      <w:r w:rsidR="00A62C56" w:rsidRPr="007D635A">
        <w:rPr>
          <w:sz w:val="24"/>
          <w:szCs w:val="24"/>
        </w:rPr>
        <w:t>York:Columbia</w:t>
      </w:r>
      <w:proofErr w:type="spellEnd"/>
      <w:r w:rsidR="00A62C56" w:rsidRPr="007D635A">
        <w:rPr>
          <w:sz w:val="24"/>
          <w:szCs w:val="24"/>
        </w:rPr>
        <w:t xml:space="preserve"> University Press. Available from:</w:t>
      </w:r>
    </w:p>
    <w:p w14:paraId="2C1B1590" w14:textId="77777777" w:rsidR="00566B31" w:rsidRPr="007D635A" w:rsidRDefault="00A62C56" w:rsidP="001E3258">
      <w:pPr>
        <w:spacing w:line="600" w:lineRule="auto"/>
        <w:rPr>
          <w:sz w:val="24"/>
          <w:szCs w:val="24"/>
        </w:rPr>
      </w:pPr>
      <w:r w:rsidRPr="007D635A">
        <w:rPr>
          <w:sz w:val="24"/>
          <w:szCs w:val="24"/>
        </w:rPr>
        <w:t>https://books.google.co.uk/books?id=rsfRGLKT4YkC&amp;printsec=frontcover&amp;source=gbs_ge_summary_r&amp;cad=0#v=onepage&amp;q&amp;f=false (Accessed on the 25th of October 2020)</w:t>
      </w:r>
    </w:p>
    <w:p w14:paraId="08108403" w14:textId="77777777" w:rsidR="003773E2" w:rsidRPr="007D635A" w:rsidRDefault="003773E2" w:rsidP="001E3258">
      <w:pPr>
        <w:spacing w:line="600" w:lineRule="auto"/>
        <w:rPr>
          <w:sz w:val="24"/>
          <w:szCs w:val="24"/>
        </w:rPr>
      </w:pPr>
    </w:p>
    <w:p w14:paraId="2616FC32" w14:textId="0E5DA8F1" w:rsidR="00566B31" w:rsidRPr="007D635A" w:rsidRDefault="003773E2" w:rsidP="001E3258">
      <w:pPr>
        <w:spacing w:line="600" w:lineRule="auto"/>
        <w:rPr>
          <w:color w:val="000000"/>
          <w:sz w:val="24"/>
          <w:szCs w:val="24"/>
        </w:rPr>
      </w:pPr>
      <w:r w:rsidRPr="007D635A">
        <w:rPr>
          <w:sz w:val="24"/>
          <w:szCs w:val="24"/>
        </w:rPr>
        <w:t>Moran, J (2016)</w:t>
      </w:r>
      <w:r w:rsidRPr="007D635A">
        <w:rPr>
          <w:i/>
          <w:iCs/>
          <w:sz w:val="24"/>
          <w:szCs w:val="24"/>
        </w:rPr>
        <w:t xml:space="preserve"> </w:t>
      </w:r>
      <w:r w:rsidRPr="007D635A">
        <w:rPr>
          <w:rStyle w:val="fn"/>
          <w:i/>
          <w:iCs/>
          <w:sz w:val="24"/>
          <w:szCs w:val="24"/>
        </w:rPr>
        <w:t>From Northern Ireland to Afghanistan</w:t>
      </w:r>
      <w:r w:rsidRPr="007D635A">
        <w:rPr>
          <w:i/>
          <w:iCs/>
          <w:sz w:val="24"/>
          <w:szCs w:val="24"/>
        </w:rPr>
        <w:t>: </w:t>
      </w:r>
      <w:r w:rsidRPr="007D635A">
        <w:rPr>
          <w:rStyle w:val="Subtitle1"/>
          <w:i/>
          <w:iCs/>
          <w:sz w:val="24"/>
          <w:szCs w:val="24"/>
        </w:rPr>
        <w:t xml:space="preserve">British Military Intelligence Operations, Ethics and Human Rights. </w:t>
      </w:r>
      <w:r w:rsidRPr="007D635A">
        <w:rPr>
          <w:rStyle w:val="Subtitle1"/>
          <w:sz w:val="24"/>
          <w:szCs w:val="24"/>
        </w:rPr>
        <w:t xml:space="preserve">(Online) </w:t>
      </w:r>
      <w:proofErr w:type="spellStart"/>
      <w:r w:rsidRPr="007D635A">
        <w:rPr>
          <w:rStyle w:val="Subtitle1"/>
          <w:sz w:val="24"/>
          <w:szCs w:val="24"/>
        </w:rPr>
        <w:t>London:Routledge</w:t>
      </w:r>
      <w:proofErr w:type="spellEnd"/>
      <w:r w:rsidRPr="007D635A">
        <w:rPr>
          <w:rStyle w:val="Subtitle1"/>
          <w:sz w:val="24"/>
          <w:szCs w:val="24"/>
        </w:rPr>
        <w:t xml:space="preserve">. Available from: </w:t>
      </w:r>
      <w:r w:rsidR="00C3588D" w:rsidRPr="007D635A">
        <w:rPr>
          <w:sz w:val="24"/>
          <w:szCs w:val="24"/>
        </w:rPr>
        <w:t>https://books.google.co.uk/books?id=cXgGDAAAQBAJ&amp;printsec=frontcover&amp;source=gbs_ge_summary_r&amp;cad=0#v=onepage&amp;q&amp;f=false</w:t>
      </w:r>
    </w:p>
    <w:p w14:paraId="51AE8759" w14:textId="5782F5C3" w:rsidR="00C3588D" w:rsidRPr="007D635A" w:rsidRDefault="00C3588D" w:rsidP="001E3258">
      <w:pPr>
        <w:spacing w:line="600" w:lineRule="auto"/>
        <w:rPr>
          <w:color w:val="000000"/>
          <w:sz w:val="24"/>
          <w:szCs w:val="24"/>
        </w:rPr>
      </w:pPr>
    </w:p>
    <w:p w14:paraId="43BBD2D5"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 xml:space="preserve">Morrison, J and Gill, P (eds) (2017) </w:t>
      </w:r>
      <w:r w:rsidRPr="007D635A">
        <w:rPr>
          <w:rFonts w:eastAsia="Times New Roman"/>
          <w:i/>
          <w:iCs/>
          <w:color w:val="000000"/>
          <w:sz w:val="24"/>
          <w:szCs w:val="24"/>
        </w:rPr>
        <w:t xml:space="preserve">100 Years of Irish Republican Violence: 1916-2016. </w:t>
      </w:r>
      <w:r w:rsidRPr="007D635A">
        <w:rPr>
          <w:rFonts w:eastAsia="Times New Roman"/>
          <w:color w:val="000000"/>
          <w:sz w:val="24"/>
          <w:szCs w:val="24"/>
        </w:rPr>
        <w:t xml:space="preserve">(Online) </w:t>
      </w:r>
      <w:proofErr w:type="spellStart"/>
      <w:r w:rsidRPr="007D635A">
        <w:rPr>
          <w:rFonts w:eastAsia="Times New Roman"/>
          <w:color w:val="000000"/>
          <w:sz w:val="24"/>
          <w:szCs w:val="24"/>
        </w:rPr>
        <w:t>Oxon:Routledge</w:t>
      </w:r>
      <w:proofErr w:type="spellEnd"/>
      <w:r w:rsidRPr="007D635A">
        <w:rPr>
          <w:rFonts w:eastAsia="Times New Roman"/>
          <w:color w:val="000000"/>
          <w:sz w:val="24"/>
          <w:szCs w:val="24"/>
        </w:rPr>
        <w:t>. Available from:</w:t>
      </w:r>
    </w:p>
    <w:p w14:paraId="1794100C"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lastRenderedPageBreak/>
        <w:t>https://books.google.co.uk/books?id=0UtWDwAAQBAJ&amp;printsec=frontcover&amp;source=gbs_ge_summary_r&amp;cad=0#v=onepage&amp;q&amp;f=false (Accessed on the 29th of October 2020)</w:t>
      </w:r>
    </w:p>
    <w:p w14:paraId="26384798" w14:textId="77777777" w:rsidR="00C3588D" w:rsidRPr="007D635A" w:rsidRDefault="00C3588D" w:rsidP="001E3258">
      <w:pPr>
        <w:spacing w:after="240" w:line="600" w:lineRule="auto"/>
        <w:rPr>
          <w:rFonts w:ascii="Times New Roman" w:eastAsia="Times New Roman" w:hAnsi="Times New Roman" w:cs="Times New Roman"/>
          <w:sz w:val="24"/>
          <w:szCs w:val="24"/>
        </w:rPr>
      </w:pPr>
    </w:p>
    <w:p w14:paraId="581F64A4"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Mumford, A (2019)</w:t>
      </w:r>
      <w:r w:rsidRPr="007D635A">
        <w:rPr>
          <w:rFonts w:eastAsia="Times New Roman"/>
          <w:i/>
          <w:iCs/>
          <w:color w:val="000000"/>
          <w:sz w:val="24"/>
          <w:szCs w:val="24"/>
        </w:rPr>
        <w:t xml:space="preserve"> Counterinsurgency Wars and the Anglo-American Alliance: The Special Relationship on the Rocks. </w:t>
      </w:r>
      <w:r w:rsidRPr="007D635A">
        <w:rPr>
          <w:rFonts w:eastAsia="Times New Roman"/>
          <w:color w:val="000000"/>
          <w:sz w:val="24"/>
          <w:szCs w:val="24"/>
        </w:rPr>
        <w:t>(Online) Washington DC: Georgetown University Press. Available from:</w:t>
      </w:r>
    </w:p>
    <w:p w14:paraId="4764B9ED"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https://books.google.co.uk/books?id=4r06DwAAQBAJ&amp;printsec=frontcover&amp;source=gbs_ge_summary_r&amp;cad=0#v=onepage&amp;q&amp;f=false (Accessed on the 30th of October 2020)</w:t>
      </w:r>
    </w:p>
    <w:p w14:paraId="7E3D8479" w14:textId="77777777" w:rsidR="00C3588D" w:rsidRPr="007D635A" w:rsidRDefault="00C3588D" w:rsidP="001E3258">
      <w:pPr>
        <w:spacing w:line="600" w:lineRule="auto"/>
        <w:rPr>
          <w:rFonts w:ascii="Times New Roman" w:eastAsia="Times New Roman" w:hAnsi="Times New Roman" w:cs="Times New Roman"/>
          <w:sz w:val="24"/>
          <w:szCs w:val="24"/>
        </w:rPr>
      </w:pPr>
    </w:p>
    <w:p w14:paraId="19100BD2"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 xml:space="preserve">Oppenheimer, A (2008) </w:t>
      </w:r>
      <w:r w:rsidRPr="007D635A">
        <w:rPr>
          <w:rFonts w:eastAsia="Times New Roman"/>
          <w:i/>
          <w:iCs/>
          <w:color w:val="000000"/>
          <w:sz w:val="24"/>
          <w:szCs w:val="24"/>
        </w:rPr>
        <w:t xml:space="preserve">IRA, The Bombs and the Bullets: A History of Deadly Ingenuity. </w:t>
      </w:r>
      <w:r w:rsidRPr="007D635A">
        <w:rPr>
          <w:rFonts w:eastAsia="Times New Roman"/>
          <w:color w:val="000000"/>
          <w:sz w:val="24"/>
          <w:szCs w:val="24"/>
        </w:rPr>
        <w:t xml:space="preserve">(Online) </w:t>
      </w:r>
      <w:proofErr w:type="spellStart"/>
      <w:r w:rsidRPr="007D635A">
        <w:rPr>
          <w:rFonts w:eastAsia="Times New Roman"/>
          <w:color w:val="000000"/>
          <w:sz w:val="24"/>
          <w:szCs w:val="24"/>
        </w:rPr>
        <w:t>Ireland:Irish</w:t>
      </w:r>
      <w:proofErr w:type="spellEnd"/>
      <w:r w:rsidRPr="007D635A">
        <w:rPr>
          <w:rFonts w:eastAsia="Times New Roman"/>
          <w:color w:val="000000"/>
          <w:sz w:val="24"/>
          <w:szCs w:val="24"/>
        </w:rPr>
        <w:t xml:space="preserve"> American Press. Available from:</w:t>
      </w:r>
    </w:p>
    <w:p w14:paraId="17A2467E"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https://books.google.co.uk/books?id=oR8_DwAAQBAJ&amp;printsec=frontcover&amp;source=gbs_ge_summary_r&amp;cad=0#v=onepage&amp;q&amp;f=false (Accessed on the 30th of October 2020)</w:t>
      </w:r>
    </w:p>
    <w:tbl>
      <w:tblPr>
        <w:tblW w:w="0" w:type="auto"/>
        <w:tblCellMar>
          <w:top w:w="15" w:type="dxa"/>
          <w:left w:w="15" w:type="dxa"/>
          <w:bottom w:w="15" w:type="dxa"/>
          <w:right w:w="15" w:type="dxa"/>
        </w:tblCellMar>
        <w:tblLook w:val="04A0" w:firstRow="1" w:lastRow="0" w:firstColumn="1" w:lastColumn="0" w:noHBand="0" w:noVBand="1"/>
      </w:tblPr>
      <w:tblGrid>
        <w:gridCol w:w="206"/>
      </w:tblGrid>
      <w:tr w:rsidR="00C3588D" w:rsidRPr="007D635A" w14:paraId="3BBBE04F" w14:textId="77777777" w:rsidTr="00C3588D">
        <w:trPr>
          <w:trHeight w:val="965"/>
        </w:trPr>
        <w:tc>
          <w:tcPr>
            <w:tcW w:w="0" w:type="auto"/>
            <w:shd w:val="clear" w:color="auto" w:fill="FFFFFF"/>
            <w:tcMar>
              <w:top w:w="100" w:type="dxa"/>
              <w:left w:w="100" w:type="dxa"/>
              <w:bottom w:w="100" w:type="dxa"/>
              <w:right w:w="100" w:type="dxa"/>
            </w:tcMar>
            <w:hideMark/>
          </w:tcPr>
          <w:p w14:paraId="47770306" w14:textId="77777777" w:rsidR="00C3588D" w:rsidRPr="007D635A" w:rsidRDefault="00C3588D" w:rsidP="001E3258">
            <w:pPr>
              <w:spacing w:line="600" w:lineRule="auto"/>
              <w:rPr>
                <w:rFonts w:ascii="Times New Roman" w:eastAsia="Times New Roman" w:hAnsi="Times New Roman" w:cs="Times New Roman"/>
                <w:sz w:val="24"/>
                <w:szCs w:val="24"/>
              </w:rPr>
            </w:pPr>
          </w:p>
        </w:tc>
      </w:tr>
    </w:tbl>
    <w:p w14:paraId="31991C74"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 xml:space="preserve">Pankhurst, D (2017) </w:t>
      </w:r>
      <w:r w:rsidRPr="007D635A">
        <w:rPr>
          <w:rFonts w:eastAsia="Times New Roman"/>
          <w:i/>
          <w:iCs/>
          <w:color w:val="111111"/>
          <w:sz w:val="24"/>
          <w:szCs w:val="24"/>
        </w:rPr>
        <w:t xml:space="preserve">The Evolution of the Provisional IRA: 1969-1972 </w:t>
      </w:r>
      <w:r w:rsidRPr="007D635A">
        <w:rPr>
          <w:rFonts w:eastAsia="Times New Roman"/>
          <w:color w:val="111111"/>
          <w:sz w:val="24"/>
          <w:szCs w:val="24"/>
        </w:rPr>
        <w:t xml:space="preserve">(Online) Available from: </w:t>
      </w:r>
      <w:r w:rsidRPr="007D635A">
        <w:rPr>
          <w:rFonts w:eastAsia="Times New Roman"/>
          <w:color w:val="111111"/>
          <w:sz w:val="24"/>
          <w:szCs w:val="24"/>
        </w:rPr>
        <w:lastRenderedPageBreak/>
        <w:t>https://www.researchgate.net/publication/338052605_The_Evolution_of_the_Provisional_IRA_1969-1972 (Accessed on the 23rd of October 2020)</w:t>
      </w:r>
    </w:p>
    <w:p w14:paraId="59E55B3E" w14:textId="77777777" w:rsidR="00C3588D" w:rsidRPr="007D635A" w:rsidRDefault="00C3588D" w:rsidP="001E3258">
      <w:pPr>
        <w:spacing w:line="600" w:lineRule="auto"/>
        <w:rPr>
          <w:rFonts w:ascii="Times New Roman" w:eastAsia="Times New Roman" w:hAnsi="Times New Roman" w:cs="Times New Roman"/>
          <w:sz w:val="24"/>
          <w:szCs w:val="24"/>
        </w:rPr>
      </w:pPr>
    </w:p>
    <w:p w14:paraId="4EEA2FD7"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 xml:space="preserve">Saner, E (2019) The Day Mountbatten Died review – an atrocity that still haunts lives four decades on. </w:t>
      </w:r>
      <w:r w:rsidRPr="007D635A">
        <w:rPr>
          <w:rFonts w:eastAsia="Times New Roman"/>
          <w:i/>
          <w:iCs/>
          <w:color w:val="000000"/>
          <w:sz w:val="24"/>
          <w:szCs w:val="24"/>
        </w:rPr>
        <w:t xml:space="preserve">The Guardian. </w:t>
      </w:r>
      <w:r w:rsidRPr="007D635A">
        <w:rPr>
          <w:rFonts w:eastAsia="Times New Roman"/>
          <w:color w:val="000000"/>
          <w:sz w:val="24"/>
          <w:szCs w:val="24"/>
        </w:rPr>
        <w:t>(Online) 19th of August. Available from: :https://www.theguardian.com/tv-and-radio/2019/aug/19/the-day-mountbatten-died-review-an-atrocity-that-still-haunts-lives-four-decades-on (Accessed on the 30th of October 2020)</w:t>
      </w:r>
    </w:p>
    <w:p w14:paraId="093A2E8A" w14:textId="77777777" w:rsidR="00C3588D" w:rsidRPr="007D635A" w:rsidRDefault="00C3588D" w:rsidP="001E3258">
      <w:pPr>
        <w:spacing w:after="240" w:line="600" w:lineRule="auto"/>
        <w:rPr>
          <w:rFonts w:ascii="Times New Roman" w:eastAsia="Times New Roman" w:hAnsi="Times New Roman" w:cs="Times New Roman"/>
          <w:sz w:val="24"/>
          <w:szCs w:val="24"/>
        </w:rPr>
      </w:pPr>
    </w:p>
    <w:p w14:paraId="18181909" w14:textId="77777777" w:rsidR="00C3588D" w:rsidRPr="007D635A" w:rsidRDefault="00C3588D" w:rsidP="001E3258">
      <w:pPr>
        <w:spacing w:line="600" w:lineRule="auto"/>
        <w:rPr>
          <w:rFonts w:ascii="Times New Roman" w:eastAsia="Times New Roman" w:hAnsi="Times New Roman" w:cs="Times New Roman"/>
          <w:sz w:val="24"/>
          <w:szCs w:val="24"/>
        </w:rPr>
      </w:pPr>
      <w:proofErr w:type="spellStart"/>
      <w:r w:rsidRPr="007D635A">
        <w:rPr>
          <w:rFonts w:eastAsia="Times New Roman"/>
          <w:color w:val="000000"/>
          <w:sz w:val="24"/>
          <w:szCs w:val="24"/>
        </w:rPr>
        <w:t>Sarma</w:t>
      </w:r>
      <w:proofErr w:type="spellEnd"/>
      <w:r w:rsidRPr="007D635A">
        <w:rPr>
          <w:rFonts w:eastAsia="Times New Roman"/>
          <w:color w:val="000000"/>
          <w:sz w:val="24"/>
          <w:szCs w:val="24"/>
        </w:rPr>
        <w:t xml:space="preserve">, K. (2007) </w:t>
      </w:r>
      <w:r w:rsidRPr="007D635A">
        <w:rPr>
          <w:rFonts w:eastAsia="Times New Roman"/>
          <w:color w:val="111111"/>
          <w:sz w:val="24"/>
          <w:szCs w:val="24"/>
        </w:rPr>
        <w:t xml:space="preserve">Defensive Propaganda and IRA Political Control in Republican Communities. </w:t>
      </w:r>
      <w:r w:rsidRPr="007D635A">
        <w:rPr>
          <w:rFonts w:eastAsia="Times New Roman"/>
          <w:i/>
          <w:iCs/>
          <w:color w:val="111111"/>
          <w:sz w:val="24"/>
          <w:szCs w:val="24"/>
        </w:rPr>
        <w:t xml:space="preserve">Studies in Conflict and Terrorism. </w:t>
      </w:r>
      <w:r w:rsidRPr="007D635A">
        <w:rPr>
          <w:rFonts w:eastAsia="Times New Roman"/>
          <w:color w:val="111111"/>
          <w:sz w:val="24"/>
          <w:szCs w:val="24"/>
        </w:rPr>
        <w:t>(Online) Available from:</w:t>
      </w:r>
    </w:p>
    <w:p w14:paraId="6F852AE2"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111111"/>
          <w:sz w:val="24"/>
          <w:szCs w:val="24"/>
        </w:rPr>
        <w:t>https://www.researchgate.net/publication/234154052_Defensive_Propaganda_and_IRA_Political_Control_in_Republican_Communities (accessed on the 22nd of October 2020)</w:t>
      </w:r>
    </w:p>
    <w:p w14:paraId="62CB1E47" w14:textId="77777777" w:rsidR="00C3588D" w:rsidRPr="007D635A" w:rsidRDefault="00C3588D" w:rsidP="001E3258">
      <w:pPr>
        <w:spacing w:after="240" w:line="600" w:lineRule="auto"/>
        <w:rPr>
          <w:rFonts w:ascii="Times New Roman" w:eastAsia="Times New Roman" w:hAnsi="Times New Roman" w:cs="Times New Roman"/>
          <w:sz w:val="24"/>
          <w:szCs w:val="24"/>
        </w:rPr>
      </w:pPr>
      <w:r w:rsidRPr="007D635A">
        <w:rPr>
          <w:rFonts w:ascii="Times New Roman" w:eastAsia="Times New Roman" w:hAnsi="Times New Roman" w:cs="Times New Roman"/>
          <w:sz w:val="24"/>
          <w:szCs w:val="24"/>
        </w:rPr>
        <w:br/>
      </w:r>
    </w:p>
    <w:p w14:paraId="25558580" w14:textId="77777777" w:rsidR="00C3588D" w:rsidRPr="007D635A" w:rsidRDefault="00C3588D" w:rsidP="001E3258">
      <w:pPr>
        <w:spacing w:line="600" w:lineRule="auto"/>
        <w:rPr>
          <w:rFonts w:ascii="Times New Roman" w:eastAsia="Times New Roman" w:hAnsi="Times New Roman" w:cs="Times New Roman"/>
          <w:sz w:val="24"/>
          <w:szCs w:val="24"/>
        </w:rPr>
      </w:pPr>
      <w:r w:rsidRPr="007D635A">
        <w:rPr>
          <w:rFonts w:eastAsia="Times New Roman"/>
          <w:color w:val="000000"/>
          <w:sz w:val="24"/>
          <w:szCs w:val="24"/>
        </w:rPr>
        <w:t xml:space="preserve">The Guardian (2005) </w:t>
      </w:r>
      <w:r w:rsidRPr="007D635A">
        <w:rPr>
          <w:rFonts w:eastAsia="Times New Roman"/>
          <w:color w:val="121212"/>
          <w:sz w:val="24"/>
          <w:szCs w:val="24"/>
        </w:rPr>
        <w:t xml:space="preserve">London: past terror attacks. </w:t>
      </w:r>
      <w:r w:rsidRPr="007D635A">
        <w:rPr>
          <w:rFonts w:eastAsia="Times New Roman"/>
          <w:i/>
          <w:iCs/>
          <w:color w:val="121212"/>
          <w:sz w:val="24"/>
          <w:szCs w:val="24"/>
        </w:rPr>
        <w:t xml:space="preserve">The Guardian. </w:t>
      </w:r>
      <w:r w:rsidRPr="007D635A">
        <w:rPr>
          <w:rFonts w:eastAsia="Times New Roman"/>
          <w:color w:val="121212"/>
          <w:sz w:val="24"/>
          <w:szCs w:val="24"/>
        </w:rPr>
        <w:t>(Online) 7th of July. Available from: https://www.theguardian.com/uk/2005/jul/07/terrorism.july73 (Accessed on the 30th of October 2020)</w:t>
      </w:r>
    </w:p>
    <w:p w14:paraId="561B2429" w14:textId="5CEF5511" w:rsidR="00C3588D" w:rsidRPr="007D635A" w:rsidRDefault="00C3588D" w:rsidP="001E3258">
      <w:pPr>
        <w:spacing w:line="600" w:lineRule="auto"/>
        <w:rPr>
          <w:sz w:val="24"/>
          <w:szCs w:val="24"/>
        </w:rPr>
      </w:pPr>
      <w:r w:rsidRPr="007D635A">
        <w:rPr>
          <w:rFonts w:ascii="Times New Roman" w:eastAsia="Times New Roman" w:hAnsi="Times New Roman" w:cs="Times New Roman"/>
          <w:sz w:val="24"/>
          <w:szCs w:val="24"/>
        </w:rPr>
        <w:lastRenderedPageBreak/>
        <w:br/>
      </w:r>
      <w:r w:rsidRPr="007D635A">
        <w:rPr>
          <w:rFonts w:ascii="Times New Roman" w:eastAsia="Times New Roman" w:hAnsi="Times New Roman" w:cs="Times New Roman"/>
          <w:sz w:val="24"/>
          <w:szCs w:val="24"/>
        </w:rPr>
        <w:br/>
      </w:r>
      <w:r w:rsidRPr="007D635A">
        <w:rPr>
          <w:rFonts w:eastAsia="Times New Roman"/>
          <w:color w:val="000000"/>
          <w:sz w:val="24"/>
          <w:szCs w:val="24"/>
        </w:rPr>
        <w:t xml:space="preserve">Woodford, I and Smith, M (2018)  The Political Economy of the Provos: Inside the Finances of the Provisional IRA – A Revision.  </w:t>
      </w:r>
      <w:r w:rsidRPr="007D635A">
        <w:rPr>
          <w:rFonts w:eastAsia="Times New Roman"/>
          <w:i/>
          <w:iCs/>
          <w:color w:val="000000"/>
          <w:sz w:val="24"/>
          <w:szCs w:val="24"/>
        </w:rPr>
        <w:t>STUDIES IN CONFLICT AND TERRORISM</w:t>
      </w:r>
      <w:r w:rsidRPr="007D635A">
        <w:rPr>
          <w:rFonts w:eastAsia="Times New Roman"/>
          <w:color w:val="000000"/>
          <w:sz w:val="24"/>
          <w:szCs w:val="24"/>
        </w:rPr>
        <w:t>, 41(3). p. 213-240. Available from: https://kclpure.kcl.ac.uk/portal/files/62491411/Inside_the_Finances_of_the_PIRA_RAINSBOROUGH_AcceptedJanuary2017_GREEN_AAM.pdf (Accessed on the 21st of October 2020)</w:t>
      </w:r>
    </w:p>
    <w:p w14:paraId="16C1F334" w14:textId="6F6D25F4" w:rsidR="00566B31" w:rsidRPr="007D635A" w:rsidRDefault="00A62C56" w:rsidP="001E3258">
      <w:pPr>
        <w:spacing w:line="600" w:lineRule="auto"/>
        <w:rPr>
          <w:sz w:val="24"/>
          <w:szCs w:val="24"/>
        </w:rPr>
      </w:pPr>
      <w:r w:rsidRPr="007D635A">
        <w:rPr>
          <w:sz w:val="24"/>
          <w:szCs w:val="24"/>
        </w:rPr>
        <w:t xml:space="preserve"> </w:t>
      </w:r>
    </w:p>
    <w:sectPr w:rsidR="00566B31" w:rsidRPr="007D635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B31"/>
    <w:rsid w:val="001A7A52"/>
    <w:rsid w:val="001E3258"/>
    <w:rsid w:val="00370195"/>
    <w:rsid w:val="003773E2"/>
    <w:rsid w:val="004207AD"/>
    <w:rsid w:val="00566B31"/>
    <w:rsid w:val="005E13E9"/>
    <w:rsid w:val="00795A0F"/>
    <w:rsid w:val="007D635A"/>
    <w:rsid w:val="007F6D4F"/>
    <w:rsid w:val="0088247E"/>
    <w:rsid w:val="00956A7F"/>
    <w:rsid w:val="0097078E"/>
    <w:rsid w:val="0098372B"/>
    <w:rsid w:val="00A62C56"/>
    <w:rsid w:val="00B8311A"/>
    <w:rsid w:val="00B92840"/>
    <w:rsid w:val="00B92EA5"/>
    <w:rsid w:val="00C3588D"/>
    <w:rsid w:val="00D36BFF"/>
    <w:rsid w:val="00D46440"/>
    <w:rsid w:val="00E55EC9"/>
    <w:rsid w:val="00F1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EA05E"/>
  <w15:docId w15:val="{0BC5EC3D-06A4-4BEA-9FDE-4F2421EC9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character" w:customStyle="1" w:styleId="fn">
    <w:name w:val="fn"/>
    <w:basedOn w:val="DefaultParagraphFont"/>
    <w:rsid w:val="003773E2"/>
  </w:style>
  <w:style w:type="character" w:customStyle="1" w:styleId="Subtitle1">
    <w:name w:val="Subtitle1"/>
    <w:basedOn w:val="DefaultParagraphFont"/>
    <w:rsid w:val="003773E2"/>
  </w:style>
  <w:style w:type="character" w:styleId="Hyperlink">
    <w:name w:val="Hyperlink"/>
    <w:basedOn w:val="DefaultParagraphFont"/>
    <w:uiPriority w:val="99"/>
    <w:unhideWhenUsed/>
    <w:rsid w:val="003773E2"/>
    <w:rPr>
      <w:color w:val="0000FF"/>
      <w:u w:val="single"/>
    </w:rPr>
  </w:style>
  <w:style w:type="character" w:styleId="UnresolvedMention">
    <w:name w:val="Unresolved Mention"/>
    <w:basedOn w:val="DefaultParagraphFont"/>
    <w:uiPriority w:val="99"/>
    <w:semiHidden/>
    <w:unhideWhenUsed/>
    <w:rsid w:val="00C3588D"/>
    <w:rPr>
      <w:color w:val="605E5C"/>
      <w:shd w:val="clear" w:color="auto" w:fill="E1DFDD"/>
    </w:rPr>
  </w:style>
  <w:style w:type="paragraph" w:styleId="NormalWeb">
    <w:name w:val="Normal (Web)"/>
    <w:basedOn w:val="Normal"/>
    <w:uiPriority w:val="99"/>
    <w:semiHidden/>
    <w:unhideWhenUsed/>
    <w:rsid w:val="00C3588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2326022">
      <w:bodyDiv w:val="1"/>
      <w:marLeft w:val="0"/>
      <w:marRight w:val="0"/>
      <w:marTop w:val="0"/>
      <w:marBottom w:val="0"/>
      <w:divBdr>
        <w:top w:val="none" w:sz="0" w:space="0" w:color="auto"/>
        <w:left w:val="none" w:sz="0" w:space="0" w:color="auto"/>
        <w:bottom w:val="none" w:sz="0" w:space="0" w:color="auto"/>
        <w:right w:val="none" w:sz="0" w:space="0" w:color="auto"/>
      </w:divBdr>
    </w:div>
    <w:div w:id="10706208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tandfonline.com/doi/full/10.1080/09546553.2012.66458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409814-E529-4E0D-BC28-C8FE38F346F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170678-D059-4107-BE14-DBDA8337B693}">
  <ds:schemaRefs>
    <ds:schemaRef ds:uri="http://schemas.microsoft.com/sharepoint/v3/contenttype/forms"/>
  </ds:schemaRefs>
</ds:datastoreItem>
</file>

<file path=customXml/itemProps3.xml><?xml version="1.0" encoding="utf-8"?>
<ds:datastoreItem xmlns:ds="http://schemas.openxmlformats.org/officeDocument/2006/customXml" ds:itemID="{05638755-E0AD-4D60-ADBA-2676BB7A14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4217</Words>
  <Characters>24040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Hill (1708278)</cp:lastModifiedBy>
  <cp:revision>2</cp:revision>
  <dcterms:created xsi:type="dcterms:W3CDTF">2020-11-05T10:19:00Z</dcterms:created>
  <dcterms:modified xsi:type="dcterms:W3CDTF">2020-11-05T10:19:00Z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