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3F976F" w14:textId="77777777" w:rsidR="002150A0" w:rsidRPr="00A00CE8" w:rsidRDefault="002150A0" w:rsidP="00DD0D40">
      <w:pPr>
        <w:pStyle w:val="Heading3"/>
        <w:keepNext w:val="0"/>
        <w:keepLines w:val="0"/>
        <w:spacing w:before="0" w:line="360" w:lineRule="auto"/>
        <w:jc w:val="center"/>
        <w:rPr>
          <w:rFonts w:ascii="Arial" w:hAnsi="Arial" w:cs="Arial"/>
          <w:color w:val="000000"/>
          <w:sz w:val="36"/>
          <w:szCs w:val="36"/>
        </w:rPr>
      </w:pPr>
      <w:r w:rsidRPr="00A00CE8">
        <w:rPr>
          <w:rFonts w:ascii="Arial" w:hAnsi="Arial" w:cs="Arial"/>
          <w:color w:val="000000"/>
          <w:sz w:val="36"/>
          <w:szCs w:val="36"/>
        </w:rPr>
        <w:t xml:space="preserve">Name: </w:t>
      </w:r>
      <w:proofErr w:type="spellStart"/>
      <w:r w:rsidRPr="00A00CE8">
        <w:rPr>
          <w:rFonts w:ascii="Arial" w:hAnsi="Arial" w:cs="Arial"/>
          <w:color w:val="000000"/>
          <w:sz w:val="36"/>
          <w:szCs w:val="36"/>
        </w:rPr>
        <w:t>Meheret</w:t>
      </w:r>
      <w:proofErr w:type="spellEnd"/>
      <w:r w:rsidRPr="00A00CE8">
        <w:rPr>
          <w:rFonts w:ascii="Arial" w:hAnsi="Arial" w:cs="Arial"/>
          <w:color w:val="000000"/>
          <w:sz w:val="36"/>
          <w:szCs w:val="36"/>
        </w:rPr>
        <w:t xml:space="preserve"> Zeleke</w:t>
      </w:r>
    </w:p>
    <w:p w14:paraId="3AA17DFA" w14:textId="77777777" w:rsidR="002150A0" w:rsidRPr="00A00CE8" w:rsidRDefault="002150A0" w:rsidP="00DD0D40">
      <w:pPr>
        <w:spacing w:line="360" w:lineRule="auto"/>
        <w:jc w:val="center"/>
        <w:rPr>
          <w:rFonts w:ascii="Arial" w:hAnsi="Arial" w:cs="Arial"/>
          <w:sz w:val="36"/>
          <w:szCs w:val="36"/>
        </w:rPr>
      </w:pPr>
      <w:r w:rsidRPr="00A00CE8">
        <w:rPr>
          <w:rFonts w:ascii="Arial" w:hAnsi="Arial" w:cs="Arial"/>
          <w:sz w:val="36"/>
          <w:szCs w:val="36"/>
        </w:rPr>
        <w:t>Student number: 2426669</w:t>
      </w:r>
    </w:p>
    <w:p w14:paraId="606AB503" w14:textId="3511979B" w:rsidR="002150A0" w:rsidRDefault="002150A0" w:rsidP="00DD0D40">
      <w:pPr>
        <w:spacing w:line="360" w:lineRule="auto"/>
        <w:jc w:val="center"/>
        <w:rPr>
          <w:rFonts w:ascii="Arial" w:eastAsia="Arial Nova" w:hAnsi="Arial" w:cs="Arial"/>
          <w:sz w:val="36"/>
          <w:szCs w:val="36"/>
        </w:rPr>
      </w:pPr>
      <w:bookmarkStart w:id="0" w:name="_uoigufqz43z0" w:colFirst="0" w:colLast="0"/>
      <w:bookmarkEnd w:id="0"/>
      <w:r w:rsidRPr="00A00CE8">
        <w:rPr>
          <w:rFonts w:ascii="Arial" w:hAnsi="Arial" w:cs="Arial"/>
          <w:color w:val="000000"/>
          <w:sz w:val="36"/>
          <w:szCs w:val="36"/>
        </w:rPr>
        <w:t xml:space="preserve">Module: </w:t>
      </w:r>
      <w:r w:rsidR="00DD0D40" w:rsidRPr="00DD0D40">
        <w:rPr>
          <w:rFonts w:ascii="Arial" w:hAnsi="Arial" w:cs="Arial"/>
          <w:color w:val="000000"/>
          <w:sz w:val="36"/>
          <w:szCs w:val="36"/>
        </w:rPr>
        <w:t>Protecting and Supporting Families in Health and Care</w:t>
      </w:r>
      <w:r w:rsidR="00DD0D40" w:rsidRPr="00DD0D40">
        <w:t xml:space="preserve"> </w:t>
      </w:r>
      <w:r w:rsidRPr="00A00CE8">
        <w:rPr>
          <w:rFonts w:ascii="Arial" w:hAnsi="Arial" w:cs="Arial"/>
          <w:color w:val="000000"/>
          <w:sz w:val="36"/>
          <w:szCs w:val="36"/>
        </w:rPr>
        <w:t>BMHP50</w:t>
      </w:r>
      <w:r w:rsidR="00DD0D40">
        <w:rPr>
          <w:rFonts w:ascii="Arial" w:hAnsi="Arial" w:cs="Arial"/>
          <w:color w:val="000000"/>
          <w:sz w:val="36"/>
          <w:szCs w:val="36"/>
        </w:rPr>
        <w:t>21</w:t>
      </w:r>
    </w:p>
    <w:p w14:paraId="783E7232" w14:textId="47D7D606" w:rsidR="00DD0D40" w:rsidRDefault="00DD0D40" w:rsidP="0010657D">
      <w:pPr>
        <w:spacing w:line="360" w:lineRule="auto"/>
        <w:jc w:val="center"/>
        <w:rPr>
          <w:rFonts w:ascii="Arial" w:hAnsi="Arial" w:cs="Arial"/>
          <w:color w:val="000000"/>
          <w:sz w:val="36"/>
          <w:szCs w:val="36"/>
        </w:rPr>
      </w:pPr>
      <w:r w:rsidRPr="00DD0D40">
        <w:rPr>
          <w:rFonts w:ascii="Arial" w:hAnsi="Arial" w:cs="Arial"/>
          <w:color w:val="000000"/>
          <w:sz w:val="36"/>
          <w:szCs w:val="36"/>
        </w:rPr>
        <w:t>Component 2: Written Report</w:t>
      </w:r>
    </w:p>
    <w:p w14:paraId="66E161E4" w14:textId="6F75438A" w:rsidR="0010657D" w:rsidRDefault="0010657D">
      <w:pPr>
        <w:rPr>
          <w:rFonts w:ascii="Arial" w:hAnsi="Arial" w:cs="Arial"/>
          <w:color w:val="000000"/>
          <w:sz w:val="36"/>
          <w:szCs w:val="36"/>
        </w:rPr>
      </w:pPr>
      <w:r>
        <w:rPr>
          <w:rFonts w:ascii="Arial" w:hAnsi="Arial" w:cs="Arial"/>
          <w:color w:val="000000"/>
          <w:sz w:val="36"/>
          <w:szCs w:val="36"/>
        </w:rPr>
        <w:br w:type="page"/>
      </w:r>
    </w:p>
    <w:p w14:paraId="01CF1578" w14:textId="7757A413" w:rsidR="00F01D7E" w:rsidRDefault="00F01D7E" w:rsidP="00DD0D40">
      <w:pPr>
        <w:spacing w:line="360" w:lineRule="auto"/>
        <w:rPr>
          <w:rFonts w:ascii="Arial" w:hAnsi="Arial" w:cs="Arial"/>
          <w:sz w:val="22"/>
          <w:szCs w:val="22"/>
        </w:rPr>
      </w:pPr>
      <w:r w:rsidRPr="00F01D7E">
        <w:rPr>
          <w:rFonts w:ascii="Arial" w:hAnsi="Arial" w:cs="Arial"/>
          <w:sz w:val="22"/>
          <w:szCs w:val="22"/>
        </w:rPr>
        <w:lastRenderedPageBreak/>
        <w:t>The Early Help System is a coordinated, evidence-based network rooted in the Sure Start legacy, designed to strengthen family resilience and prevent needs from escalating through whole-family, multi-agency support</w:t>
      </w:r>
      <w:r>
        <w:rPr>
          <w:rFonts w:ascii="Arial" w:hAnsi="Arial" w:cs="Arial"/>
          <w:sz w:val="22"/>
          <w:szCs w:val="22"/>
        </w:rPr>
        <w:t xml:space="preserve"> (</w:t>
      </w:r>
      <w:r w:rsidRPr="002150A0">
        <w:rPr>
          <w:rFonts w:ascii="Arial" w:hAnsi="Arial" w:cs="Arial"/>
          <w:sz w:val="22"/>
          <w:szCs w:val="22"/>
        </w:rPr>
        <w:t>DLUHC &amp; DfE, 2022</w:t>
      </w:r>
      <w:proofErr w:type="gramStart"/>
      <w:r w:rsidRPr="002150A0">
        <w:rPr>
          <w:rFonts w:ascii="Arial" w:hAnsi="Arial" w:cs="Arial"/>
          <w:sz w:val="22"/>
          <w:szCs w:val="22"/>
        </w:rPr>
        <w:t>).</w:t>
      </w:r>
      <w:r w:rsidRPr="00F01D7E">
        <w:rPr>
          <w:rFonts w:ascii="Arial" w:hAnsi="Arial" w:cs="Arial"/>
          <w:sz w:val="22"/>
          <w:szCs w:val="22"/>
        </w:rPr>
        <w:t>.</w:t>
      </w:r>
      <w:proofErr w:type="gramEnd"/>
      <w:r w:rsidRPr="00F01D7E">
        <w:rPr>
          <w:rFonts w:ascii="Arial" w:hAnsi="Arial" w:cs="Arial"/>
          <w:sz w:val="22"/>
          <w:szCs w:val="22"/>
        </w:rPr>
        <w:t xml:space="preserve"> Its effectiveness, however, depends not only on strong local services but on how easily families can find them. A comparison of three council websites reveals that clear structural separation of early help from statutory child protection, minimal click-burden, and jargon-free language transform accessibility, while confusing navigation and blurred thresholds risk deterring the very families the system exists to reach.</w:t>
      </w:r>
    </w:p>
    <w:p w14:paraId="1CDE45FD" w14:textId="6885685D" w:rsidR="002150A0" w:rsidRPr="002150A0" w:rsidRDefault="002150A0" w:rsidP="00DD0D40">
      <w:pPr>
        <w:spacing w:line="360" w:lineRule="auto"/>
        <w:rPr>
          <w:rFonts w:ascii="Arial" w:hAnsi="Arial" w:cs="Arial"/>
          <w:sz w:val="22"/>
          <w:szCs w:val="22"/>
        </w:rPr>
      </w:pPr>
      <w:r w:rsidRPr="002150A0">
        <w:rPr>
          <w:rFonts w:ascii="Arial" w:hAnsi="Arial" w:cs="Arial"/>
          <w:sz w:val="22"/>
          <w:szCs w:val="22"/>
        </w:rPr>
        <w:t xml:space="preserve">Its foundations lie in the evidence-based early intervention approach pioneered by the Sure Start programme, which targeted children under four and their families in disadvantaged areas through integrated health, education, and family support services (Glass, 1999). </w:t>
      </w:r>
      <w:r w:rsidR="00F01D7E" w:rsidRPr="002150A0">
        <w:rPr>
          <w:rFonts w:ascii="Arial" w:hAnsi="Arial" w:cs="Arial"/>
          <w:sz w:val="22"/>
          <w:szCs w:val="22"/>
        </w:rPr>
        <w:t>Sure,</w:t>
      </w:r>
      <w:r w:rsidRPr="002150A0">
        <w:rPr>
          <w:rFonts w:ascii="Arial" w:hAnsi="Arial" w:cs="Arial"/>
          <w:sz w:val="22"/>
          <w:szCs w:val="22"/>
        </w:rPr>
        <w:t xml:space="preserve"> Start was explicitly designed to prevent social exclusion by offering outreach, home visiting, play and learning opportunities, and primary healthcare within a locally led, non-stigmatising framework (Glass, 1999). Longitudinal research subsequently demonstrated that such comprehensive early </w:t>
      </w:r>
      <w:r w:rsidR="00F01D7E" w:rsidRPr="002150A0">
        <w:rPr>
          <w:rFonts w:ascii="Arial" w:hAnsi="Arial" w:cs="Arial"/>
          <w:sz w:val="22"/>
          <w:szCs w:val="22"/>
        </w:rPr>
        <w:t>year’s</w:t>
      </w:r>
      <w:r w:rsidRPr="002150A0">
        <w:rPr>
          <w:rFonts w:ascii="Arial" w:hAnsi="Arial" w:cs="Arial"/>
          <w:sz w:val="22"/>
          <w:szCs w:val="22"/>
        </w:rPr>
        <w:t xml:space="preserve"> programmes can have persistent positive effects on child development, parenting, and long-term outcomes, providing the evidence base that shaped policy evolution (Melhuish, 2016).</w:t>
      </w:r>
    </w:p>
    <w:p w14:paraId="162FC4DE" w14:textId="77777777" w:rsidR="002150A0" w:rsidRPr="002150A0" w:rsidRDefault="002150A0" w:rsidP="00DD0D40">
      <w:pPr>
        <w:spacing w:line="360" w:lineRule="auto"/>
        <w:rPr>
          <w:rFonts w:ascii="Arial" w:hAnsi="Arial" w:cs="Arial"/>
          <w:sz w:val="22"/>
          <w:szCs w:val="22"/>
        </w:rPr>
      </w:pPr>
      <w:r w:rsidRPr="002150A0">
        <w:rPr>
          <w:rFonts w:ascii="Arial" w:hAnsi="Arial" w:cs="Arial"/>
          <w:sz w:val="22"/>
          <w:szCs w:val="22"/>
        </w:rPr>
        <w:t>Building on this legacy, the modern Early Help System operates on the principle of whole family working, where a lead practitioner coordinates a single assessment and family plan so that all needs are addressed in a joined-up manner (DLUHC &amp; DfE, 2022). This reflects the Sure Start emphasis on multi-agency partnership and the conviction that statutory and voluntary agencies working together can achieve more than the sum of their parts (Glass, 1999). The system now encompasses universal services such as early years settings, schools, and health visiting, community support including voluntary and faith groups, and acute targeted services like social care and mental health (DLUHC &amp; DfE, 2022). Evidence from the National Evaluation of Sure Start and the Effective Pre-School, Primary and Secondary Education (EPPSE) project confirmed that high-quality early education and integrated family support improve outcomes and help narrow the gap between disadvantaged children and their peers (Melhuish, 2016).</w:t>
      </w:r>
    </w:p>
    <w:p w14:paraId="41A036D7" w14:textId="77777777" w:rsidR="002150A0" w:rsidRPr="002150A0" w:rsidRDefault="002150A0" w:rsidP="00DD0D40">
      <w:pPr>
        <w:spacing w:line="360" w:lineRule="auto"/>
        <w:rPr>
          <w:rFonts w:ascii="Arial" w:hAnsi="Arial" w:cs="Arial"/>
          <w:sz w:val="22"/>
          <w:szCs w:val="22"/>
        </w:rPr>
      </w:pPr>
      <w:r w:rsidRPr="002150A0">
        <w:rPr>
          <w:rFonts w:ascii="Arial" w:hAnsi="Arial" w:cs="Arial"/>
          <w:sz w:val="22"/>
          <w:szCs w:val="22"/>
        </w:rPr>
        <w:t xml:space="preserve">A mature Early Help System embeds family voice, robust data sharing, and a shared practice framework across all partners to enable early identification and a swift, proportionate response (DLUHC &amp; DfE, 2022). This reflects the original Sure Start ambition to build services around the evidence of “what works” and to invest in children’s earliest years as the most effective point for intervention (Glass, 1999; Melhuish, 2016). In summary, Early Help today is the evolved expression of a cross-departmental, research-informed </w:t>
      </w:r>
      <w:r w:rsidRPr="002150A0">
        <w:rPr>
          <w:rFonts w:ascii="Arial" w:hAnsi="Arial" w:cs="Arial"/>
          <w:sz w:val="22"/>
          <w:szCs w:val="22"/>
        </w:rPr>
        <w:lastRenderedPageBreak/>
        <w:t>strategy that seeks to provide the right support at the right time, preventing needs from escalating and ensuring children and families can thrive.</w:t>
      </w:r>
    </w:p>
    <w:p w14:paraId="74ED5B23" w14:textId="77777777" w:rsidR="00721875" w:rsidRPr="00721875" w:rsidRDefault="00721875" w:rsidP="00DD0D40">
      <w:pPr>
        <w:spacing w:line="360" w:lineRule="auto"/>
        <w:rPr>
          <w:rFonts w:ascii="Arial" w:hAnsi="Arial" w:cs="Arial"/>
          <w:sz w:val="22"/>
          <w:szCs w:val="22"/>
        </w:rPr>
      </w:pPr>
      <w:r w:rsidRPr="00721875">
        <w:rPr>
          <w:rFonts w:ascii="Arial" w:hAnsi="Arial" w:cs="Arial"/>
          <w:sz w:val="22"/>
          <w:szCs w:val="22"/>
        </w:rPr>
        <w:t>The Early Help System refers to the universal, community-based, and targeted services that intervene before a child's needs escalate to statutory thresholds. Under Working Together to Safeguard Children 2026, it operates on two tiers: universal, community-based early help, delivered through settings such as Best Start Family Hubs, education, and other everyday services available to all families; and targeted early help, delivered through Family Help, which is co-ordinated by a lead practitioner and requires the family's consent (Department for Education, 2026). This tiered design reflects a policy attempt to route families toward the least intrusive, most proportionate level of support.</w:t>
      </w:r>
    </w:p>
    <w:p w14:paraId="50CE4FF1" w14:textId="77777777" w:rsidR="00721875" w:rsidRPr="00721875" w:rsidRDefault="00721875" w:rsidP="00DD0D40">
      <w:pPr>
        <w:spacing w:line="360" w:lineRule="auto"/>
        <w:rPr>
          <w:rFonts w:ascii="Arial" w:hAnsi="Arial" w:cs="Arial"/>
          <w:sz w:val="22"/>
          <w:szCs w:val="22"/>
        </w:rPr>
      </w:pPr>
      <w:r w:rsidRPr="00721875">
        <w:rPr>
          <w:rFonts w:ascii="Arial" w:hAnsi="Arial" w:cs="Arial"/>
          <w:sz w:val="22"/>
          <w:szCs w:val="22"/>
        </w:rPr>
        <w:t>Because no single agency can meet a family's full range of needs, Early Help is inherently a multi-agency undertaking, and its function depends on conditions identified across the wider partnership-working literature. Sloper (2004) found that co-ordinated multi-agency services are facilitated by agreed aims, roles and timetables, a functioning steering group, and reliable information-sharing systems. Tyldesley-Marshall et al. (2025) reached a comparable conclusion in services for children with additional needs, identifying participation, personalisation, respectful communication, and the willingness to work across professional boundaries as ingredients of effective partnership. Together (Sloper, 2004; Tyldesley-Marshall et al., 2025), these findings suggest that the structural existence of a "system" such as Early Help does not itself guarantee co-ordinated delivery; the quality of relationships between practitioners does.</w:t>
      </w:r>
    </w:p>
    <w:p w14:paraId="15DD9EB4" w14:textId="77777777" w:rsidR="00721875" w:rsidRPr="00721875" w:rsidRDefault="00721875" w:rsidP="00DD0D40">
      <w:pPr>
        <w:spacing w:line="360" w:lineRule="auto"/>
        <w:rPr>
          <w:rFonts w:ascii="Arial" w:hAnsi="Arial" w:cs="Arial"/>
          <w:sz w:val="22"/>
          <w:szCs w:val="22"/>
        </w:rPr>
      </w:pPr>
      <w:r w:rsidRPr="00721875">
        <w:rPr>
          <w:rFonts w:ascii="Arial" w:hAnsi="Arial" w:cs="Arial"/>
          <w:sz w:val="22"/>
          <w:szCs w:val="22"/>
        </w:rPr>
        <w:t>The preventive logic of Early Help is reinforced by Golding (2010), who argues that multi-agency intervention for vulnerable children must be sufficiently intense and delivered early enough to stop difficulties persisting into adulthood, a principle evidenced through specialist services for looked-after and adopted children. Early Help practitioners are also active participants in wider safeguarding partnerships responding to more serious harm: Owens and Lloyd (2023) describe an Early Help families service manager contributing to a multi-agency assessment of extra-familial risk, illustrating that early help sits within, rather than separate from, the statutory safeguarding system.</w:t>
      </w:r>
    </w:p>
    <w:p w14:paraId="721E242C" w14:textId="77777777" w:rsidR="00721875" w:rsidRPr="00721875" w:rsidRDefault="00721875" w:rsidP="00DD0D40">
      <w:pPr>
        <w:spacing w:line="360" w:lineRule="auto"/>
        <w:rPr>
          <w:rFonts w:ascii="Arial" w:hAnsi="Arial" w:cs="Arial"/>
          <w:sz w:val="22"/>
          <w:szCs w:val="22"/>
        </w:rPr>
      </w:pPr>
      <w:r w:rsidRPr="00721875">
        <w:rPr>
          <w:rFonts w:ascii="Arial" w:hAnsi="Arial" w:cs="Arial"/>
          <w:sz w:val="22"/>
          <w:szCs w:val="22"/>
        </w:rPr>
        <w:t xml:space="preserve">The system nonetheless faces recognised barriers to genuine collaboration. Professionals often default to working within their own agency "silos" and remain anxious about information-sharing obligations following data-protection reform (Ball, McElwee and McManus, 2024), a pattern consistent with the negotiated partnerships Owens and Lloyd (2023) observed between welfare and enforcement agencies. Ofsted's review, cited in Ball, McElwee and McManus (2024), further found inconsistent oversight of early help. Despite a </w:t>
      </w:r>
      <w:r w:rsidRPr="00721875">
        <w:rPr>
          <w:rFonts w:ascii="Arial" w:hAnsi="Arial" w:cs="Arial"/>
          <w:sz w:val="22"/>
          <w:szCs w:val="22"/>
        </w:rPr>
        <w:lastRenderedPageBreak/>
        <w:t>clearly defined policy architecture, therefore, the Early Help System's effectiveness continues to depend on collaborative culture between agencies rather than on guidance alone.</w:t>
      </w:r>
    </w:p>
    <w:p w14:paraId="5A448844" w14:textId="77777777" w:rsidR="00721875" w:rsidRPr="00721875" w:rsidRDefault="00721875" w:rsidP="00DD0D40">
      <w:pPr>
        <w:spacing w:line="360" w:lineRule="auto"/>
        <w:rPr>
          <w:rFonts w:ascii="Arial" w:hAnsi="Arial" w:cs="Arial"/>
          <w:sz w:val="22"/>
          <w:szCs w:val="22"/>
        </w:rPr>
      </w:pPr>
      <w:r w:rsidRPr="00721875">
        <w:rPr>
          <w:rFonts w:ascii="Arial" w:hAnsi="Arial" w:cs="Arial"/>
          <w:sz w:val="22"/>
          <w:szCs w:val="22"/>
        </w:rPr>
        <w:t>Leicestershire County Council's early help website suffers from fragmented signposting despite strong underlying service provision. The homepage's "Education and children" tile leads users into a confusing structure where the phrase "Early Help" appears nowhere in primary navigation; support instead sits under headings such as "Early years and childcare" and "Social care and supporting families," forcing anxious parents to interpret internal service divisions. A "Duty Line Numbers" box compounds this problem by listing the voluntary "Family information" line alongside "Children's Duty First Response," the statutory child protection route, blurring the threshold between early advice and crisis intervention in a way likely to deter families from calling.</w:t>
      </w:r>
    </w:p>
    <w:p w14:paraId="122C75D8" w14:textId="77777777" w:rsidR="00721875" w:rsidRPr="00721875" w:rsidRDefault="00721875" w:rsidP="00DD0D40">
      <w:pPr>
        <w:spacing w:line="360" w:lineRule="auto"/>
        <w:rPr>
          <w:rFonts w:ascii="Arial" w:hAnsi="Arial" w:cs="Arial"/>
          <w:sz w:val="22"/>
          <w:szCs w:val="22"/>
        </w:rPr>
      </w:pPr>
      <w:r w:rsidRPr="00721875">
        <w:rPr>
          <w:rFonts w:ascii="Arial" w:hAnsi="Arial" w:cs="Arial"/>
          <w:sz w:val="22"/>
          <w:szCs w:val="22"/>
        </w:rPr>
        <w:t xml:space="preserve">A further inconsistency is that Leicestershire delivers early intervention through its "Family Help Service," while the public-facing site signposts users toward a differently named "Family Hubs" model, adding a naming mismatch to the navigational one. Once users reach the Family Hubs pages, communication </w:t>
      </w:r>
      <w:proofErr w:type="gramStart"/>
      <w:r w:rsidRPr="00721875">
        <w:rPr>
          <w:rFonts w:ascii="Arial" w:hAnsi="Arial" w:cs="Arial"/>
          <w:sz w:val="22"/>
          <w:szCs w:val="22"/>
        </w:rPr>
        <w:t>improves:</w:t>
      </w:r>
      <w:proofErr w:type="gramEnd"/>
      <w:r w:rsidRPr="00721875">
        <w:rPr>
          <w:rFonts w:ascii="Arial" w:hAnsi="Arial" w:cs="Arial"/>
          <w:sz w:val="22"/>
          <w:szCs w:val="22"/>
        </w:rPr>
        <w:t xml:space="preserve"> language becomes needs-based, organised under headings such as "domestic abuse" and "parenting," and support is localised by district with direct links to Facebook pages for informal contact. Non-statutory community support, however, sits behind the "Directories" tile, a cluttered page mixing childcare provision with waste-site locations, then nested inside the "Leicestershire Information and Support Directory." This multi-click path demands sustained attention that families in crisis often lack. Leicestershire's service model is relational, but its site architecture obscures that strength.</w:t>
      </w:r>
    </w:p>
    <w:p w14:paraId="4EB18A7A" w14:textId="77777777" w:rsidR="00721875" w:rsidRPr="00721875" w:rsidRDefault="00721875" w:rsidP="00DD0D40">
      <w:pPr>
        <w:spacing w:line="360" w:lineRule="auto"/>
        <w:rPr>
          <w:rFonts w:ascii="Arial" w:hAnsi="Arial" w:cs="Arial"/>
          <w:sz w:val="22"/>
          <w:szCs w:val="22"/>
        </w:rPr>
      </w:pPr>
      <w:r w:rsidRPr="00721875">
        <w:rPr>
          <w:rFonts w:ascii="Arial" w:hAnsi="Arial" w:cs="Arial"/>
          <w:sz w:val="22"/>
          <w:szCs w:val="22"/>
        </w:rPr>
        <w:t xml:space="preserve">Norfolk County Council offers a clearer, more compassionate front door. A dedicated "Early help for children and families" tile sits on the Children and Families landing page, and the journey from homepage to referral takes two clicks. Norfolk separates early help from statutory protection entirely: a distinct "Keeping children safe" tile houses safeguarding content, keeping crisis language away from voluntary support-seekers. The Early Help page's opening text, which normalises family difficulty and frames help as preventative, uses no professional jargon (no EHA, MARF, or thresholds terminology), addressing parents directly rather than practitioners. The page also triages need into two tiers: universal support via Best Start Family Hubs, and targeted "Ask for early help support" with a direct request button, giving parents control without requiring them to interpret eligibility criteria. The main weakness is that detailed local provision is deferred to an external Norfolk Community </w:t>
      </w:r>
      <w:r w:rsidRPr="00721875">
        <w:rPr>
          <w:rFonts w:ascii="Arial" w:hAnsi="Arial" w:cs="Arial"/>
          <w:sz w:val="22"/>
          <w:szCs w:val="22"/>
        </w:rPr>
        <w:lastRenderedPageBreak/>
        <w:t>Directory, introducing a second portal that could feel like a dead end if navigation is unintuitive.</w:t>
      </w:r>
    </w:p>
    <w:p w14:paraId="0C1A4E34" w14:textId="77777777" w:rsidR="00721875" w:rsidRPr="00721875" w:rsidRDefault="00721875" w:rsidP="00DD0D40">
      <w:pPr>
        <w:spacing w:line="360" w:lineRule="auto"/>
        <w:rPr>
          <w:rFonts w:ascii="Arial" w:hAnsi="Arial" w:cs="Arial"/>
          <w:sz w:val="22"/>
          <w:szCs w:val="22"/>
        </w:rPr>
      </w:pPr>
      <w:r w:rsidRPr="00721875">
        <w:rPr>
          <w:rFonts w:ascii="Arial" w:hAnsi="Arial" w:cs="Arial"/>
          <w:sz w:val="22"/>
          <w:szCs w:val="22"/>
        </w:rPr>
        <w:t>Staffordshire County Council uses the most effective triage architecture of the three. Three pill-shaped buttons, "Child protection and safety," "Family hubs," and "Childcare and early years," sit at the top of its Children, Young People and Families page, normalising family support by positioning it alongside routine childcare while keeping it separate from statutory protection. The page also signposts both a physical hub model and the systemic "Early Help" concept via a separate link further down, together with a distinct "Families First" brand for targeted intervention. Specific tiles for the "Bump to toddler pathway," SEND, and "Young offenders" let parents locate support matched to a precise concern rather than searching a generic directory; a parent worried about a child's offending behaviour, for instance, is met with a tile naming that exact concern rather than a broad family-support category. The one drawback is that the coexistence of "Family Hubs" and "Early Help" links could momentarily confuse a small number of users, though clear labelling limits this risk.</w:t>
      </w:r>
    </w:p>
    <w:p w14:paraId="6836D93C" w14:textId="77777777" w:rsidR="00721875" w:rsidRDefault="00721875" w:rsidP="00DD0D40">
      <w:pPr>
        <w:spacing w:line="360" w:lineRule="auto"/>
        <w:rPr>
          <w:rFonts w:ascii="Arial" w:hAnsi="Arial" w:cs="Arial"/>
          <w:sz w:val="22"/>
          <w:szCs w:val="22"/>
        </w:rPr>
      </w:pPr>
      <w:r w:rsidRPr="00721875">
        <w:rPr>
          <w:rFonts w:ascii="Arial" w:hAnsi="Arial" w:cs="Arial"/>
          <w:sz w:val="22"/>
          <w:szCs w:val="22"/>
        </w:rPr>
        <w:t>Across the three authorities, the clearest determinant of accessibility is structural separation of early help from statutory child protection, combined with the number of clicks required to reach support. Norfolk and Staffordshire both achieve this separation explicitly; Leicestershire does not, and its early help pathway suffers accordingly despite comparable underlying service quality.</w:t>
      </w:r>
    </w:p>
    <w:p w14:paraId="02C4B76D" w14:textId="77777777" w:rsidR="00F01D7E" w:rsidRPr="00F01D7E" w:rsidRDefault="00F01D7E" w:rsidP="00DD0D40">
      <w:pPr>
        <w:spacing w:line="360" w:lineRule="auto"/>
        <w:rPr>
          <w:rFonts w:ascii="Arial" w:hAnsi="Arial" w:cs="Arial"/>
          <w:sz w:val="22"/>
          <w:szCs w:val="22"/>
        </w:rPr>
      </w:pPr>
      <w:r w:rsidRPr="00F01D7E">
        <w:rPr>
          <w:rFonts w:ascii="Arial" w:hAnsi="Arial" w:cs="Arial"/>
          <w:sz w:val="22"/>
          <w:szCs w:val="22"/>
        </w:rPr>
        <w:t>The three councils diverge most sharply on whether early help is structurally separated from statutory child protection. Leicestershire fails this test: its "Duty Line Numbers" box lists the voluntary "Family information" number directly beside "Children's Duty First Response," conflating a preventative service with a safeguarding one. Norfolk and Staffordshire avoid this entirely. Norfolk houses safeguarding under a separate "Keeping children safe" tile, while Staffordshire achieves the same separation through its three pill-shaped buttons, which also normalise help-seeking by placing "Family hubs" alongside routine "Childcare" rather than beside child protection.</w:t>
      </w:r>
    </w:p>
    <w:p w14:paraId="4FBD8B91" w14:textId="77777777" w:rsidR="00F01D7E" w:rsidRPr="00F01D7E" w:rsidRDefault="00F01D7E" w:rsidP="00DD0D40">
      <w:pPr>
        <w:spacing w:line="360" w:lineRule="auto"/>
        <w:rPr>
          <w:rFonts w:ascii="Arial" w:hAnsi="Arial" w:cs="Arial"/>
          <w:sz w:val="22"/>
          <w:szCs w:val="22"/>
        </w:rPr>
      </w:pPr>
      <w:r w:rsidRPr="00F01D7E">
        <w:rPr>
          <w:rFonts w:ascii="Arial" w:hAnsi="Arial" w:cs="Arial"/>
          <w:sz w:val="22"/>
          <w:szCs w:val="22"/>
        </w:rPr>
        <w:t>Click-burden follows a similar pattern. Norfolk's two-click path from homepage to referral is the shortest of the three. Staffordshire's front-loaded triage buttons achieve comparable immediacy despite added density from dual "Family Hubs" and "Early Help" links. Leicestershire is the outlier: reaching non-statutory support requires moving from a generic "Directories" tile, through a page listing waste-site locators alongside childcare, into a nested regional directory.</w:t>
      </w:r>
    </w:p>
    <w:p w14:paraId="35A011A5" w14:textId="77777777" w:rsidR="00F01D7E" w:rsidRPr="00F01D7E" w:rsidRDefault="00F01D7E" w:rsidP="00DD0D40">
      <w:pPr>
        <w:spacing w:line="360" w:lineRule="auto"/>
        <w:rPr>
          <w:rFonts w:ascii="Arial" w:hAnsi="Arial" w:cs="Arial"/>
          <w:sz w:val="22"/>
          <w:szCs w:val="22"/>
        </w:rPr>
      </w:pPr>
      <w:r w:rsidRPr="00F01D7E">
        <w:rPr>
          <w:rFonts w:ascii="Arial" w:hAnsi="Arial" w:cs="Arial"/>
          <w:sz w:val="22"/>
          <w:szCs w:val="22"/>
        </w:rPr>
        <w:t xml:space="preserve">Tone and categorisation also separate Norfolk and Staffordshire from Leicestershire. Norfolk's Early Help page opens with jargon-free, normalising language, excluding </w:t>
      </w:r>
      <w:r w:rsidRPr="00F01D7E">
        <w:rPr>
          <w:rFonts w:ascii="Arial" w:hAnsi="Arial" w:cs="Arial"/>
          <w:sz w:val="22"/>
          <w:szCs w:val="22"/>
        </w:rPr>
        <w:lastRenderedPageBreak/>
        <w:t>professional terms such as EHA or MARF. Staffordshire matches tiles to specific circumstances, such as "Young offenders" or the "Bump to toddler pathway," rather than routing all needs through one generic channel. Leicestershire's equivalent content, once located, is comparably warm and localised, including district-specific Facebook contacts, but this quality is undermined by the difficulty of reaching it.</w:t>
      </w:r>
    </w:p>
    <w:p w14:paraId="58D1BADC" w14:textId="77777777" w:rsidR="00F01D7E" w:rsidRPr="00F01D7E" w:rsidRDefault="00F01D7E" w:rsidP="00DD0D40">
      <w:pPr>
        <w:spacing w:line="360" w:lineRule="auto"/>
        <w:rPr>
          <w:rFonts w:ascii="Arial" w:hAnsi="Arial" w:cs="Arial"/>
          <w:sz w:val="22"/>
          <w:szCs w:val="22"/>
        </w:rPr>
      </w:pPr>
      <w:r w:rsidRPr="00F01D7E">
        <w:rPr>
          <w:rFonts w:ascii="Arial" w:hAnsi="Arial" w:cs="Arial"/>
          <w:sz w:val="22"/>
          <w:szCs w:val="22"/>
        </w:rPr>
        <w:t>Where the two stronger sites differ from each other is in what happens after triage. Norfolk defers detailed local provision to an external Community Directory, adding a second portal that could stall a search if that directory is not intuitive. Staffordshire avoids this handoff, keeping needs-led tiles on the same page as the triage buttons.</w:t>
      </w:r>
    </w:p>
    <w:p w14:paraId="00FA748D" w14:textId="77777777" w:rsidR="00F01D7E" w:rsidRDefault="00F01D7E" w:rsidP="00DD0D40">
      <w:pPr>
        <w:spacing w:line="360" w:lineRule="auto"/>
        <w:rPr>
          <w:rFonts w:ascii="Arial" w:hAnsi="Arial" w:cs="Arial"/>
          <w:sz w:val="22"/>
          <w:szCs w:val="22"/>
        </w:rPr>
      </w:pPr>
      <w:r w:rsidRPr="00F01D7E">
        <w:rPr>
          <w:rFonts w:ascii="Arial" w:hAnsi="Arial" w:cs="Arial"/>
          <w:sz w:val="22"/>
          <w:szCs w:val="22"/>
        </w:rPr>
        <w:t>The pattern is not that Leicestershire's underlying service is worse, but that its website fails to translate service quality into accessibility, while Norfolk and Staffordshire both convert clear statutory separation and low click-burden into a structure a stressed parent can use unaided.</w:t>
      </w:r>
    </w:p>
    <w:p w14:paraId="02D8D0C3" w14:textId="77777777" w:rsidR="00F01D7E" w:rsidRPr="00F01D7E" w:rsidRDefault="00F01D7E" w:rsidP="00DD0D40">
      <w:pPr>
        <w:spacing w:line="360" w:lineRule="auto"/>
        <w:rPr>
          <w:rFonts w:ascii="Arial" w:hAnsi="Arial" w:cs="Arial"/>
          <w:sz w:val="22"/>
          <w:szCs w:val="22"/>
        </w:rPr>
      </w:pPr>
      <w:r w:rsidRPr="00F01D7E">
        <w:rPr>
          <w:rFonts w:ascii="Arial" w:hAnsi="Arial" w:cs="Arial"/>
          <w:sz w:val="22"/>
          <w:szCs w:val="22"/>
        </w:rPr>
        <w:t>This comparison establishes that signposting quality depends less on the underlying service offer than on three specific structural choices: separation of early help from statutory protection, click-burden, and use of needs-led rather than departmental language. Norfolk and Staffordshire demonstrate that all three are achievable within existing service structures at no additional cost to the service itself; Leicestershire's shortfall is architectural, not substantive.</w:t>
      </w:r>
    </w:p>
    <w:p w14:paraId="52CD8BC0" w14:textId="77777777" w:rsidR="00F01D7E" w:rsidRPr="00F01D7E" w:rsidRDefault="00F01D7E" w:rsidP="00DD0D40">
      <w:pPr>
        <w:spacing w:line="360" w:lineRule="auto"/>
        <w:rPr>
          <w:rFonts w:ascii="Arial" w:hAnsi="Arial" w:cs="Arial"/>
          <w:sz w:val="22"/>
          <w:szCs w:val="22"/>
        </w:rPr>
      </w:pPr>
      <w:r w:rsidRPr="00F01D7E">
        <w:rPr>
          <w:rFonts w:ascii="Arial" w:hAnsi="Arial" w:cs="Arial"/>
          <w:sz w:val="22"/>
          <w:szCs w:val="22"/>
        </w:rPr>
        <w:t>Leicestershire should adopt two concrete changes. First, the "Duty Line Numbers" box should be split, moving "Children's Duty First Response" to a clearly labelled safeguarding section separate from the voluntary "Family information" line, following Norfolk's and Staffordshire's model of physically separating crisis and preventative contact points. Second, the council should introduce a single, explicitly branded "Early Help" tile on its primary landing page, removing the need to pass through the generic "Directories" tile and the "Leicestershire Information and Support Directory" to reach non-statutory support.</w:t>
      </w:r>
    </w:p>
    <w:p w14:paraId="32772676" w14:textId="77777777" w:rsidR="00F01D7E" w:rsidRPr="00F01D7E" w:rsidRDefault="00F01D7E" w:rsidP="00DD0D40">
      <w:pPr>
        <w:spacing w:line="360" w:lineRule="auto"/>
        <w:rPr>
          <w:rFonts w:ascii="Arial" w:hAnsi="Arial" w:cs="Arial"/>
          <w:sz w:val="22"/>
          <w:szCs w:val="22"/>
        </w:rPr>
      </w:pPr>
      <w:r w:rsidRPr="00F01D7E">
        <w:rPr>
          <w:rFonts w:ascii="Arial" w:hAnsi="Arial" w:cs="Arial"/>
          <w:sz w:val="22"/>
          <w:szCs w:val="22"/>
        </w:rPr>
        <w:t>Norfolk's principal improvement would be to reduce reliance on its external Community Directory by surfacing a small number of headline local services directly on the Early Help page itself, shortening the point at which a parent must leave the council's own site.</w:t>
      </w:r>
    </w:p>
    <w:p w14:paraId="200B41F4" w14:textId="77777777" w:rsidR="00F01D7E" w:rsidRPr="00F01D7E" w:rsidRDefault="00F01D7E" w:rsidP="00DD0D40">
      <w:pPr>
        <w:spacing w:line="360" w:lineRule="auto"/>
        <w:rPr>
          <w:rFonts w:ascii="Arial" w:hAnsi="Arial" w:cs="Arial"/>
          <w:sz w:val="22"/>
          <w:szCs w:val="22"/>
        </w:rPr>
      </w:pPr>
      <w:r w:rsidRPr="00F01D7E">
        <w:rPr>
          <w:rFonts w:ascii="Arial" w:hAnsi="Arial" w:cs="Arial"/>
          <w:sz w:val="22"/>
          <w:szCs w:val="22"/>
        </w:rPr>
        <w:t>Staffordshire's design is closest to best practice among the three, though it would benefit from a single sentence clarifying that "Family hubs" and "Early Help" lead to the same underlying service, pre-empting the moment of hesitation this dual labelling can create.</w:t>
      </w:r>
    </w:p>
    <w:p w14:paraId="6AEDF33F" w14:textId="77777777" w:rsidR="00F01D7E" w:rsidRPr="00F01D7E" w:rsidRDefault="00F01D7E" w:rsidP="00DD0D40">
      <w:pPr>
        <w:spacing w:line="360" w:lineRule="auto"/>
        <w:rPr>
          <w:rFonts w:ascii="Arial" w:hAnsi="Arial" w:cs="Arial"/>
          <w:sz w:val="22"/>
          <w:szCs w:val="22"/>
        </w:rPr>
      </w:pPr>
      <w:r w:rsidRPr="00F01D7E">
        <w:rPr>
          <w:rFonts w:ascii="Arial" w:hAnsi="Arial" w:cs="Arial"/>
          <w:sz w:val="22"/>
          <w:szCs w:val="22"/>
        </w:rPr>
        <w:t xml:space="preserve">Applied together, these changes would let each authority's stronger structural feature offset its weaker </w:t>
      </w:r>
      <w:proofErr w:type="spellStart"/>
      <w:r w:rsidRPr="00F01D7E">
        <w:rPr>
          <w:rFonts w:ascii="Arial" w:hAnsi="Arial" w:cs="Arial"/>
          <w:sz w:val="22"/>
          <w:szCs w:val="22"/>
        </w:rPr>
        <w:t>one</w:t>
      </w:r>
      <w:proofErr w:type="spellEnd"/>
      <w:r w:rsidRPr="00F01D7E">
        <w:rPr>
          <w:rFonts w:ascii="Arial" w:hAnsi="Arial" w:cs="Arial"/>
          <w:sz w:val="22"/>
          <w:szCs w:val="22"/>
        </w:rPr>
        <w:t>.</w:t>
      </w:r>
    </w:p>
    <w:p w14:paraId="281E404B" w14:textId="77777777" w:rsidR="00F01D7E" w:rsidRPr="00F01D7E" w:rsidRDefault="00F01D7E" w:rsidP="00DD0D40">
      <w:pPr>
        <w:spacing w:line="360" w:lineRule="auto"/>
        <w:rPr>
          <w:rFonts w:ascii="Arial" w:hAnsi="Arial" w:cs="Arial"/>
          <w:sz w:val="22"/>
          <w:szCs w:val="22"/>
        </w:rPr>
      </w:pPr>
    </w:p>
    <w:p w14:paraId="19B9340B" w14:textId="77777777" w:rsidR="00F01D7E" w:rsidRPr="00721875" w:rsidRDefault="00F01D7E" w:rsidP="00DD0D40">
      <w:pPr>
        <w:spacing w:line="360" w:lineRule="auto"/>
        <w:rPr>
          <w:rFonts w:ascii="Arial" w:hAnsi="Arial" w:cs="Arial"/>
          <w:sz w:val="22"/>
          <w:szCs w:val="22"/>
        </w:rPr>
      </w:pPr>
    </w:p>
    <w:p w14:paraId="095EA273" w14:textId="454A07DC" w:rsidR="00721875" w:rsidRPr="00721875" w:rsidRDefault="00721875" w:rsidP="00DD0D40">
      <w:pPr>
        <w:spacing w:line="360" w:lineRule="auto"/>
        <w:rPr>
          <w:rFonts w:ascii="Arial" w:hAnsi="Arial" w:cs="Arial"/>
          <w:sz w:val="22"/>
          <w:szCs w:val="22"/>
        </w:rPr>
      </w:pPr>
    </w:p>
    <w:p w14:paraId="22B56C35" w14:textId="47CFB99B" w:rsidR="002150A0" w:rsidRDefault="002150A0" w:rsidP="00DD0D40">
      <w:pPr>
        <w:spacing w:line="360" w:lineRule="auto"/>
        <w:rPr>
          <w:rFonts w:ascii="Arial" w:hAnsi="Arial" w:cs="Arial"/>
          <w:sz w:val="22"/>
          <w:szCs w:val="22"/>
        </w:rPr>
      </w:pPr>
    </w:p>
    <w:p w14:paraId="07103C44" w14:textId="77777777" w:rsidR="002150A0" w:rsidRDefault="002150A0" w:rsidP="00DD0D40">
      <w:pPr>
        <w:spacing w:line="360" w:lineRule="auto"/>
        <w:rPr>
          <w:rFonts w:ascii="Arial" w:hAnsi="Arial" w:cs="Arial"/>
          <w:sz w:val="22"/>
          <w:szCs w:val="22"/>
        </w:rPr>
      </w:pPr>
      <w:r>
        <w:rPr>
          <w:rFonts w:ascii="Arial" w:hAnsi="Arial" w:cs="Arial"/>
          <w:sz w:val="22"/>
          <w:szCs w:val="22"/>
        </w:rPr>
        <w:br w:type="page"/>
      </w:r>
    </w:p>
    <w:p w14:paraId="2A96BA11" w14:textId="157DB187" w:rsidR="002150A0" w:rsidRDefault="002150A0" w:rsidP="00DD0D40">
      <w:pPr>
        <w:spacing w:line="360" w:lineRule="auto"/>
        <w:rPr>
          <w:rFonts w:ascii="Arial" w:hAnsi="Arial" w:cs="Arial"/>
          <w:sz w:val="22"/>
          <w:szCs w:val="22"/>
        </w:rPr>
      </w:pPr>
      <w:r>
        <w:rPr>
          <w:rFonts w:ascii="Arial" w:hAnsi="Arial" w:cs="Arial"/>
          <w:sz w:val="22"/>
          <w:szCs w:val="22"/>
        </w:rPr>
        <w:lastRenderedPageBreak/>
        <w:t xml:space="preserve">References </w:t>
      </w:r>
    </w:p>
    <w:p w14:paraId="5087860D" w14:textId="779502BB" w:rsidR="002150A0" w:rsidRPr="002150A0" w:rsidRDefault="002150A0" w:rsidP="00DD0D40">
      <w:pPr>
        <w:spacing w:line="360" w:lineRule="auto"/>
        <w:rPr>
          <w:rFonts w:ascii="Arial" w:hAnsi="Arial" w:cs="Arial"/>
          <w:sz w:val="22"/>
          <w:szCs w:val="22"/>
        </w:rPr>
      </w:pPr>
      <w:r w:rsidRPr="002150A0">
        <w:rPr>
          <w:rFonts w:ascii="Arial" w:hAnsi="Arial" w:cs="Arial"/>
          <w:sz w:val="22"/>
          <w:szCs w:val="22"/>
        </w:rPr>
        <w:t>DLUHC &amp; DfE (2022) </w:t>
      </w:r>
      <w:r w:rsidRPr="002150A0">
        <w:rPr>
          <w:rFonts w:ascii="Arial" w:hAnsi="Arial" w:cs="Arial"/>
          <w:i/>
          <w:iCs/>
          <w:sz w:val="22"/>
          <w:szCs w:val="22"/>
        </w:rPr>
        <w:t>Early Help System Guide</w:t>
      </w:r>
      <w:r w:rsidRPr="002150A0">
        <w:rPr>
          <w:rFonts w:ascii="Arial" w:hAnsi="Arial" w:cs="Arial"/>
          <w:sz w:val="22"/>
          <w:szCs w:val="22"/>
        </w:rPr>
        <w:t>. London: Department for Levelling Up, Housing and Communities and Department for Education.</w:t>
      </w:r>
    </w:p>
    <w:p w14:paraId="7A2E7B75" w14:textId="77777777" w:rsidR="002150A0" w:rsidRPr="002150A0" w:rsidRDefault="002150A0" w:rsidP="00DD0D40">
      <w:pPr>
        <w:spacing w:line="360" w:lineRule="auto"/>
        <w:rPr>
          <w:rFonts w:ascii="Arial" w:hAnsi="Arial" w:cs="Arial"/>
          <w:sz w:val="22"/>
          <w:szCs w:val="22"/>
        </w:rPr>
      </w:pPr>
      <w:r w:rsidRPr="002150A0">
        <w:rPr>
          <w:rFonts w:ascii="Arial" w:hAnsi="Arial" w:cs="Arial"/>
          <w:sz w:val="22"/>
          <w:szCs w:val="22"/>
        </w:rPr>
        <w:t>Glass, N. (1999) ‘Sure Start: The development of an early intervention programme for young children in the United Kingdom’, </w:t>
      </w:r>
      <w:r w:rsidRPr="002150A0">
        <w:rPr>
          <w:rFonts w:ascii="Arial" w:hAnsi="Arial" w:cs="Arial"/>
          <w:i/>
          <w:iCs/>
          <w:sz w:val="22"/>
          <w:szCs w:val="22"/>
        </w:rPr>
        <w:t>Children &amp; Society</w:t>
      </w:r>
      <w:r w:rsidRPr="002150A0">
        <w:rPr>
          <w:rFonts w:ascii="Arial" w:hAnsi="Arial" w:cs="Arial"/>
          <w:sz w:val="22"/>
          <w:szCs w:val="22"/>
        </w:rPr>
        <w:t>, 13, pp. 257–264.</w:t>
      </w:r>
    </w:p>
    <w:p w14:paraId="6443366E" w14:textId="77777777" w:rsidR="002150A0" w:rsidRDefault="002150A0" w:rsidP="00DD0D40">
      <w:pPr>
        <w:spacing w:line="360" w:lineRule="auto"/>
        <w:rPr>
          <w:rFonts w:ascii="Arial" w:hAnsi="Arial" w:cs="Arial"/>
          <w:sz w:val="22"/>
          <w:szCs w:val="22"/>
        </w:rPr>
      </w:pPr>
      <w:r w:rsidRPr="002150A0">
        <w:rPr>
          <w:rFonts w:ascii="Arial" w:hAnsi="Arial" w:cs="Arial"/>
          <w:sz w:val="22"/>
          <w:szCs w:val="22"/>
        </w:rPr>
        <w:t>Melhuish, E. (2016) ‘Longitudinal research and early years policy development in the UK’, </w:t>
      </w:r>
      <w:r w:rsidRPr="002150A0">
        <w:rPr>
          <w:rFonts w:ascii="Arial" w:hAnsi="Arial" w:cs="Arial"/>
          <w:i/>
          <w:iCs/>
          <w:sz w:val="22"/>
          <w:szCs w:val="22"/>
        </w:rPr>
        <w:t>International Journal of Child Care and Education Policy</w:t>
      </w:r>
      <w:r w:rsidRPr="002150A0">
        <w:rPr>
          <w:rFonts w:ascii="Arial" w:hAnsi="Arial" w:cs="Arial"/>
          <w:sz w:val="22"/>
          <w:szCs w:val="22"/>
        </w:rPr>
        <w:t>, 10:3. doi:10.1186/s40723-016-0019-1.</w:t>
      </w:r>
    </w:p>
    <w:p w14:paraId="3580609F" w14:textId="77777777" w:rsidR="00721875" w:rsidRPr="00721875" w:rsidRDefault="00721875" w:rsidP="00DD0D40">
      <w:pPr>
        <w:spacing w:line="360" w:lineRule="auto"/>
        <w:rPr>
          <w:rFonts w:ascii="Arial" w:hAnsi="Arial" w:cs="Arial"/>
          <w:sz w:val="22"/>
          <w:szCs w:val="22"/>
        </w:rPr>
      </w:pPr>
      <w:r w:rsidRPr="00721875">
        <w:rPr>
          <w:rFonts w:ascii="Arial" w:hAnsi="Arial" w:cs="Arial"/>
          <w:sz w:val="22"/>
          <w:szCs w:val="22"/>
        </w:rPr>
        <w:t xml:space="preserve">Ball, E.J., McElwee, J.D. and McManus, M.A. (2024) 'Multi-agency safeguarding: From everyone's responsibility to a collective responsibility', </w:t>
      </w:r>
      <w:r w:rsidRPr="00721875">
        <w:rPr>
          <w:rFonts w:ascii="Arial" w:hAnsi="Arial" w:cs="Arial"/>
          <w:i/>
          <w:iCs/>
          <w:sz w:val="22"/>
          <w:szCs w:val="22"/>
        </w:rPr>
        <w:t>Journal of Community Safety and Well-Being</w:t>
      </w:r>
      <w:r w:rsidRPr="00721875">
        <w:rPr>
          <w:rFonts w:ascii="Arial" w:hAnsi="Arial" w:cs="Arial"/>
          <w:sz w:val="22"/>
          <w:szCs w:val="22"/>
        </w:rPr>
        <w:t>, 9(2), pp. 104–108.</w:t>
      </w:r>
    </w:p>
    <w:p w14:paraId="190782F7" w14:textId="77777777" w:rsidR="00721875" w:rsidRPr="00721875" w:rsidRDefault="00721875" w:rsidP="00DD0D40">
      <w:pPr>
        <w:spacing w:line="360" w:lineRule="auto"/>
        <w:rPr>
          <w:rFonts w:ascii="Arial" w:hAnsi="Arial" w:cs="Arial"/>
          <w:sz w:val="22"/>
          <w:szCs w:val="22"/>
        </w:rPr>
      </w:pPr>
      <w:r w:rsidRPr="00721875">
        <w:rPr>
          <w:rFonts w:ascii="Arial" w:hAnsi="Arial" w:cs="Arial"/>
          <w:sz w:val="22"/>
          <w:szCs w:val="22"/>
        </w:rPr>
        <w:t xml:space="preserve">Department for Education (2026) </w:t>
      </w:r>
      <w:r w:rsidRPr="00721875">
        <w:rPr>
          <w:rFonts w:ascii="Arial" w:hAnsi="Arial" w:cs="Arial"/>
          <w:i/>
          <w:iCs/>
          <w:sz w:val="22"/>
          <w:szCs w:val="22"/>
        </w:rPr>
        <w:t>Working Together to Safeguard Children 2026: A Guide to Multi-Agency Working to Help, Protect and Promote the Welfare of Children</w:t>
      </w:r>
      <w:r w:rsidRPr="00721875">
        <w:rPr>
          <w:rFonts w:ascii="Arial" w:hAnsi="Arial" w:cs="Arial"/>
          <w:sz w:val="22"/>
          <w:szCs w:val="22"/>
        </w:rPr>
        <w:t>. London: Department for Education.</w:t>
      </w:r>
    </w:p>
    <w:p w14:paraId="5037F0FB" w14:textId="77777777" w:rsidR="00721875" w:rsidRPr="00721875" w:rsidRDefault="00721875" w:rsidP="00DD0D40">
      <w:pPr>
        <w:spacing w:line="360" w:lineRule="auto"/>
        <w:rPr>
          <w:rFonts w:ascii="Arial" w:hAnsi="Arial" w:cs="Arial"/>
          <w:sz w:val="22"/>
          <w:szCs w:val="22"/>
        </w:rPr>
      </w:pPr>
      <w:r w:rsidRPr="00721875">
        <w:rPr>
          <w:rFonts w:ascii="Arial" w:hAnsi="Arial" w:cs="Arial"/>
          <w:sz w:val="22"/>
          <w:szCs w:val="22"/>
        </w:rPr>
        <w:t xml:space="preserve">Golding, K.S. (2010) 'Multi-agency and specialist working to meet the mental health needs of children in care and adopted', </w:t>
      </w:r>
      <w:r w:rsidRPr="00721875">
        <w:rPr>
          <w:rFonts w:ascii="Arial" w:hAnsi="Arial" w:cs="Arial"/>
          <w:i/>
          <w:iCs/>
          <w:sz w:val="22"/>
          <w:szCs w:val="22"/>
        </w:rPr>
        <w:t>Clinical Child Psychology and Psychiatry</w:t>
      </w:r>
      <w:r w:rsidRPr="00721875">
        <w:rPr>
          <w:rFonts w:ascii="Arial" w:hAnsi="Arial" w:cs="Arial"/>
          <w:sz w:val="22"/>
          <w:szCs w:val="22"/>
        </w:rPr>
        <w:t>, 15(4), pp. 573–587.</w:t>
      </w:r>
    </w:p>
    <w:p w14:paraId="0D24B051" w14:textId="77777777" w:rsidR="00721875" w:rsidRPr="00721875" w:rsidRDefault="00721875" w:rsidP="00DD0D40">
      <w:pPr>
        <w:spacing w:line="360" w:lineRule="auto"/>
        <w:rPr>
          <w:rFonts w:ascii="Arial" w:hAnsi="Arial" w:cs="Arial"/>
          <w:sz w:val="22"/>
          <w:szCs w:val="22"/>
        </w:rPr>
      </w:pPr>
      <w:r w:rsidRPr="00721875">
        <w:rPr>
          <w:rFonts w:ascii="Arial" w:hAnsi="Arial" w:cs="Arial"/>
          <w:sz w:val="22"/>
          <w:szCs w:val="22"/>
        </w:rPr>
        <w:t xml:space="preserve">Owens, R. and Lloyd, J. (2023) 'From behaviour-based to ecological: Multi-agency partnership responses to extra-familial harm', </w:t>
      </w:r>
      <w:r w:rsidRPr="00721875">
        <w:rPr>
          <w:rFonts w:ascii="Arial" w:hAnsi="Arial" w:cs="Arial"/>
          <w:i/>
          <w:iCs/>
          <w:sz w:val="22"/>
          <w:szCs w:val="22"/>
        </w:rPr>
        <w:t>Journal of Social Work</w:t>
      </w:r>
      <w:r w:rsidRPr="00721875">
        <w:rPr>
          <w:rFonts w:ascii="Arial" w:hAnsi="Arial" w:cs="Arial"/>
          <w:sz w:val="22"/>
          <w:szCs w:val="22"/>
        </w:rPr>
        <w:t>, pp. 1–20.</w:t>
      </w:r>
    </w:p>
    <w:p w14:paraId="538CD2D0" w14:textId="77777777" w:rsidR="00721875" w:rsidRPr="00721875" w:rsidRDefault="00721875" w:rsidP="00DD0D40">
      <w:pPr>
        <w:spacing w:line="360" w:lineRule="auto"/>
        <w:rPr>
          <w:rFonts w:ascii="Arial" w:hAnsi="Arial" w:cs="Arial"/>
          <w:sz w:val="22"/>
          <w:szCs w:val="22"/>
        </w:rPr>
      </w:pPr>
      <w:r w:rsidRPr="00721875">
        <w:rPr>
          <w:rFonts w:ascii="Arial" w:hAnsi="Arial" w:cs="Arial"/>
          <w:sz w:val="22"/>
          <w:szCs w:val="22"/>
        </w:rPr>
        <w:t xml:space="preserve">Sloper, P. (2004) 'Facilitators and barriers for co-ordinated multi-agency services', </w:t>
      </w:r>
      <w:r w:rsidRPr="00721875">
        <w:rPr>
          <w:rFonts w:ascii="Arial" w:hAnsi="Arial" w:cs="Arial"/>
          <w:i/>
          <w:iCs/>
          <w:sz w:val="22"/>
          <w:szCs w:val="22"/>
        </w:rPr>
        <w:t>Child: Care, Health and Development</w:t>
      </w:r>
      <w:r w:rsidRPr="00721875">
        <w:rPr>
          <w:rFonts w:ascii="Arial" w:hAnsi="Arial" w:cs="Arial"/>
          <w:sz w:val="22"/>
          <w:szCs w:val="22"/>
        </w:rPr>
        <w:t>, 30(6), pp. 571–580.</w:t>
      </w:r>
    </w:p>
    <w:p w14:paraId="5C806907" w14:textId="77777777" w:rsidR="00721875" w:rsidRPr="00721875" w:rsidRDefault="00721875" w:rsidP="00DD0D40">
      <w:pPr>
        <w:spacing w:line="360" w:lineRule="auto"/>
        <w:rPr>
          <w:rFonts w:ascii="Arial" w:hAnsi="Arial" w:cs="Arial"/>
          <w:sz w:val="22"/>
          <w:szCs w:val="22"/>
        </w:rPr>
      </w:pPr>
      <w:r w:rsidRPr="00721875">
        <w:rPr>
          <w:rFonts w:ascii="Arial" w:hAnsi="Arial" w:cs="Arial"/>
          <w:sz w:val="22"/>
          <w:szCs w:val="22"/>
        </w:rPr>
        <w:t xml:space="preserve">Tyldesley-Marshall, N., Johnson, R., Parr, J., Brown, A., Ghosh, I., Mehrabian, A., Chen, Y-F. and Grove, A. (2025) 'Improving partnerships to improve outcomes for children and young people with special educational needs and disabilities: qualitative findings from a mixed methods systematic review', </w:t>
      </w:r>
      <w:r w:rsidRPr="00721875">
        <w:rPr>
          <w:rFonts w:ascii="Arial" w:hAnsi="Arial" w:cs="Arial"/>
          <w:i/>
          <w:iCs/>
          <w:sz w:val="22"/>
          <w:szCs w:val="22"/>
        </w:rPr>
        <w:t>Frontiers in Education</w:t>
      </w:r>
      <w:r w:rsidRPr="00721875">
        <w:rPr>
          <w:rFonts w:ascii="Arial" w:hAnsi="Arial" w:cs="Arial"/>
          <w:sz w:val="22"/>
          <w:szCs w:val="22"/>
        </w:rPr>
        <w:t>, 10, 1513668.</w:t>
      </w:r>
    </w:p>
    <w:p w14:paraId="56DF5848" w14:textId="77777777" w:rsidR="00721875" w:rsidRPr="002150A0" w:rsidRDefault="00721875" w:rsidP="00DD0D40">
      <w:pPr>
        <w:spacing w:line="360" w:lineRule="auto"/>
        <w:rPr>
          <w:rFonts w:ascii="Arial" w:hAnsi="Arial" w:cs="Arial"/>
          <w:sz w:val="22"/>
          <w:szCs w:val="22"/>
        </w:rPr>
      </w:pPr>
    </w:p>
    <w:p w14:paraId="219E0FC5" w14:textId="77777777" w:rsidR="00F25B36" w:rsidRPr="002150A0" w:rsidRDefault="00F25B36" w:rsidP="00DD0D40">
      <w:pPr>
        <w:spacing w:line="360" w:lineRule="auto"/>
        <w:rPr>
          <w:rFonts w:ascii="Arial" w:hAnsi="Arial" w:cs="Arial"/>
          <w:sz w:val="22"/>
          <w:szCs w:val="22"/>
        </w:rPr>
      </w:pPr>
    </w:p>
    <w:sectPr w:rsidR="00F25B36" w:rsidRPr="002150A0">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5E04E5" w14:textId="77777777" w:rsidR="00BA4F49" w:rsidRDefault="00BA4F49" w:rsidP="0010657D">
      <w:pPr>
        <w:spacing w:after="0" w:line="240" w:lineRule="auto"/>
      </w:pPr>
      <w:r>
        <w:separator/>
      </w:r>
    </w:p>
  </w:endnote>
  <w:endnote w:type="continuationSeparator" w:id="0">
    <w:p w14:paraId="30488EC0" w14:textId="77777777" w:rsidR="00BA4F49" w:rsidRDefault="00BA4F49" w:rsidP="001065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1058805"/>
      <w:docPartObj>
        <w:docPartGallery w:val="Page Numbers (Bottom of Page)"/>
        <w:docPartUnique/>
      </w:docPartObj>
    </w:sdtPr>
    <w:sdtEndPr>
      <w:rPr>
        <w:noProof/>
      </w:rPr>
    </w:sdtEndPr>
    <w:sdtContent>
      <w:p w14:paraId="146D2803" w14:textId="5D50853F" w:rsidR="0010657D" w:rsidRDefault="0010657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09313A7" w14:textId="77777777" w:rsidR="0010657D" w:rsidRDefault="001065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D43E2E" w14:textId="77777777" w:rsidR="00BA4F49" w:rsidRDefault="00BA4F49" w:rsidP="0010657D">
      <w:pPr>
        <w:spacing w:after="0" w:line="240" w:lineRule="auto"/>
      </w:pPr>
      <w:r>
        <w:separator/>
      </w:r>
    </w:p>
  </w:footnote>
  <w:footnote w:type="continuationSeparator" w:id="0">
    <w:p w14:paraId="4982202B" w14:textId="77777777" w:rsidR="00BA4F49" w:rsidRDefault="00BA4F49" w:rsidP="0010657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0A0"/>
    <w:rsid w:val="0010657D"/>
    <w:rsid w:val="002150A0"/>
    <w:rsid w:val="00641EC5"/>
    <w:rsid w:val="00721875"/>
    <w:rsid w:val="00B12C12"/>
    <w:rsid w:val="00BA4F49"/>
    <w:rsid w:val="00DD0D40"/>
    <w:rsid w:val="00F01D7E"/>
    <w:rsid w:val="00F25B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CE580"/>
  <w15:chartTrackingRefBased/>
  <w15:docId w15:val="{854D8A9F-B2DB-4DDA-85E8-D33BC8194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50A0"/>
  </w:style>
  <w:style w:type="paragraph" w:styleId="Heading1">
    <w:name w:val="heading 1"/>
    <w:basedOn w:val="Normal"/>
    <w:next w:val="Normal"/>
    <w:link w:val="Heading1Char"/>
    <w:uiPriority w:val="9"/>
    <w:qFormat/>
    <w:rsid w:val="002150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150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150A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150A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150A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150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50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50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50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50A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150A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150A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150A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150A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150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50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50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50A0"/>
    <w:rPr>
      <w:rFonts w:eastAsiaTheme="majorEastAsia" w:cstheme="majorBidi"/>
      <w:color w:val="272727" w:themeColor="text1" w:themeTint="D8"/>
    </w:rPr>
  </w:style>
  <w:style w:type="paragraph" w:styleId="Title">
    <w:name w:val="Title"/>
    <w:basedOn w:val="Normal"/>
    <w:next w:val="Normal"/>
    <w:link w:val="TitleChar"/>
    <w:uiPriority w:val="10"/>
    <w:qFormat/>
    <w:rsid w:val="002150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50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50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50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50A0"/>
    <w:pPr>
      <w:spacing w:before="160"/>
      <w:jc w:val="center"/>
    </w:pPr>
    <w:rPr>
      <w:i/>
      <w:iCs/>
      <w:color w:val="404040" w:themeColor="text1" w:themeTint="BF"/>
    </w:rPr>
  </w:style>
  <w:style w:type="character" w:customStyle="1" w:styleId="QuoteChar">
    <w:name w:val="Quote Char"/>
    <w:basedOn w:val="DefaultParagraphFont"/>
    <w:link w:val="Quote"/>
    <w:uiPriority w:val="29"/>
    <w:rsid w:val="002150A0"/>
    <w:rPr>
      <w:i/>
      <w:iCs/>
      <w:color w:val="404040" w:themeColor="text1" w:themeTint="BF"/>
    </w:rPr>
  </w:style>
  <w:style w:type="paragraph" w:styleId="ListParagraph">
    <w:name w:val="List Paragraph"/>
    <w:basedOn w:val="Normal"/>
    <w:uiPriority w:val="34"/>
    <w:qFormat/>
    <w:rsid w:val="002150A0"/>
    <w:pPr>
      <w:ind w:left="720"/>
      <w:contextualSpacing/>
    </w:pPr>
  </w:style>
  <w:style w:type="character" w:styleId="IntenseEmphasis">
    <w:name w:val="Intense Emphasis"/>
    <w:basedOn w:val="DefaultParagraphFont"/>
    <w:uiPriority w:val="21"/>
    <w:qFormat/>
    <w:rsid w:val="002150A0"/>
    <w:rPr>
      <w:i/>
      <w:iCs/>
      <w:color w:val="0F4761" w:themeColor="accent1" w:themeShade="BF"/>
    </w:rPr>
  </w:style>
  <w:style w:type="paragraph" w:styleId="IntenseQuote">
    <w:name w:val="Intense Quote"/>
    <w:basedOn w:val="Normal"/>
    <w:next w:val="Normal"/>
    <w:link w:val="IntenseQuoteChar"/>
    <w:uiPriority w:val="30"/>
    <w:qFormat/>
    <w:rsid w:val="002150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150A0"/>
    <w:rPr>
      <w:i/>
      <w:iCs/>
      <w:color w:val="0F4761" w:themeColor="accent1" w:themeShade="BF"/>
    </w:rPr>
  </w:style>
  <w:style w:type="character" w:styleId="IntenseReference">
    <w:name w:val="Intense Reference"/>
    <w:basedOn w:val="DefaultParagraphFont"/>
    <w:uiPriority w:val="32"/>
    <w:qFormat/>
    <w:rsid w:val="002150A0"/>
    <w:rPr>
      <w:b/>
      <w:bCs/>
      <w:smallCaps/>
      <w:color w:val="0F4761" w:themeColor="accent1" w:themeShade="BF"/>
      <w:spacing w:val="5"/>
    </w:rPr>
  </w:style>
  <w:style w:type="paragraph" w:styleId="Header">
    <w:name w:val="header"/>
    <w:basedOn w:val="Normal"/>
    <w:link w:val="HeaderChar"/>
    <w:uiPriority w:val="99"/>
    <w:unhideWhenUsed/>
    <w:rsid w:val="001065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657D"/>
  </w:style>
  <w:style w:type="paragraph" w:styleId="Footer">
    <w:name w:val="footer"/>
    <w:basedOn w:val="Normal"/>
    <w:link w:val="FooterChar"/>
    <w:uiPriority w:val="99"/>
    <w:unhideWhenUsed/>
    <w:rsid w:val="001065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65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TotalTime>
  <Pages>8</Pages>
  <Words>2441</Words>
  <Characters>13914</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Yonathan Wondimu</dc:creator>
  <cp:keywords/>
  <dc:description/>
  <cp:lastModifiedBy>Yonathan Wondimu</cp:lastModifiedBy>
  <cp:revision>3</cp:revision>
  <dcterms:created xsi:type="dcterms:W3CDTF">2026-07-20T08:13:00Z</dcterms:created>
  <dcterms:modified xsi:type="dcterms:W3CDTF">2026-07-20T09:01:00Z</dcterms:modified>
</cp:coreProperties>
</file>