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BDC80" w14:textId="57C356FA" w:rsidR="00240D7A" w:rsidRPr="00240D7A" w:rsidRDefault="00240D7A" w:rsidP="00240D7A">
      <w:pPr>
        <w:pStyle w:val="NormalWeb"/>
        <w:rPr>
          <w:rFonts w:ascii="ArialMT" w:hAnsi="ArialMT"/>
          <w:sz w:val="20"/>
          <w:szCs w:val="21"/>
        </w:rPr>
      </w:pPr>
      <w:r w:rsidRPr="00240D7A">
        <w:rPr>
          <w:rFonts w:ascii="ArialMT" w:hAnsi="ArialMT"/>
          <w:sz w:val="20"/>
          <w:szCs w:val="21"/>
        </w:rPr>
        <w:t>2200035</w:t>
      </w:r>
    </w:p>
    <w:p w14:paraId="49FF86AE" w14:textId="6ADEA84F" w:rsidR="00240D7A" w:rsidRPr="00D64E73" w:rsidRDefault="00240D7A" w:rsidP="00240D7A">
      <w:pPr>
        <w:pStyle w:val="NormalWeb"/>
        <w:jc w:val="center"/>
        <w:rPr>
          <w:b/>
          <w:bCs/>
          <w:sz w:val="28"/>
          <w:szCs w:val="28"/>
          <w:u w:val="single"/>
        </w:rPr>
      </w:pPr>
      <w:r>
        <w:rPr>
          <w:rFonts w:ascii="ArialMT" w:hAnsi="ArialMT"/>
          <w:b/>
          <w:bCs/>
          <w:u w:val="single"/>
        </w:rPr>
        <w:t>“</w:t>
      </w:r>
      <w:r w:rsidRPr="00D64E73">
        <w:rPr>
          <w:rFonts w:ascii="ArialMT" w:hAnsi="ArialMT"/>
          <w:b/>
          <w:bCs/>
          <w:u w:val="single"/>
        </w:rPr>
        <w:t>Content Analysis Report: Analysis of types of aggressive behaviour demonstrated by two opposing groups in a video of protesters against hunting with hounds confronting pro-hunt group members.</w:t>
      </w:r>
      <w:r>
        <w:rPr>
          <w:rFonts w:ascii="ArialMT" w:hAnsi="ArialMT"/>
          <w:b/>
          <w:bCs/>
          <w:u w:val="single"/>
        </w:rPr>
        <w:t>”</w:t>
      </w:r>
    </w:p>
    <w:p w14:paraId="54472FBF" w14:textId="77777777" w:rsidR="00240D7A" w:rsidRDefault="00240D7A" w:rsidP="00424497">
      <w:pPr>
        <w:jc w:val="both"/>
      </w:pPr>
    </w:p>
    <w:p w14:paraId="5EFBFECF" w14:textId="28A16FB5" w:rsidR="00424497" w:rsidRDefault="00424497" w:rsidP="00424497">
      <w:pPr>
        <w:jc w:val="both"/>
      </w:pPr>
      <w:r>
        <w:t>Abstract:</w:t>
      </w:r>
    </w:p>
    <w:p w14:paraId="046B445D" w14:textId="2722E175" w:rsidR="00424497" w:rsidRDefault="00A16AF8" w:rsidP="00A16AF8">
      <w:r>
        <w:t xml:space="preserve">   </w:t>
      </w:r>
      <w:r w:rsidR="00424497">
        <w:t xml:space="preserve">The purpose of this report is to analyse a video of two groups- pro-hunt and anti-hunt, during a boxing-day </w:t>
      </w:r>
      <w:proofErr w:type="gramStart"/>
      <w:r w:rsidR="00424497">
        <w:t>protest against</w:t>
      </w:r>
      <w:proofErr w:type="gramEnd"/>
      <w:r w:rsidR="00424497">
        <w:t xml:space="preserve"> fox hunting. The report discusses the theory of Berkowitz ‘Aggressive Cues’ theory and Anderson’s General Aggressive Model. The report will </w:t>
      </w:r>
      <w:proofErr w:type="gramStart"/>
      <w:r w:rsidR="00424497">
        <w:t>come to a conclusion</w:t>
      </w:r>
      <w:proofErr w:type="gramEnd"/>
      <w:r w:rsidR="00424497">
        <w:t xml:space="preserve"> that the anti-hunt group displays more aggressive behaviours throughout the 3-minute video. </w:t>
      </w:r>
    </w:p>
    <w:p w14:paraId="28E0CF32" w14:textId="222A4C40" w:rsidR="003E7B2F" w:rsidRDefault="003E7B2F"/>
    <w:p w14:paraId="79331F61" w14:textId="40485B9A" w:rsidR="00424497" w:rsidRDefault="00424497" w:rsidP="00424497">
      <w:r>
        <w:t>Introduction/literature review and hypothesis:</w:t>
      </w:r>
    </w:p>
    <w:p w14:paraId="3947B3A4" w14:textId="25A042C3" w:rsidR="00424497" w:rsidRDefault="00A16AF8" w:rsidP="00424497">
      <w:pPr>
        <w:jc w:val="both"/>
      </w:pPr>
      <w:r>
        <w:t xml:space="preserve">   </w:t>
      </w:r>
      <w:r w:rsidR="00424497">
        <w:t>According to Baron and Richardson (1994), aggression can be defined as “Any behaviour that harms another individual who is motivated to avoid such harm”. It can also be described as “intention to cause harm” (Berkowitz, 1993; Fiske, 2004). According to Anderson, 2001a, there are two types of intentions: proximate, which is closest and immediate; and primary which is ultimate, such as revenge or political tension. There are also different types of aggression, such as: violence (deliberate attempt to inflict serious physical injury or damage to property); hostile aggression (gratuitous aggression, usually impulsive); and instrumental aggression (self-defence, premeditated). However, some people would also class provocation as a type of aggression, however others would say that it shouldn’t be classes as aggression, as it can be unintentional. However, if the provocation is intended to result in an aggressive reaction, that could be harmful to the other person, it could be defined as aggression, for example, provoking a reaction in front of a police officer. Furthermore, there are several theories which try to explain the concept of aggression and aggressive behaviour, however, the two I will be discussing are ‘aggressive cue theory (ACT)’ and ‘general aggression model (GAM)’. ACT was first invented by Berkowitz, 1996, in which he found that aggression is often influence by the presence/appearance of aggressive cues, and he went on to research how those cues are portrayed in violent movies, television and video games. Berkowitz (1974) argued that those cues may suggest to an individual that acting aggressively will provide reinforcement. Berkowitz &amp; LePage, 1967, conducted an experiment where they found that the subjects would administer more higher shocks (av.5.8), when a shotgun and a revolver were lying on a table in front of them (as opposed to badminton racquets or no object at all- av. 4.7 and 4.6). They concluded that the weapons acted as cues that simulates aggression. However, there are also several criticisms of this theory. Some argue that an exposure to a weapon produces ‘automatic priming’ e.g., a person can identify aggression-related words faster after seeing a weapon name (Anderson at al., 2002). Moreover, some argue that the availability of firearms will lead to increased aggression “Guns also provoke aggression in their own right, simply by being there” (Fiske, 2004, in Gross 2010). Others would also argue that “the intensity of the aggressive response evoked by an object probably varies directly with both the intensity of the anger and the strength of the association between the object and the original angering agency” (Berkowitz, 1964). Therefore, it can be argued that aggression is not always provoked by cues. Another theory which will be discussed in this report is GAM.</w:t>
      </w:r>
    </w:p>
    <w:p w14:paraId="0EC36788" w14:textId="77777777" w:rsidR="00424497" w:rsidRDefault="00424497" w:rsidP="00424497">
      <w:pPr>
        <w:jc w:val="both"/>
      </w:pPr>
      <w:r>
        <w:t xml:space="preserve">Anderson, 1997; and Anderson and Bushman, 2002b; argue that the chain of events which may lead to aggression can be initialised by two major types of input variables: situational </w:t>
      </w:r>
      <w:r>
        <w:lastRenderedPageBreak/>
        <w:t xml:space="preserve">factors-factors relating to the current situations, e.g., provocation; and personal factors- factors relating to people involved- e.g., attitudes/beliefs regarding violence. Those variables then then lead to overt aggression through their impact on three basic processes: arousal- may increase physiological excitement; affective states- hostile feelings and outwards signs of these such as facial expressions; and cognitions- can bring up thoughts about aggression. Anderson also argued that an individual’s assessment of a situation and other factors (such as police presence) leads to either: thoughtful action- stopping yourself from aggressive behaviour; or impulsive action- aggressive action. There are several evaluations of the GAM theory, but the most important ones are that GAM is likely to offer a more accurate view of nature of human aggression than the earlier theories, as it is also considered more complex than earlier theories, such as the fact that aggression is caused by more than just due to frustration. However, some would also argue that GAM has received only poor research support. It can also be hypothesised that the ‘anti-hunt’ group will display more aggressive behaviours than the ‘pro-hunt’ group. </w:t>
      </w:r>
    </w:p>
    <w:p w14:paraId="4BBBEA06" w14:textId="796794C9" w:rsidR="00424497" w:rsidRDefault="00424497"/>
    <w:p w14:paraId="7C728C54" w14:textId="77777777" w:rsidR="00424497" w:rsidRDefault="00424497" w:rsidP="00424497">
      <w:pPr>
        <w:jc w:val="both"/>
      </w:pPr>
      <w:r>
        <w:t>Method:</w:t>
      </w:r>
    </w:p>
    <w:p w14:paraId="517E67C7" w14:textId="0B3FB66B" w:rsidR="00424497" w:rsidRDefault="00A16AF8" w:rsidP="00424497">
      <w:pPr>
        <w:jc w:val="both"/>
      </w:pPr>
      <w:r>
        <w:t xml:space="preserve">   </w:t>
      </w:r>
      <w:r w:rsidR="00424497">
        <w:t xml:space="preserve">For the design of the research, the researcher has used qualitative content analysis of a pre-recorded video of anti-hunt and pro-hunt protestors. The report will be comparing numerical scores of each group, and it will state the mean group scores. The participants in this research </w:t>
      </w:r>
      <w:proofErr w:type="gramStart"/>
      <w:r w:rsidR="00424497">
        <w:t>are people who are</w:t>
      </w:r>
      <w:proofErr w:type="gramEnd"/>
      <w:r w:rsidR="00424497">
        <w:t xml:space="preserve"> already recorded on the video, and for this report there has been 5 people identified from each group (pro- and anti- hunt groups, not the police). For the purpose of this report there was no need to recruit participants, due to the video being freely available on YouTube. The materials that are used for this report are the video mentioned above and a scoring grid (fig. 1) used to record each type of aggression for each of the two groups. For the procedure, the video was watched 3 times by me to identify the group members with different behaviours and then another 3 times to record the different types of aggressive behaviour, which was then recorded in the scoring grid (fig. 1).</w:t>
      </w:r>
    </w:p>
    <w:p w14:paraId="79602178" w14:textId="77777777" w:rsidR="00424497" w:rsidRDefault="00424497" w:rsidP="00424497">
      <w:pPr>
        <w:jc w:val="both"/>
      </w:pPr>
    </w:p>
    <w:p w14:paraId="01B31890" w14:textId="77777777" w:rsidR="00424497" w:rsidRDefault="00424497" w:rsidP="00424497">
      <w:pPr>
        <w:jc w:val="both"/>
      </w:pPr>
      <w:r>
        <w:t>Results:</w:t>
      </w:r>
    </w:p>
    <w:p w14:paraId="4EC201BC" w14:textId="475C6F66" w:rsidR="00424497" w:rsidRDefault="00A16AF8" w:rsidP="00424497">
      <w:pPr>
        <w:jc w:val="both"/>
      </w:pPr>
      <w:r>
        <w:t xml:space="preserve">   </w:t>
      </w:r>
      <w:r w:rsidR="00424497">
        <w:t xml:space="preserve">The behaviours which will be identified with each type of aggression for the purposes of this report </w:t>
      </w:r>
      <w:proofErr w:type="gramStart"/>
      <w:r w:rsidR="00424497">
        <w:t>are:</w:t>
      </w:r>
      <w:proofErr w:type="gramEnd"/>
      <w:r w:rsidR="00424497">
        <w:t xml:space="preserve"> verbal-name calling, shouting, chanting; physical- shoving, hitting; gestural- pointing fingers, intimidating hand movements; and prevocational- waving a hat, blowing a horn, banners, pointing fingers. Overall, </w:t>
      </w:r>
      <w:proofErr w:type="gramStart"/>
      <w:r w:rsidR="00424497">
        <w:t>it is clear that the</w:t>
      </w:r>
      <w:proofErr w:type="gramEnd"/>
      <w:r w:rsidR="00424497">
        <w:t xml:space="preserve"> anti-hunt group has shown more aggression, especially when it came to verbal and physical aggression, whereas when it came to gestural and prevocational aggression, it can be seen that the pro-hunt group displayed more of this aggression. At the beginning of the </w:t>
      </w:r>
      <w:proofErr w:type="gramStart"/>
      <w:r w:rsidR="00424497">
        <w:t>video</w:t>
      </w:r>
      <w:proofErr w:type="gramEnd"/>
      <w:r w:rsidR="00424497">
        <w:t xml:space="preserve"> it can be seen that a man from the anti-hunt group is starting a chant “only scum kill for fun”, which can also be seen on another person’s banner further into the video. There is also a woman who proceeds to scream “scum” and “dirty, filthy scum” at the people dressed as foxes and the horse riders. There is also a clear struggle between the two groups, and it can be clearly seen that another woman pushes a pro-hunt member. </w:t>
      </w:r>
      <w:proofErr w:type="gramStart"/>
      <w:r w:rsidR="00424497">
        <w:t>Therefore</w:t>
      </w:r>
      <w:proofErr w:type="gramEnd"/>
      <w:r w:rsidR="00424497">
        <w:t xml:space="preserve"> it can be argued that there is a clear variety of different types of aggression used by said group. However, with the pro-hunt group </w:t>
      </w:r>
      <w:proofErr w:type="gramStart"/>
      <w:r w:rsidR="00424497">
        <w:t>it is clear that a</w:t>
      </w:r>
      <w:proofErr w:type="gramEnd"/>
      <w:r w:rsidR="00424497">
        <w:t xml:space="preserve"> man goes right up to anti-hunt woman’s face and shouts at her, pointing his finger. It can also be </w:t>
      </w:r>
      <w:proofErr w:type="gramStart"/>
      <w:r w:rsidR="00424497">
        <w:t>argues</w:t>
      </w:r>
      <w:proofErr w:type="gramEnd"/>
      <w:r w:rsidR="00424497">
        <w:t xml:space="preserve"> that the people dressed as foxes have done so on purpose, as an act of provocation, which then led to the pro-hunt group cheering them on, which again is another way of provocation aimed at the anti-hunt group. Furthermore, the horse riders can be seen encouraging people to shout and whistle, by waving their hands, hats and blowing horns, </w:t>
      </w:r>
      <w:r w:rsidR="00424497">
        <w:lastRenderedPageBreak/>
        <w:t xml:space="preserve">which again can be seen as an act of provocation, as well as gestural aggression. Moreover, there is a man pushing a woman from the opposite group and another man attacking a member of the opposite group with a “only scum kill for fun” banner. It can be argued that </w:t>
      </w:r>
      <w:proofErr w:type="gramStart"/>
      <w:r w:rsidR="00424497">
        <w:t>both of the groups</w:t>
      </w:r>
      <w:proofErr w:type="gramEnd"/>
      <w:r w:rsidR="00424497">
        <w:t xml:space="preserve"> show similar acts of aggression, however it can be seen in fig. 1 and the ‘anti-hunt vs pro-hunt’ pie chart, that the anti-hunt group displays more acts of aggression.</w:t>
      </w:r>
    </w:p>
    <w:p w14:paraId="03C976B3" w14:textId="77777777" w:rsidR="00424497" w:rsidRDefault="00424497" w:rsidP="00424497">
      <w:pPr>
        <w:jc w:val="both"/>
      </w:pPr>
    </w:p>
    <w:p w14:paraId="62DB5CA2" w14:textId="77777777" w:rsidR="00424497" w:rsidRDefault="00424497" w:rsidP="00424497">
      <w:pPr>
        <w:jc w:val="both"/>
      </w:pPr>
      <w:r>
        <w:rPr>
          <w:noProof/>
        </w:rPr>
        <w:drawing>
          <wp:inline distT="0" distB="0" distL="0" distR="0" wp14:anchorId="147DA81E" wp14:editId="33A744A4">
            <wp:extent cx="3011557" cy="1937882"/>
            <wp:effectExtent l="0" t="0" r="11430" b="18415"/>
            <wp:docPr id="1" name="Chart 1">
              <a:extLst xmlns:a="http://schemas.openxmlformats.org/drawingml/2006/main">
                <a:ext uri="{FF2B5EF4-FFF2-40B4-BE49-F238E27FC236}">
                  <a16:creationId xmlns:a16="http://schemas.microsoft.com/office/drawing/2014/main" id="{A99503B2-889D-7E91-0E20-C365183F51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15C3CEB2" w14:textId="5F034B41" w:rsidR="00424497" w:rsidRDefault="00424497"/>
    <w:p w14:paraId="1C6AD8A1" w14:textId="788E7519" w:rsidR="00424497" w:rsidRDefault="00424497"/>
    <w:p w14:paraId="0C1DFE22" w14:textId="77777777" w:rsidR="00424497" w:rsidRDefault="00424497" w:rsidP="00424497">
      <w:pPr>
        <w:jc w:val="both"/>
      </w:pPr>
      <w:r>
        <w:t>Discussion:</w:t>
      </w:r>
    </w:p>
    <w:p w14:paraId="75AB078F" w14:textId="0F01FDD5" w:rsidR="00424497" w:rsidRDefault="00A16AF8" w:rsidP="00424497">
      <w:pPr>
        <w:jc w:val="both"/>
      </w:pPr>
      <w:r>
        <w:t xml:space="preserve">   </w:t>
      </w:r>
      <w:r w:rsidR="00424497">
        <w:t xml:space="preserve">As discussed above, according to Berkowitz, aggression is caused by frustration which is seen as psychologically painful. Therefore, it can be argued that the anti-hunt group displays more aggression due to being frustrated by the killings of the foxes and this in turn causes them psychological pain, which then is portrayed in the form of aggressive behaviour. Furthermore, this can be supported by Berkowitz and LePage’s experiment, as it can be argued that the group was being provoked by the people in fox’s costumes and the horse riders dressed in hunting gear.  This is also supported by the GAM, as the theory argues that an individual’s assessment of the situation is impacted by things such as police presence and threatening nature of other persons present in each situation, which in this situation would be the opposing group, and the high police presence, which then led them to impulsive action. Therefore, it can be argued that the findings from this report agree with </w:t>
      </w:r>
      <w:proofErr w:type="gramStart"/>
      <w:r w:rsidR="00424497">
        <w:t>both of the theories</w:t>
      </w:r>
      <w:proofErr w:type="gramEnd"/>
      <w:r w:rsidR="00424497">
        <w:t xml:space="preserve"> discussed above, as the anti-hunt group is then one which portrays more aggressive behaviours, and they’re also the ones who have more triggers in this scenario.</w:t>
      </w:r>
    </w:p>
    <w:p w14:paraId="3D4DF568" w14:textId="77777777" w:rsidR="00424497" w:rsidRDefault="00424497" w:rsidP="00424497">
      <w:pPr>
        <w:jc w:val="both"/>
      </w:pPr>
    </w:p>
    <w:p w14:paraId="6BDD511D" w14:textId="77777777" w:rsidR="00424497" w:rsidRDefault="00424497" w:rsidP="00424497">
      <w:pPr>
        <w:jc w:val="both"/>
      </w:pPr>
      <w:r>
        <w:t>Conclusion:</w:t>
      </w:r>
    </w:p>
    <w:p w14:paraId="247DA84B" w14:textId="61269D8D" w:rsidR="00424497" w:rsidRDefault="00A16AF8" w:rsidP="00424497">
      <w:pPr>
        <w:jc w:val="both"/>
      </w:pPr>
      <w:r>
        <w:t xml:space="preserve">   </w:t>
      </w:r>
      <w:r w:rsidR="00424497">
        <w:t xml:space="preserve">In conclusion it can be clearly seen that the findings from this report support the earlier stated hypothesises, which is that the anti-hunt group will display more aggressive behaviours than the pro-hunt group. This statement can be supported by both theories stated in the introduction section (the Aggressive Cues Theory and the General Aggression Model). It is clear from the video and statistics stated within the report that the pro-hunt group is more aggressive even thought, it is clear, that </w:t>
      </w:r>
      <w:proofErr w:type="gramStart"/>
      <w:r w:rsidR="00424497">
        <w:t>both of the groups</w:t>
      </w:r>
      <w:proofErr w:type="gramEnd"/>
      <w:r w:rsidR="00424497">
        <w:t xml:space="preserve"> display similar aggression outbursts. </w:t>
      </w:r>
    </w:p>
    <w:p w14:paraId="0C2F42AF" w14:textId="03AE0850" w:rsidR="00424497" w:rsidRDefault="00424497"/>
    <w:p w14:paraId="6BDA4F90" w14:textId="77777777" w:rsidR="00187C75" w:rsidRDefault="00187C75"/>
    <w:p w14:paraId="60305511" w14:textId="77777777" w:rsidR="00187C75" w:rsidRDefault="00187C75"/>
    <w:p w14:paraId="5A79FF3C" w14:textId="77777777" w:rsidR="00187C75" w:rsidRDefault="00187C75"/>
    <w:p w14:paraId="0BE53292" w14:textId="77777777" w:rsidR="00187C75" w:rsidRDefault="00187C75"/>
    <w:p w14:paraId="75BCE625" w14:textId="77777777" w:rsidR="00187C75" w:rsidRDefault="00187C75"/>
    <w:p w14:paraId="468187FB" w14:textId="72D1CD46" w:rsidR="00424497" w:rsidRDefault="00424497">
      <w:r>
        <w:lastRenderedPageBreak/>
        <w:t>Appendix:</w:t>
      </w:r>
    </w:p>
    <w:tbl>
      <w:tblPr>
        <w:tblStyle w:val="TableGrid"/>
        <w:tblW w:w="0" w:type="auto"/>
        <w:tblLook w:val="04A0" w:firstRow="1" w:lastRow="0" w:firstColumn="1" w:lastColumn="0" w:noHBand="0" w:noVBand="1"/>
      </w:tblPr>
      <w:tblGrid>
        <w:gridCol w:w="3005"/>
        <w:gridCol w:w="3005"/>
        <w:gridCol w:w="3006"/>
      </w:tblGrid>
      <w:tr w:rsidR="00424497" w14:paraId="51EF5950" w14:textId="77777777" w:rsidTr="00815C6B">
        <w:tc>
          <w:tcPr>
            <w:tcW w:w="3005" w:type="dxa"/>
          </w:tcPr>
          <w:p w14:paraId="1EABC360" w14:textId="77777777" w:rsidR="00424497" w:rsidRDefault="00424497" w:rsidP="00815C6B">
            <w:pPr>
              <w:jc w:val="both"/>
            </w:pPr>
            <w:r>
              <w:t xml:space="preserve">Aggression type </w:t>
            </w:r>
          </w:p>
        </w:tc>
        <w:tc>
          <w:tcPr>
            <w:tcW w:w="3005" w:type="dxa"/>
          </w:tcPr>
          <w:p w14:paraId="3E730002" w14:textId="77777777" w:rsidR="00424497" w:rsidRDefault="00424497" w:rsidP="00815C6B">
            <w:pPr>
              <w:jc w:val="both"/>
            </w:pPr>
            <w:r>
              <w:t xml:space="preserve">Anti-hunt </w:t>
            </w:r>
          </w:p>
        </w:tc>
        <w:tc>
          <w:tcPr>
            <w:tcW w:w="3006" w:type="dxa"/>
          </w:tcPr>
          <w:p w14:paraId="5CD4272A" w14:textId="77777777" w:rsidR="00424497" w:rsidRDefault="00424497" w:rsidP="00815C6B">
            <w:pPr>
              <w:jc w:val="both"/>
            </w:pPr>
            <w:r>
              <w:t>Pro-hunt</w:t>
            </w:r>
          </w:p>
        </w:tc>
      </w:tr>
      <w:tr w:rsidR="00424497" w14:paraId="64D63C7E" w14:textId="77777777" w:rsidTr="00815C6B">
        <w:tc>
          <w:tcPr>
            <w:tcW w:w="3005" w:type="dxa"/>
          </w:tcPr>
          <w:p w14:paraId="664230D8" w14:textId="77777777" w:rsidR="00424497" w:rsidRDefault="00424497" w:rsidP="00815C6B">
            <w:pPr>
              <w:jc w:val="both"/>
            </w:pPr>
            <w:r>
              <w:t>Verbal</w:t>
            </w:r>
          </w:p>
        </w:tc>
        <w:tc>
          <w:tcPr>
            <w:tcW w:w="3005" w:type="dxa"/>
          </w:tcPr>
          <w:p w14:paraId="1458C60F" w14:textId="77777777" w:rsidR="00424497" w:rsidRDefault="00424497" w:rsidP="00815C6B">
            <w:pPr>
              <w:jc w:val="both"/>
            </w:pPr>
            <w:r>
              <w:t>III</w:t>
            </w:r>
          </w:p>
        </w:tc>
        <w:tc>
          <w:tcPr>
            <w:tcW w:w="3006" w:type="dxa"/>
          </w:tcPr>
          <w:p w14:paraId="2CB2DD08" w14:textId="77777777" w:rsidR="00424497" w:rsidRDefault="00424497" w:rsidP="00815C6B">
            <w:pPr>
              <w:jc w:val="both"/>
            </w:pPr>
            <w:r>
              <w:t>I</w:t>
            </w:r>
          </w:p>
        </w:tc>
      </w:tr>
      <w:tr w:rsidR="00424497" w14:paraId="7574A547" w14:textId="77777777" w:rsidTr="00815C6B">
        <w:tc>
          <w:tcPr>
            <w:tcW w:w="3005" w:type="dxa"/>
          </w:tcPr>
          <w:p w14:paraId="09DB9DA5" w14:textId="77777777" w:rsidR="00424497" w:rsidRDefault="00424497" w:rsidP="00815C6B">
            <w:pPr>
              <w:jc w:val="both"/>
            </w:pPr>
            <w:r>
              <w:t xml:space="preserve">Physical </w:t>
            </w:r>
          </w:p>
        </w:tc>
        <w:tc>
          <w:tcPr>
            <w:tcW w:w="3005" w:type="dxa"/>
          </w:tcPr>
          <w:p w14:paraId="493B7DAF" w14:textId="77777777" w:rsidR="00424497" w:rsidRDefault="00424497" w:rsidP="00815C6B">
            <w:pPr>
              <w:jc w:val="both"/>
            </w:pPr>
            <w:r>
              <w:t>III</w:t>
            </w:r>
          </w:p>
        </w:tc>
        <w:tc>
          <w:tcPr>
            <w:tcW w:w="3006" w:type="dxa"/>
          </w:tcPr>
          <w:p w14:paraId="0A518C00" w14:textId="77777777" w:rsidR="00424497" w:rsidRDefault="00424497" w:rsidP="00815C6B">
            <w:pPr>
              <w:jc w:val="both"/>
            </w:pPr>
            <w:r>
              <w:t>II</w:t>
            </w:r>
          </w:p>
        </w:tc>
      </w:tr>
      <w:tr w:rsidR="00424497" w14:paraId="7D92C190" w14:textId="77777777" w:rsidTr="00815C6B">
        <w:tc>
          <w:tcPr>
            <w:tcW w:w="3005" w:type="dxa"/>
          </w:tcPr>
          <w:p w14:paraId="16F5875C" w14:textId="77777777" w:rsidR="00424497" w:rsidRDefault="00424497" w:rsidP="00815C6B">
            <w:pPr>
              <w:jc w:val="both"/>
            </w:pPr>
            <w:r>
              <w:t>Gestural</w:t>
            </w:r>
          </w:p>
        </w:tc>
        <w:tc>
          <w:tcPr>
            <w:tcW w:w="3005" w:type="dxa"/>
          </w:tcPr>
          <w:p w14:paraId="6456A3EB" w14:textId="77777777" w:rsidR="00424497" w:rsidRDefault="00424497" w:rsidP="00815C6B">
            <w:pPr>
              <w:jc w:val="both"/>
            </w:pPr>
            <w:r>
              <w:t>I</w:t>
            </w:r>
          </w:p>
        </w:tc>
        <w:tc>
          <w:tcPr>
            <w:tcW w:w="3006" w:type="dxa"/>
          </w:tcPr>
          <w:p w14:paraId="6ADB63DB" w14:textId="77777777" w:rsidR="00424497" w:rsidRDefault="00424497" w:rsidP="00815C6B">
            <w:pPr>
              <w:jc w:val="both"/>
            </w:pPr>
            <w:r>
              <w:t>II</w:t>
            </w:r>
          </w:p>
        </w:tc>
      </w:tr>
      <w:tr w:rsidR="00424497" w14:paraId="6B12B88F" w14:textId="77777777" w:rsidTr="00815C6B">
        <w:tc>
          <w:tcPr>
            <w:tcW w:w="3005" w:type="dxa"/>
          </w:tcPr>
          <w:p w14:paraId="0218BF02" w14:textId="77777777" w:rsidR="00424497" w:rsidRDefault="00424497" w:rsidP="00815C6B">
            <w:pPr>
              <w:jc w:val="both"/>
            </w:pPr>
            <w:r>
              <w:t xml:space="preserve">Prevocational </w:t>
            </w:r>
          </w:p>
        </w:tc>
        <w:tc>
          <w:tcPr>
            <w:tcW w:w="3005" w:type="dxa"/>
          </w:tcPr>
          <w:p w14:paraId="0A644F6D" w14:textId="77777777" w:rsidR="00424497" w:rsidRDefault="00424497" w:rsidP="00815C6B">
            <w:pPr>
              <w:jc w:val="both"/>
            </w:pPr>
            <w:r>
              <w:t>I</w:t>
            </w:r>
          </w:p>
        </w:tc>
        <w:tc>
          <w:tcPr>
            <w:tcW w:w="3006" w:type="dxa"/>
          </w:tcPr>
          <w:p w14:paraId="4547B5B5" w14:textId="77777777" w:rsidR="00424497" w:rsidRDefault="00424497" w:rsidP="00815C6B">
            <w:pPr>
              <w:jc w:val="both"/>
            </w:pPr>
            <w:r>
              <w:t>II</w:t>
            </w:r>
          </w:p>
        </w:tc>
      </w:tr>
    </w:tbl>
    <w:p w14:paraId="3B7C3A0F" w14:textId="27CC193B" w:rsidR="00424497" w:rsidRDefault="00424497"/>
    <w:p w14:paraId="45EE5D58" w14:textId="77777777" w:rsidR="00424497" w:rsidRDefault="00424497" w:rsidP="00424497"/>
    <w:p w14:paraId="14BBF869" w14:textId="77777777" w:rsidR="00424497" w:rsidRDefault="00424497" w:rsidP="00424497"/>
    <w:p w14:paraId="3BD56962" w14:textId="77777777" w:rsidR="00424497" w:rsidRDefault="00424497" w:rsidP="00424497"/>
    <w:p w14:paraId="644D6575" w14:textId="50613259" w:rsidR="00424497" w:rsidRPr="00424497" w:rsidRDefault="00424497" w:rsidP="00424497">
      <w:r>
        <w:t>Reference:</w:t>
      </w:r>
    </w:p>
    <w:p w14:paraId="083A2A80" w14:textId="68E6893C" w:rsidR="00424497" w:rsidRDefault="00424497" w:rsidP="00424497">
      <w:pPr>
        <w:rPr>
          <w:rStyle w:val="Hyperlink"/>
          <w:rFonts w:ascii="Open Sans" w:hAnsi="Open Sans" w:cs="Open Sans"/>
          <w:color w:val="005274"/>
          <w:sz w:val="21"/>
          <w:szCs w:val="21"/>
          <w:u w:val="none"/>
        </w:rPr>
      </w:pPr>
      <w:r>
        <w:rPr>
          <w:rFonts w:ascii="Open Sans" w:hAnsi="Open Sans" w:cs="Open Sans"/>
          <w:color w:val="1C1D1E"/>
          <w:sz w:val="21"/>
          <w:szCs w:val="21"/>
          <w:shd w:val="clear" w:color="auto" w:fill="FFFFFF"/>
        </w:rPr>
        <w:t xml:space="preserve">   Arriaga, P. and Santos, A.C. (2020). Cue Theory. In The International </w:t>
      </w:r>
      <w:proofErr w:type="spellStart"/>
      <w:r>
        <w:rPr>
          <w:rFonts w:ascii="Open Sans" w:hAnsi="Open Sans" w:cs="Open Sans"/>
          <w:color w:val="1C1D1E"/>
          <w:sz w:val="21"/>
          <w:szCs w:val="21"/>
          <w:shd w:val="clear" w:color="auto" w:fill="FFFFFF"/>
        </w:rPr>
        <w:t>Encyclopedia</w:t>
      </w:r>
      <w:proofErr w:type="spellEnd"/>
      <w:r>
        <w:rPr>
          <w:rFonts w:ascii="Open Sans" w:hAnsi="Open Sans" w:cs="Open Sans"/>
          <w:color w:val="1C1D1E"/>
          <w:sz w:val="21"/>
          <w:szCs w:val="21"/>
          <w:shd w:val="clear" w:color="auto" w:fill="FFFFFF"/>
        </w:rPr>
        <w:t xml:space="preserve"> of Media Psychology, J. </w:t>
      </w:r>
      <w:proofErr w:type="spellStart"/>
      <w:r>
        <w:rPr>
          <w:rFonts w:ascii="Open Sans" w:hAnsi="Open Sans" w:cs="Open Sans"/>
          <w:color w:val="1C1D1E"/>
          <w:sz w:val="21"/>
          <w:szCs w:val="21"/>
          <w:shd w:val="clear" w:color="auto" w:fill="FFFFFF"/>
        </w:rPr>
        <w:t>Bulck</w:t>
      </w:r>
      <w:proofErr w:type="spellEnd"/>
      <w:r>
        <w:rPr>
          <w:rFonts w:ascii="Open Sans" w:hAnsi="Open Sans" w:cs="Open Sans"/>
          <w:color w:val="1C1D1E"/>
          <w:sz w:val="21"/>
          <w:szCs w:val="21"/>
          <w:shd w:val="clear" w:color="auto" w:fill="FFFFFF"/>
        </w:rPr>
        <w:t xml:space="preserve"> (Ed.).</w:t>
      </w:r>
      <w:r>
        <w:rPr>
          <w:rStyle w:val="apple-converted-space"/>
          <w:rFonts w:ascii="Open Sans" w:hAnsi="Open Sans" w:cs="Open Sans"/>
          <w:color w:val="1C1D1E"/>
          <w:sz w:val="21"/>
          <w:szCs w:val="21"/>
          <w:shd w:val="clear" w:color="auto" w:fill="FFFFFF"/>
        </w:rPr>
        <w:t> </w:t>
      </w:r>
      <w:hyperlink r:id="rId5" w:history="1">
        <w:r>
          <w:rPr>
            <w:rStyle w:val="Hyperlink"/>
            <w:rFonts w:ascii="Open Sans" w:hAnsi="Open Sans" w:cs="Open Sans"/>
            <w:color w:val="005274"/>
            <w:sz w:val="21"/>
            <w:szCs w:val="21"/>
            <w:u w:val="none"/>
          </w:rPr>
          <w:t>https://doi.org/10.1002/9781119011071.iemp0200</w:t>
        </w:r>
      </w:hyperlink>
    </w:p>
    <w:p w14:paraId="6F2BABD8" w14:textId="796C70A1" w:rsidR="00424497" w:rsidRDefault="00424497" w:rsidP="00424497">
      <w:pPr>
        <w:rPr>
          <w:rStyle w:val="Hyperlink"/>
          <w:rFonts w:ascii="Open Sans" w:hAnsi="Open Sans" w:cs="Open Sans"/>
          <w:color w:val="005274"/>
          <w:sz w:val="21"/>
          <w:szCs w:val="21"/>
          <w:u w:val="none"/>
        </w:rPr>
      </w:pPr>
    </w:p>
    <w:p w14:paraId="70461BE3" w14:textId="2ECF8D72" w:rsidR="00424497" w:rsidRDefault="00424497" w:rsidP="00424497">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  Benjamin Jr, A. J. (2015). Definition of aggression.</w:t>
      </w:r>
      <w:r>
        <w:rPr>
          <w:rStyle w:val="apple-converted-space"/>
          <w:rFonts w:ascii="Arial" w:hAnsi="Arial" w:cs="Arial"/>
          <w:color w:val="222222"/>
          <w:sz w:val="20"/>
          <w:szCs w:val="20"/>
          <w:shd w:val="clear" w:color="auto" w:fill="FFFFFF"/>
        </w:rPr>
        <w:t> </w:t>
      </w:r>
      <w:proofErr w:type="spellStart"/>
      <w:r>
        <w:rPr>
          <w:rFonts w:ascii="Arial" w:hAnsi="Arial" w:cs="Arial"/>
          <w:i/>
          <w:iCs/>
          <w:color w:val="222222"/>
          <w:sz w:val="20"/>
          <w:szCs w:val="20"/>
        </w:rPr>
        <w:t>Encyclopedia</w:t>
      </w:r>
      <w:proofErr w:type="spellEnd"/>
      <w:r>
        <w:rPr>
          <w:rFonts w:ascii="Arial" w:hAnsi="Arial" w:cs="Arial"/>
          <w:i/>
          <w:iCs/>
          <w:color w:val="222222"/>
          <w:sz w:val="20"/>
          <w:szCs w:val="20"/>
        </w:rPr>
        <w:t xml:space="preserve"> of mental health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w:t>
      </w:r>
      <w:r>
        <w:rPr>
          <w:rFonts w:ascii="Arial" w:hAnsi="Arial" w:cs="Arial"/>
          <w:color w:val="222222"/>
          <w:sz w:val="20"/>
          <w:szCs w:val="20"/>
          <w:shd w:val="clear" w:color="auto" w:fill="FFFFFF"/>
        </w:rPr>
        <w:t>(2), 33-39.</w:t>
      </w:r>
    </w:p>
    <w:p w14:paraId="4EE22D75" w14:textId="77777777" w:rsidR="00424497" w:rsidRDefault="00424497" w:rsidP="00424497"/>
    <w:p w14:paraId="111B29DB" w14:textId="77E514F6" w:rsidR="00424497" w:rsidRDefault="00424497" w:rsidP="00424497">
      <w:r>
        <w:t xml:space="preserve">  Berkowitz. (1964). Aggressive cues in aggressive </w:t>
      </w:r>
      <w:proofErr w:type="spellStart"/>
      <w:r>
        <w:t>behavior</w:t>
      </w:r>
      <w:proofErr w:type="spellEnd"/>
      <w:r>
        <w:t xml:space="preserve"> and hostility catharsis. The Psychological Review., 71(2), 104–122. </w:t>
      </w:r>
      <w:hyperlink r:id="rId6" w:history="1">
        <w:r w:rsidRPr="00A03716">
          <w:rPr>
            <w:rStyle w:val="Hyperlink"/>
          </w:rPr>
          <w:t>https://doi.org/10.1037/h0043520</w:t>
        </w:r>
      </w:hyperlink>
    </w:p>
    <w:p w14:paraId="3A7D20AE" w14:textId="77777777" w:rsidR="00424497" w:rsidRDefault="00424497" w:rsidP="00424497"/>
    <w:p w14:paraId="0CAA76A4" w14:textId="11AEAFCA" w:rsidR="00424497" w:rsidRDefault="00424497" w:rsidP="00424497">
      <w:r>
        <w:t xml:space="preserve">  Carlson, Marcus-Newhall, A., &amp; Miller, N. (1990). Effects of situational aggression cues: A quantitative review. Journal of Personality and Social Psychology., 58(4), 622–633. </w:t>
      </w:r>
      <w:hyperlink r:id="rId7" w:history="1">
        <w:r w:rsidRPr="00A03716">
          <w:rPr>
            <w:rStyle w:val="Hyperlink"/>
          </w:rPr>
          <w:t>https://doi.org/10.1037/0022-3514.58.4.622</w:t>
        </w:r>
      </w:hyperlink>
    </w:p>
    <w:p w14:paraId="02961F83" w14:textId="77777777" w:rsidR="00424497" w:rsidRDefault="00424497" w:rsidP="00424497"/>
    <w:p w14:paraId="5443A554" w14:textId="1961B178" w:rsidR="00424497" w:rsidRDefault="00424497" w:rsidP="00424497">
      <w:r>
        <w:t xml:space="preserve">  Christopher J. Ferguson, Dominic </w:t>
      </w:r>
      <w:proofErr w:type="spellStart"/>
      <w:proofErr w:type="gramStart"/>
      <w:r>
        <w:t>Dyck,P</w:t>
      </w:r>
      <w:proofErr w:type="spellEnd"/>
      <w:proofErr w:type="gramEnd"/>
      <w:r>
        <w:t xml:space="preserve"> </w:t>
      </w:r>
      <w:proofErr w:type="spellStart"/>
      <w:r>
        <w:t>aradigm</w:t>
      </w:r>
      <w:proofErr w:type="spellEnd"/>
      <w:r>
        <w:t xml:space="preserve"> change in aggression research: The time has come to retire the General Aggression Model, Aggression and Violent </w:t>
      </w:r>
      <w:proofErr w:type="spellStart"/>
      <w:r>
        <w:t>Behavior</w:t>
      </w:r>
      <w:proofErr w:type="spellEnd"/>
      <w:r>
        <w:t>, Volume 17, Issue 3, 2012, Pages 220-228, ISSN 1359-1789, https://doi.org/10.1016/j.avb.2012.02.007.</w:t>
      </w:r>
    </w:p>
    <w:p w14:paraId="5DB789D5" w14:textId="77777777" w:rsidR="00424497" w:rsidRDefault="00424497"/>
    <w:sectPr w:rsidR="004244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497"/>
    <w:rsid w:val="00187C75"/>
    <w:rsid w:val="00240D7A"/>
    <w:rsid w:val="003E7B2F"/>
    <w:rsid w:val="00424497"/>
    <w:rsid w:val="00A16A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1E53CC"/>
  <w15:chartTrackingRefBased/>
  <w15:docId w15:val="{9B9FC9DA-1998-B140-8728-8E4076D5B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497"/>
  </w:style>
  <w:style w:type="paragraph" w:styleId="Heading1">
    <w:name w:val="heading 1"/>
    <w:basedOn w:val="Normal"/>
    <w:next w:val="Normal"/>
    <w:link w:val="Heading1Char"/>
    <w:uiPriority w:val="9"/>
    <w:qFormat/>
    <w:rsid w:val="00A16AF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4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424497"/>
  </w:style>
  <w:style w:type="character" w:styleId="Hyperlink">
    <w:name w:val="Hyperlink"/>
    <w:basedOn w:val="DefaultParagraphFont"/>
    <w:uiPriority w:val="99"/>
    <w:unhideWhenUsed/>
    <w:rsid w:val="00424497"/>
    <w:rPr>
      <w:color w:val="0000FF"/>
      <w:u w:val="single"/>
    </w:rPr>
  </w:style>
  <w:style w:type="paragraph" w:styleId="NormalWeb">
    <w:name w:val="Normal (Web)"/>
    <w:basedOn w:val="Normal"/>
    <w:uiPriority w:val="99"/>
    <w:semiHidden/>
    <w:unhideWhenUsed/>
    <w:rsid w:val="00240D7A"/>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A16AF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16A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37/0022-3514.58.4.62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37/h0043520" TargetMode="External"/><Relationship Id="rId5" Type="http://schemas.openxmlformats.org/officeDocument/2006/relationships/hyperlink" Target="https://doi.org/10.1002/9781119011071.iemp0200" TargetMode="External"/><Relationship Id="rId4" Type="http://schemas.openxmlformats.org/officeDocument/2006/relationships/chart" Target="charts/chart1.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zuza/Desktop/Anti-hun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bg1"/>
                </a:solidFill>
                <a:latin typeface="+mn-lt"/>
                <a:ea typeface="+mn-ea"/>
                <a:cs typeface="+mn-cs"/>
              </a:defRPr>
            </a:pPr>
            <a:r>
              <a:rPr lang="en-GB">
                <a:solidFill>
                  <a:schemeClr val="bg1"/>
                </a:solidFill>
              </a:rPr>
              <a:t>Anti-hunt vs Pro-hunt</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bg1"/>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39F-7845-A1BB-47EA29E9877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39F-7845-A1BB-47EA29E9877C}"/>
              </c:ext>
            </c:extLst>
          </c:dPt>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Sheet1!$D$2:$E$2</c:f>
              <c:strCache>
                <c:ptCount val="2"/>
                <c:pt idx="0">
                  <c:v>Anti-hunt </c:v>
                </c:pt>
                <c:pt idx="1">
                  <c:v>Pro-hunt</c:v>
                </c:pt>
              </c:strCache>
            </c:strRef>
          </c:cat>
          <c:val>
            <c:numRef>
              <c:f>Sheet1!$D$3:$E$3</c:f>
              <c:numCache>
                <c:formatCode>General</c:formatCode>
                <c:ptCount val="2"/>
                <c:pt idx="0">
                  <c:v>8</c:v>
                </c:pt>
                <c:pt idx="1">
                  <c:v>7</c:v>
                </c:pt>
              </c:numCache>
            </c:numRef>
          </c:val>
          <c:extLst>
            <c:ext xmlns:c16="http://schemas.microsoft.com/office/drawing/2014/chart" uri="{C3380CC4-5D6E-409C-BE32-E72D297353CC}">
              <c16:uniqueId val="{00000004-039F-7845-A1BB-47EA29E9877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bg1"/>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tx1">
          <a:lumMod val="15000"/>
          <a:lumOff val="85000"/>
        </a:schemeClr>
      </a:solidFill>
      <a:round/>
    </a:ln>
    <a:effectLst/>
  </c:spPr>
  <c:txPr>
    <a:bodyPr/>
    <a:lstStyle/>
    <a:p>
      <a:pPr>
        <a:defRPr>
          <a:solidFill>
            <a:schemeClr val="tx1"/>
          </a:solidFill>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1642</Words>
  <Characters>9363</Characters>
  <Application>Microsoft Office Word</Application>
  <DocSecurity>0</DocSecurity>
  <Lines>78</Lines>
  <Paragraphs>21</Paragraphs>
  <ScaleCrop>false</ScaleCrop>
  <Company/>
  <LinksUpToDate>false</LinksUpToDate>
  <CharactersWithSpaces>10984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Zuzanna Kaminska (2200035)</dc:creator>
  <cp:keywords/>
  <dc:description/>
  <cp:lastModifiedBy>Zuzanna Kaminska (2200035)</cp:lastModifiedBy>
  <cp:revision>4</cp:revision>
  <dcterms:created xsi:type="dcterms:W3CDTF">2022-12-11T14:37:00Z</dcterms:created>
  <dcterms:modified xsi:type="dcterms:W3CDTF">2022-12-11T14:50:00Z</dcterms:modified>
</cp:coreProperties>
</file>