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3A989A5" w14:textId="77777777" w:rsidR="00F80389" w:rsidRDefault="00F80389" w:rsidP="003A495D">
      <w:pPr>
        <w:spacing w:line="240" w:lineRule="auto"/>
        <w:rPr>
          <w:rFonts w:ascii="Arial" w:hAnsi="Arial" w:cs="Arial"/>
          <w:b/>
          <w:sz w:val="28"/>
          <w:szCs w:val="28"/>
          <w:shd w:val="clear" w:color="auto" w:fill="FFFFFF"/>
        </w:rPr>
      </w:pPr>
    </w:p>
    <w:p w14:paraId="6A863D9D" w14:textId="77777777" w:rsidR="00F80389" w:rsidRDefault="00F80389" w:rsidP="003A495D">
      <w:pPr>
        <w:spacing w:line="240" w:lineRule="auto"/>
        <w:rPr>
          <w:rFonts w:ascii="Arial" w:hAnsi="Arial" w:cs="Arial"/>
          <w:b/>
          <w:sz w:val="28"/>
          <w:szCs w:val="28"/>
          <w:shd w:val="clear" w:color="auto" w:fill="FFFFFF"/>
        </w:rPr>
      </w:pPr>
    </w:p>
    <w:p w14:paraId="22D71CBA" w14:textId="77777777" w:rsidR="00F80389" w:rsidRDefault="00F80389" w:rsidP="003A495D">
      <w:pPr>
        <w:spacing w:line="240" w:lineRule="auto"/>
        <w:rPr>
          <w:rFonts w:ascii="Arial" w:hAnsi="Arial" w:cs="Arial"/>
          <w:b/>
          <w:sz w:val="28"/>
          <w:szCs w:val="28"/>
          <w:shd w:val="clear" w:color="auto" w:fill="FFFFFF"/>
        </w:rPr>
      </w:pPr>
    </w:p>
    <w:p w14:paraId="0D31E0E8" w14:textId="77777777" w:rsidR="00F80389" w:rsidRDefault="00F80389" w:rsidP="003A495D">
      <w:pPr>
        <w:spacing w:line="240" w:lineRule="auto"/>
        <w:rPr>
          <w:rFonts w:ascii="Arial" w:hAnsi="Arial" w:cs="Arial"/>
          <w:b/>
          <w:sz w:val="28"/>
          <w:szCs w:val="28"/>
          <w:shd w:val="clear" w:color="auto" w:fill="FFFFFF"/>
        </w:rPr>
      </w:pPr>
    </w:p>
    <w:p w14:paraId="201503FD" w14:textId="3175BF1F" w:rsidR="00A97E4C" w:rsidRPr="00F80389" w:rsidRDefault="00B91E37" w:rsidP="003A495D">
      <w:pPr>
        <w:spacing w:line="240" w:lineRule="auto"/>
        <w:rPr>
          <w:rFonts w:ascii="Arial" w:hAnsi="Arial" w:cs="Arial"/>
          <w:b/>
          <w:sz w:val="28"/>
          <w:szCs w:val="28"/>
          <w:shd w:val="clear" w:color="auto" w:fill="FFFFFF"/>
        </w:rPr>
      </w:pPr>
      <w:r w:rsidRPr="00F80389">
        <w:rPr>
          <w:rFonts w:ascii="Arial" w:hAnsi="Arial" w:cs="Arial"/>
          <w:b/>
          <w:sz w:val="28"/>
          <w:szCs w:val="28"/>
          <w:shd w:val="clear" w:color="auto" w:fill="FFFFFF"/>
        </w:rPr>
        <w:t>Business Report- Compa</w:t>
      </w:r>
      <w:r w:rsidR="00731938" w:rsidRPr="00F80389">
        <w:rPr>
          <w:rFonts w:ascii="Arial" w:hAnsi="Arial" w:cs="Arial"/>
          <w:b/>
          <w:sz w:val="28"/>
          <w:szCs w:val="28"/>
          <w:shd w:val="clear" w:color="auto" w:fill="FFFFFF"/>
        </w:rPr>
        <w:t>rison of Corinthia Hotels</w:t>
      </w:r>
      <w:r w:rsidR="00F80389" w:rsidRPr="00F80389">
        <w:rPr>
          <w:rFonts w:ascii="Arial" w:hAnsi="Arial" w:cs="Arial"/>
          <w:b/>
          <w:sz w:val="28"/>
          <w:szCs w:val="28"/>
          <w:shd w:val="clear" w:color="auto" w:fill="FFFFFF"/>
        </w:rPr>
        <w:t xml:space="preserve"> and Ibis Hotels</w:t>
      </w:r>
    </w:p>
    <w:p w14:paraId="3E24426B" w14:textId="77777777" w:rsidR="00A97E4C" w:rsidRDefault="00A97E4C" w:rsidP="003A495D">
      <w:pPr>
        <w:spacing w:line="240" w:lineRule="auto"/>
        <w:rPr>
          <w:rFonts w:ascii="Arial" w:hAnsi="Arial" w:cs="Arial"/>
          <w:b/>
          <w:sz w:val="56"/>
          <w:szCs w:val="56"/>
          <w:shd w:val="clear" w:color="auto" w:fill="FFFFFF"/>
        </w:rPr>
      </w:pPr>
    </w:p>
    <w:p w14:paraId="0C0ABC4B" w14:textId="77777777" w:rsidR="00A97E4C" w:rsidRDefault="00A97E4C" w:rsidP="003A495D">
      <w:pPr>
        <w:spacing w:line="240" w:lineRule="auto"/>
        <w:rPr>
          <w:rFonts w:ascii="Arial" w:hAnsi="Arial" w:cs="Arial"/>
          <w:b/>
          <w:sz w:val="56"/>
          <w:szCs w:val="56"/>
          <w:shd w:val="clear" w:color="auto" w:fill="FFFFFF"/>
        </w:rPr>
      </w:pPr>
    </w:p>
    <w:p w14:paraId="244FE6EB" w14:textId="77777777" w:rsidR="00A97E4C" w:rsidRDefault="00A97E4C" w:rsidP="003A495D">
      <w:pPr>
        <w:spacing w:line="240" w:lineRule="auto"/>
        <w:rPr>
          <w:rFonts w:ascii="Arial" w:hAnsi="Arial" w:cs="Arial"/>
          <w:b/>
          <w:sz w:val="56"/>
          <w:szCs w:val="56"/>
          <w:shd w:val="clear" w:color="auto" w:fill="FFFFFF"/>
        </w:rPr>
      </w:pPr>
    </w:p>
    <w:p w14:paraId="33A11A12" w14:textId="77777777" w:rsidR="00A97E4C" w:rsidRDefault="00A97E4C" w:rsidP="003A495D">
      <w:pPr>
        <w:spacing w:line="240" w:lineRule="auto"/>
        <w:rPr>
          <w:rFonts w:ascii="Arial" w:hAnsi="Arial" w:cs="Arial"/>
          <w:b/>
          <w:sz w:val="56"/>
          <w:szCs w:val="56"/>
          <w:shd w:val="clear" w:color="auto" w:fill="FFFFFF"/>
        </w:rPr>
      </w:pPr>
    </w:p>
    <w:p w14:paraId="1E4F9FE1" w14:textId="77777777" w:rsidR="00A97E4C" w:rsidRDefault="00A97E4C" w:rsidP="003A495D">
      <w:pPr>
        <w:spacing w:line="240" w:lineRule="auto"/>
        <w:rPr>
          <w:rFonts w:ascii="Arial" w:hAnsi="Arial" w:cs="Arial"/>
          <w:b/>
          <w:sz w:val="56"/>
          <w:szCs w:val="56"/>
          <w:shd w:val="clear" w:color="auto" w:fill="FFFFFF"/>
        </w:rPr>
      </w:pPr>
    </w:p>
    <w:p w14:paraId="11D656DA" w14:textId="77777777" w:rsidR="00F80389" w:rsidRDefault="00F80389" w:rsidP="003A495D">
      <w:pPr>
        <w:spacing w:line="240" w:lineRule="auto"/>
        <w:rPr>
          <w:rFonts w:ascii="Arial" w:hAnsi="Arial" w:cs="Arial"/>
          <w:b/>
          <w:sz w:val="56"/>
          <w:szCs w:val="56"/>
          <w:shd w:val="clear" w:color="auto" w:fill="FFFFFF"/>
        </w:rPr>
      </w:pPr>
    </w:p>
    <w:p w14:paraId="54EBA709" w14:textId="77777777" w:rsidR="00F80389" w:rsidRDefault="00F80389" w:rsidP="003A495D">
      <w:pPr>
        <w:spacing w:line="240" w:lineRule="auto"/>
        <w:rPr>
          <w:rFonts w:ascii="Arial" w:hAnsi="Arial" w:cs="Arial"/>
          <w:b/>
          <w:sz w:val="56"/>
          <w:szCs w:val="56"/>
          <w:shd w:val="clear" w:color="auto" w:fill="FFFFFF"/>
        </w:rPr>
      </w:pPr>
    </w:p>
    <w:p w14:paraId="4E38E605" w14:textId="77777777" w:rsidR="00F80389" w:rsidRDefault="00F80389" w:rsidP="003A495D">
      <w:pPr>
        <w:spacing w:line="240" w:lineRule="auto"/>
        <w:rPr>
          <w:rFonts w:ascii="Arial" w:hAnsi="Arial" w:cs="Arial"/>
          <w:b/>
          <w:sz w:val="56"/>
          <w:szCs w:val="56"/>
          <w:shd w:val="clear" w:color="auto" w:fill="FFFFFF"/>
        </w:rPr>
      </w:pPr>
    </w:p>
    <w:p w14:paraId="7BA01A2E" w14:textId="77777777" w:rsidR="00F80389" w:rsidRDefault="00F80389" w:rsidP="003A495D">
      <w:pPr>
        <w:spacing w:line="240" w:lineRule="auto"/>
        <w:rPr>
          <w:rFonts w:ascii="Arial" w:hAnsi="Arial" w:cs="Arial"/>
          <w:b/>
          <w:sz w:val="56"/>
          <w:szCs w:val="56"/>
          <w:shd w:val="clear" w:color="auto" w:fill="FFFFFF"/>
        </w:rPr>
      </w:pPr>
    </w:p>
    <w:p w14:paraId="0FBD9A08" w14:textId="77777777" w:rsidR="00F80389" w:rsidRDefault="00F80389" w:rsidP="003A495D">
      <w:pPr>
        <w:spacing w:line="240" w:lineRule="auto"/>
        <w:rPr>
          <w:rFonts w:ascii="Arial" w:hAnsi="Arial" w:cs="Arial"/>
          <w:b/>
          <w:sz w:val="56"/>
          <w:szCs w:val="56"/>
          <w:shd w:val="clear" w:color="auto" w:fill="FFFFFF"/>
        </w:rPr>
      </w:pPr>
    </w:p>
    <w:p w14:paraId="711A9202" w14:textId="77777777" w:rsidR="00F80389" w:rsidRDefault="00F80389" w:rsidP="003A495D">
      <w:pPr>
        <w:spacing w:line="240" w:lineRule="auto"/>
        <w:rPr>
          <w:rFonts w:ascii="Arial" w:hAnsi="Arial" w:cs="Arial"/>
          <w:b/>
          <w:sz w:val="56"/>
          <w:szCs w:val="56"/>
          <w:shd w:val="clear" w:color="auto" w:fill="FFFFFF"/>
        </w:rPr>
      </w:pPr>
    </w:p>
    <w:p w14:paraId="226E00DA" w14:textId="77777777" w:rsidR="00F80389" w:rsidRDefault="00F80389" w:rsidP="003A495D">
      <w:pPr>
        <w:spacing w:line="240" w:lineRule="auto"/>
        <w:rPr>
          <w:rFonts w:ascii="Arial" w:hAnsi="Arial" w:cs="Arial"/>
          <w:b/>
          <w:sz w:val="56"/>
          <w:szCs w:val="56"/>
          <w:shd w:val="clear" w:color="auto" w:fill="FFFFFF"/>
        </w:rPr>
      </w:pPr>
    </w:p>
    <w:p w14:paraId="78C23250" w14:textId="77777777" w:rsidR="00F80389" w:rsidRDefault="00F80389" w:rsidP="003A495D">
      <w:pPr>
        <w:spacing w:line="240" w:lineRule="auto"/>
        <w:rPr>
          <w:rFonts w:ascii="Arial" w:hAnsi="Arial" w:cs="Arial"/>
          <w:b/>
          <w:sz w:val="56"/>
          <w:szCs w:val="56"/>
          <w:shd w:val="clear" w:color="auto" w:fill="FFFFFF"/>
        </w:rPr>
      </w:pPr>
    </w:p>
    <w:p w14:paraId="3E256571" w14:textId="2452973C" w:rsidR="00A97E4C" w:rsidRPr="00B64FA5" w:rsidRDefault="00A97E4C" w:rsidP="00B64FA5">
      <w:pPr>
        <w:rPr>
          <w:rFonts w:ascii="Arial" w:hAnsi="Arial" w:cs="Arial"/>
        </w:rPr>
      </w:pPr>
      <w:r w:rsidRPr="00B64FA5">
        <w:rPr>
          <w:rFonts w:ascii="Arial" w:hAnsi="Arial" w:cs="Arial"/>
        </w:rPr>
        <w:t>Student name: Andreea Cristina Mirica</w:t>
      </w:r>
    </w:p>
    <w:p w14:paraId="51884A08" w14:textId="77777777" w:rsidR="00A97E4C" w:rsidRPr="00B64FA5" w:rsidRDefault="00A97E4C" w:rsidP="00B64FA5">
      <w:pPr>
        <w:rPr>
          <w:rFonts w:ascii="Arial" w:hAnsi="Arial" w:cs="Arial"/>
        </w:rPr>
      </w:pPr>
      <w:r w:rsidRPr="00B64FA5">
        <w:rPr>
          <w:rFonts w:ascii="Arial" w:hAnsi="Arial" w:cs="Arial"/>
        </w:rPr>
        <w:t>Student ID number: 2211629</w:t>
      </w:r>
    </w:p>
    <w:p w14:paraId="748D08BE" w14:textId="2551BEC6" w:rsidR="00A97E4C" w:rsidRPr="00B64FA5" w:rsidRDefault="00A97E4C" w:rsidP="00B64FA5">
      <w:pPr>
        <w:rPr>
          <w:rFonts w:ascii="Arial" w:hAnsi="Arial" w:cs="Arial"/>
        </w:rPr>
      </w:pPr>
      <w:r w:rsidRPr="00B64FA5">
        <w:rPr>
          <w:rFonts w:ascii="Arial" w:hAnsi="Arial" w:cs="Arial"/>
          <w:szCs w:val="24"/>
          <w:shd w:val="clear" w:color="auto" w:fill="FFFFFF"/>
        </w:rPr>
        <w:t>Financial Management for the Hotel Industry</w:t>
      </w:r>
      <w:r w:rsidRPr="00B64FA5">
        <w:rPr>
          <w:rFonts w:ascii="Arial" w:hAnsi="Arial" w:cs="Arial"/>
          <w:szCs w:val="24"/>
          <w:shd w:val="clear" w:color="auto" w:fill="FFFFFF"/>
        </w:rPr>
        <w:t xml:space="preserve"> </w:t>
      </w:r>
      <w:r w:rsidRPr="00B64FA5">
        <w:rPr>
          <w:rFonts w:ascii="Arial" w:hAnsi="Arial" w:cs="Arial"/>
        </w:rPr>
        <w:t>BMIH500</w:t>
      </w:r>
      <w:r w:rsidRPr="00B64FA5">
        <w:rPr>
          <w:rFonts w:ascii="Arial" w:hAnsi="Arial" w:cs="Arial"/>
        </w:rPr>
        <w:t>7</w:t>
      </w:r>
    </w:p>
    <w:p w14:paraId="61955A2E" w14:textId="0E89AD7A" w:rsidR="00A97E4C" w:rsidRPr="00B64FA5" w:rsidRDefault="00A97E4C" w:rsidP="00B64FA5">
      <w:pPr>
        <w:rPr>
          <w:rFonts w:ascii="Arial" w:hAnsi="Arial" w:cs="Arial"/>
        </w:rPr>
      </w:pPr>
      <w:r w:rsidRPr="00B64FA5">
        <w:rPr>
          <w:rFonts w:ascii="Arial" w:eastAsia="Arial" w:hAnsi="Arial" w:cs="Arial"/>
        </w:rPr>
        <w:t>Lecturer:</w:t>
      </w:r>
      <w:r w:rsidRPr="00B64FA5">
        <w:rPr>
          <w:rFonts w:ascii="Arial" w:hAnsi="Arial" w:cs="Arial"/>
        </w:rPr>
        <w:t xml:space="preserve"> </w:t>
      </w:r>
      <w:r w:rsidR="00317067" w:rsidRPr="00B64FA5">
        <w:rPr>
          <w:rFonts w:ascii="Arial" w:hAnsi="Arial" w:cs="Arial"/>
        </w:rPr>
        <w:t>Tr</w:t>
      </w:r>
      <w:r w:rsidR="00B64FA5" w:rsidRPr="00B64FA5">
        <w:rPr>
          <w:rFonts w:ascii="Arial" w:hAnsi="Arial" w:cs="Arial"/>
        </w:rPr>
        <w:t>istan Hawkins</w:t>
      </w:r>
    </w:p>
    <w:p w14:paraId="39B18BF9" w14:textId="0C1CA04D" w:rsidR="00A97E4C" w:rsidRPr="00B64FA5" w:rsidRDefault="00A97E4C" w:rsidP="00B64FA5">
      <w:pPr>
        <w:rPr>
          <w:rFonts w:ascii="Arial" w:hAnsi="Arial" w:cs="Arial"/>
        </w:rPr>
      </w:pPr>
      <w:r w:rsidRPr="00B64FA5">
        <w:rPr>
          <w:rFonts w:ascii="Arial" w:hAnsi="Arial" w:cs="Arial"/>
        </w:rPr>
        <w:t xml:space="preserve">Word count (reflections): </w:t>
      </w:r>
      <w:r w:rsidR="005E401A" w:rsidRPr="00B64FA5">
        <w:rPr>
          <w:rFonts w:ascii="Arial" w:hAnsi="Arial" w:cs="Arial"/>
        </w:rPr>
        <w:t>2</w:t>
      </w:r>
      <w:r w:rsidRPr="00B64FA5">
        <w:rPr>
          <w:rFonts w:ascii="Arial" w:hAnsi="Arial" w:cs="Arial"/>
        </w:rPr>
        <w:t>000 words (+ - 10%).</w:t>
      </w:r>
    </w:p>
    <w:p w14:paraId="15787D1F" w14:textId="77777777" w:rsidR="00A97E4C" w:rsidRPr="00A97E4C" w:rsidRDefault="00A97E4C" w:rsidP="003A495D">
      <w:pPr>
        <w:spacing w:line="240" w:lineRule="auto"/>
        <w:rPr>
          <w:rFonts w:ascii="Arial" w:hAnsi="Arial" w:cs="Arial"/>
          <w:b/>
          <w:szCs w:val="24"/>
          <w:shd w:val="clear" w:color="auto" w:fill="FFFFFF"/>
        </w:rPr>
      </w:pPr>
    </w:p>
    <w:p w14:paraId="7F70571A" w14:textId="0AD9AF9F" w:rsidR="00915F02" w:rsidRPr="005A3C4E" w:rsidRDefault="00B94DFA" w:rsidP="005A3C4E">
      <w:pPr>
        <w:rPr>
          <w:rFonts w:ascii="Arial" w:hAnsi="Arial" w:cs="Arial"/>
        </w:rPr>
      </w:pPr>
      <w:r w:rsidRPr="0054781B">
        <w:rPr>
          <w:rFonts w:ascii="Arial" w:hAnsi="Arial" w:cs="Arial"/>
        </w:rPr>
        <w:br w:type="page"/>
      </w:r>
    </w:p>
    <w:bookmarkStart w:id="0" w:name="_Toc157769798" w:displacedByCustomXml="next"/>
    <w:bookmarkStart w:id="1" w:name="_Toc157768487" w:displacedByCustomXml="next"/>
    <w:bookmarkStart w:id="2" w:name="_Toc157678390" w:displacedByCustomXml="next"/>
    <w:sdt>
      <w:sdtPr>
        <w:rPr>
          <w:rFonts w:ascii="Arial" w:eastAsia="Calibri" w:hAnsi="Arial" w:cs="Arial"/>
          <w:color w:val="000000"/>
          <w:sz w:val="24"/>
          <w:szCs w:val="22"/>
          <w:lang w:val="en-GB"/>
        </w:rPr>
        <w:id w:val="-1170710280"/>
        <w:docPartObj>
          <w:docPartGallery w:val="Table of Contents"/>
          <w:docPartUnique/>
        </w:docPartObj>
      </w:sdtPr>
      <w:sdtEndPr>
        <w:rPr>
          <w:b/>
          <w:bCs/>
          <w:noProof/>
        </w:rPr>
      </w:sdtEndPr>
      <w:sdtContent>
        <w:p w14:paraId="672D9F37" w14:textId="77777777" w:rsidR="006626A5" w:rsidRDefault="00915F02" w:rsidP="003369A0">
          <w:pPr>
            <w:pStyle w:val="TOCHeading"/>
            <w:spacing w:line="360" w:lineRule="auto"/>
            <w:rPr>
              <w:noProof/>
            </w:rPr>
          </w:pPr>
          <w:r w:rsidRPr="0054781B">
            <w:rPr>
              <w:rFonts w:ascii="Arial" w:hAnsi="Arial" w:cs="Arial"/>
            </w:rPr>
            <w:t>Table of Contents</w:t>
          </w:r>
          <w:bookmarkEnd w:id="2"/>
          <w:bookmarkEnd w:id="1"/>
          <w:bookmarkEnd w:id="0"/>
          <w:r w:rsidRPr="0054781B">
            <w:rPr>
              <w:rFonts w:ascii="Arial" w:hAnsi="Arial" w:cs="Arial"/>
            </w:rPr>
            <w:fldChar w:fldCharType="begin"/>
          </w:r>
          <w:r w:rsidRPr="0054781B">
            <w:rPr>
              <w:rFonts w:ascii="Arial" w:hAnsi="Arial" w:cs="Arial"/>
            </w:rPr>
            <w:instrText xml:space="preserve"> TOC \o "1-3" \h \z \u </w:instrText>
          </w:r>
          <w:r w:rsidRPr="0054781B">
            <w:rPr>
              <w:rFonts w:ascii="Arial" w:hAnsi="Arial" w:cs="Arial"/>
            </w:rPr>
            <w:fldChar w:fldCharType="separate"/>
          </w:r>
        </w:p>
        <w:p w14:paraId="5C41FC16" w14:textId="7EC47833" w:rsidR="006626A5" w:rsidRDefault="006626A5">
          <w:pPr>
            <w:pStyle w:val="TOC1"/>
            <w:tabs>
              <w:tab w:val="right" w:leader="dot" w:pos="9350"/>
            </w:tabs>
            <w:rPr>
              <w:rFonts w:asciiTheme="minorHAnsi" w:eastAsiaTheme="minorEastAsia" w:hAnsiTheme="minorHAnsi" w:cstheme="minorBidi"/>
              <w:noProof/>
              <w:color w:val="auto"/>
              <w:kern w:val="2"/>
              <w:sz w:val="22"/>
              <w:lang w:eastAsia="en-GB"/>
              <w14:ligatures w14:val="standardContextual"/>
            </w:rPr>
          </w:pPr>
          <w:hyperlink w:anchor="_Toc157769798" w:history="1">
            <w:r w:rsidRPr="00617658">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_Toc157769798 \h </w:instrText>
            </w:r>
            <w:r>
              <w:rPr>
                <w:noProof/>
                <w:webHidden/>
              </w:rPr>
            </w:r>
            <w:r>
              <w:rPr>
                <w:noProof/>
                <w:webHidden/>
              </w:rPr>
              <w:fldChar w:fldCharType="separate"/>
            </w:r>
            <w:r>
              <w:rPr>
                <w:noProof/>
                <w:webHidden/>
              </w:rPr>
              <w:t>2</w:t>
            </w:r>
            <w:r>
              <w:rPr>
                <w:noProof/>
                <w:webHidden/>
              </w:rPr>
              <w:fldChar w:fldCharType="end"/>
            </w:r>
          </w:hyperlink>
        </w:p>
        <w:p w14:paraId="6A70C28A" w14:textId="75A5D078" w:rsidR="006626A5" w:rsidRDefault="006626A5">
          <w:pPr>
            <w:pStyle w:val="TOC1"/>
            <w:tabs>
              <w:tab w:val="right" w:leader="dot" w:pos="9350"/>
            </w:tabs>
            <w:rPr>
              <w:rFonts w:asciiTheme="minorHAnsi" w:eastAsiaTheme="minorEastAsia" w:hAnsiTheme="minorHAnsi" w:cstheme="minorBidi"/>
              <w:noProof/>
              <w:color w:val="auto"/>
              <w:kern w:val="2"/>
              <w:sz w:val="22"/>
              <w:lang w:eastAsia="en-GB"/>
              <w14:ligatures w14:val="standardContextual"/>
            </w:rPr>
          </w:pPr>
          <w:hyperlink w:anchor="_Toc157769799" w:history="1">
            <w:r w:rsidRPr="0061765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_Toc157769799 \h </w:instrText>
            </w:r>
            <w:r>
              <w:rPr>
                <w:noProof/>
                <w:webHidden/>
              </w:rPr>
            </w:r>
            <w:r>
              <w:rPr>
                <w:noProof/>
                <w:webHidden/>
              </w:rPr>
              <w:fldChar w:fldCharType="separate"/>
            </w:r>
            <w:r>
              <w:rPr>
                <w:noProof/>
                <w:webHidden/>
              </w:rPr>
              <w:t>3</w:t>
            </w:r>
            <w:r>
              <w:rPr>
                <w:noProof/>
                <w:webHidden/>
              </w:rPr>
              <w:fldChar w:fldCharType="end"/>
            </w:r>
          </w:hyperlink>
        </w:p>
        <w:p w14:paraId="02E40D37" w14:textId="3724BBC4" w:rsidR="006626A5" w:rsidRDefault="006626A5">
          <w:pPr>
            <w:pStyle w:val="TOC2"/>
            <w:tabs>
              <w:tab w:val="right" w:leader="dot" w:pos="9350"/>
            </w:tabs>
            <w:rPr>
              <w:rFonts w:asciiTheme="minorHAnsi" w:eastAsiaTheme="minorEastAsia" w:hAnsiTheme="minorHAnsi" w:cstheme="minorBidi"/>
              <w:noProof/>
              <w:color w:val="auto"/>
              <w:kern w:val="2"/>
              <w:sz w:val="22"/>
              <w:lang w:eastAsia="en-GB"/>
              <w14:ligatures w14:val="standardContextual"/>
            </w:rPr>
          </w:pPr>
          <w:hyperlink w:anchor="_Toc157769800" w:history="1">
            <w:r w:rsidRPr="00617658">
              <w:rPr>
                <w:rStyle w:val="Hyperlink"/>
                <w:noProof/>
              </w:rPr>
              <w:t>MAIN TASKS</w:t>
            </w:r>
            <w:r>
              <w:rPr>
                <w:noProof/>
                <w:webHidden/>
              </w:rPr>
              <w:tab/>
            </w:r>
            <w:r>
              <w:rPr>
                <w:noProof/>
                <w:webHidden/>
              </w:rPr>
              <w:fldChar w:fldCharType="begin"/>
            </w:r>
            <w:r>
              <w:rPr>
                <w:noProof/>
                <w:webHidden/>
              </w:rPr>
              <w:instrText xml:space="preserve"> PAGEREF _Toc157769800 \h </w:instrText>
            </w:r>
            <w:r>
              <w:rPr>
                <w:noProof/>
                <w:webHidden/>
              </w:rPr>
            </w:r>
            <w:r>
              <w:rPr>
                <w:noProof/>
                <w:webHidden/>
              </w:rPr>
              <w:fldChar w:fldCharType="separate"/>
            </w:r>
            <w:r>
              <w:rPr>
                <w:noProof/>
                <w:webHidden/>
              </w:rPr>
              <w:t>3</w:t>
            </w:r>
            <w:r>
              <w:rPr>
                <w:noProof/>
                <w:webHidden/>
              </w:rPr>
              <w:fldChar w:fldCharType="end"/>
            </w:r>
          </w:hyperlink>
        </w:p>
        <w:p w14:paraId="01DBABBC" w14:textId="2544F634" w:rsidR="006626A5" w:rsidRDefault="006626A5">
          <w:pPr>
            <w:pStyle w:val="TOC3"/>
            <w:rPr>
              <w:rFonts w:asciiTheme="minorHAnsi" w:eastAsiaTheme="minorEastAsia" w:hAnsiTheme="minorHAnsi" w:cstheme="minorBidi"/>
              <w:noProof/>
              <w:color w:val="auto"/>
              <w:kern w:val="2"/>
              <w:sz w:val="22"/>
              <w:lang w:eastAsia="en-GB"/>
              <w14:ligatures w14:val="standardContextual"/>
            </w:rPr>
          </w:pPr>
          <w:hyperlink w:anchor="_Toc157769801" w:history="1">
            <w:r w:rsidRPr="00617658">
              <w:rPr>
                <w:rStyle w:val="Hyperlink"/>
                <w:noProof/>
              </w:rPr>
              <w:t>Total revenue</w:t>
            </w:r>
            <w:r>
              <w:rPr>
                <w:noProof/>
                <w:webHidden/>
              </w:rPr>
              <w:tab/>
            </w:r>
            <w:r>
              <w:rPr>
                <w:noProof/>
                <w:webHidden/>
              </w:rPr>
              <w:fldChar w:fldCharType="begin"/>
            </w:r>
            <w:r>
              <w:rPr>
                <w:noProof/>
                <w:webHidden/>
              </w:rPr>
              <w:instrText xml:space="preserve"> PAGEREF _Toc157769801 \h </w:instrText>
            </w:r>
            <w:r>
              <w:rPr>
                <w:noProof/>
                <w:webHidden/>
              </w:rPr>
            </w:r>
            <w:r>
              <w:rPr>
                <w:noProof/>
                <w:webHidden/>
              </w:rPr>
              <w:fldChar w:fldCharType="separate"/>
            </w:r>
            <w:r>
              <w:rPr>
                <w:noProof/>
                <w:webHidden/>
              </w:rPr>
              <w:t>3</w:t>
            </w:r>
            <w:r>
              <w:rPr>
                <w:noProof/>
                <w:webHidden/>
              </w:rPr>
              <w:fldChar w:fldCharType="end"/>
            </w:r>
          </w:hyperlink>
        </w:p>
        <w:p w14:paraId="6357F9FA" w14:textId="4E563C26" w:rsidR="006626A5" w:rsidRDefault="006626A5">
          <w:pPr>
            <w:pStyle w:val="TOC3"/>
            <w:rPr>
              <w:rFonts w:asciiTheme="minorHAnsi" w:eastAsiaTheme="minorEastAsia" w:hAnsiTheme="minorHAnsi" w:cstheme="minorBidi"/>
              <w:noProof/>
              <w:color w:val="auto"/>
              <w:kern w:val="2"/>
              <w:sz w:val="22"/>
              <w:lang w:eastAsia="en-GB"/>
              <w14:ligatures w14:val="standardContextual"/>
            </w:rPr>
          </w:pPr>
          <w:hyperlink w:anchor="_Toc157769802" w:history="1">
            <w:r w:rsidRPr="00617658">
              <w:rPr>
                <w:rStyle w:val="Hyperlink"/>
                <w:noProof/>
              </w:rPr>
              <w:t>Market position</w:t>
            </w:r>
            <w:r>
              <w:rPr>
                <w:noProof/>
                <w:webHidden/>
              </w:rPr>
              <w:tab/>
            </w:r>
            <w:r>
              <w:rPr>
                <w:noProof/>
                <w:webHidden/>
              </w:rPr>
              <w:fldChar w:fldCharType="begin"/>
            </w:r>
            <w:r>
              <w:rPr>
                <w:noProof/>
                <w:webHidden/>
              </w:rPr>
              <w:instrText xml:space="preserve"> PAGEREF _Toc157769802 \h </w:instrText>
            </w:r>
            <w:r>
              <w:rPr>
                <w:noProof/>
                <w:webHidden/>
              </w:rPr>
            </w:r>
            <w:r>
              <w:rPr>
                <w:noProof/>
                <w:webHidden/>
              </w:rPr>
              <w:fldChar w:fldCharType="separate"/>
            </w:r>
            <w:r>
              <w:rPr>
                <w:noProof/>
                <w:webHidden/>
              </w:rPr>
              <w:t>4</w:t>
            </w:r>
            <w:r>
              <w:rPr>
                <w:noProof/>
                <w:webHidden/>
              </w:rPr>
              <w:fldChar w:fldCharType="end"/>
            </w:r>
          </w:hyperlink>
        </w:p>
        <w:p w14:paraId="411DE2E0" w14:textId="46CA62BB" w:rsidR="006626A5" w:rsidRDefault="006626A5">
          <w:pPr>
            <w:pStyle w:val="TOC3"/>
            <w:rPr>
              <w:rFonts w:asciiTheme="minorHAnsi" w:eastAsiaTheme="minorEastAsia" w:hAnsiTheme="minorHAnsi" w:cstheme="minorBidi"/>
              <w:noProof/>
              <w:color w:val="auto"/>
              <w:kern w:val="2"/>
              <w:sz w:val="22"/>
              <w:lang w:eastAsia="en-GB"/>
              <w14:ligatures w14:val="standardContextual"/>
            </w:rPr>
          </w:pPr>
          <w:hyperlink w:anchor="_Toc157769803" w:history="1">
            <w:r w:rsidRPr="00617658">
              <w:rPr>
                <w:rStyle w:val="Hyperlink"/>
                <w:noProof/>
              </w:rPr>
              <w:t>Growth potential</w:t>
            </w:r>
            <w:r>
              <w:rPr>
                <w:noProof/>
                <w:webHidden/>
              </w:rPr>
              <w:tab/>
            </w:r>
            <w:r>
              <w:rPr>
                <w:noProof/>
                <w:webHidden/>
              </w:rPr>
              <w:fldChar w:fldCharType="begin"/>
            </w:r>
            <w:r>
              <w:rPr>
                <w:noProof/>
                <w:webHidden/>
              </w:rPr>
              <w:instrText xml:space="preserve"> PAGEREF _Toc157769803 \h </w:instrText>
            </w:r>
            <w:r>
              <w:rPr>
                <w:noProof/>
                <w:webHidden/>
              </w:rPr>
            </w:r>
            <w:r>
              <w:rPr>
                <w:noProof/>
                <w:webHidden/>
              </w:rPr>
              <w:fldChar w:fldCharType="separate"/>
            </w:r>
            <w:r>
              <w:rPr>
                <w:noProof/>
                <w:webHidden/>
              </w:rPr>
              <w:t>6</w:t>
            </w:r>
            <w:r>
              <w:rPr>
                <w:noProof/>
                <w:webHidden/>
              </w:rPr>
              <w:fldChar w:fldCharType="end"/>
            </w:r>
          </w:hyperlink>
        </w:p>
        <w:p w14:paraId="329595A0" w14:textId="3445AFC6" w:rsidR="006626A5" w:rsidRDefault="006626A5">
          <w:pPr>
            <w:pStyle w:val="TOC3"/>
            <w:rPr>
              <w:rFonts w:asciiTheme="minorHAnsi" w:eastAsiaTheme="minorEastAsia" w:hAnsiTheme="minorHAnsi" w:cstheme="minorBidi"/>
              <w:noProof/>
              <w:color w:val="auto"/>
              <w:kern w:val="2"/>
              <w:sz w:val="22"/>
              <w:lang w:eastAsia="en-GB"/>
              <w14:ligatures w14:val="standardContextual"/>
            </w:rPr>
          </w:pPr>
          <w:hyperlink w:anchor="_Toc157769804" w:history="1">
            <w:r w:rsidRPr="00617658">
              <w:rPr>
                <w:rStyle w:val="Hyperlink"/>
                <w:noProof/>
              </w:rPr>
              <w:t>Industry growth</w:t>
            </w:r>
            <w:r>
              <w:rPr>
                <w:noProof/>
                <w:webHidden/>
              </w:rPr>
              <w:tab/>
            </w:r>
            <w:r>
              <w:rPr>
                <w:noProof/>
                <w:webHidden/>
              </w:rPr>
              <w:fldChar w:fldCharType="begin"/>
            </w:r>
            <w:r>
              <w:rPr>
                <w:noProof/>
                <w:webHidden/>
              </w:rPr>
              <w:instrText xml:space="preserve"> PAGEREF _Toc157769804 \h </w:instrText>
            </w:r>
            <w:r>
              <w:rPr>
                <w:noProof/>
                <w:webHidden/>
              </w:rPr>
            </w:r>
            <w:r>
              <w:rPr>
                <w:noProof/>
                <w:webHidden/>
              </w:rPr>
              <w:fldChar w:fldCharType="separate"/>
            </w:r>
            <w:r>
              <w:rPr>
                <w:noProof/>
                <w:webHidden/>
              </w:rPr>
              <w:t>6</w:t>
            </w:r>
            <w:r>
              <w:rPr>
                <w:noProof/>
                <w:webHidden/>
              </w:rPr>
              <w:fldChar w:fldCharType="end"/>
            </w:r>
          </w:hyperlink>
        </w:p>
        <w:p w14:paraId="2F99E455" w14:textId="06E70DC3" w:rsidR="006626A5" w:rsidRDefault="006626A5">
          <w:pPr>
            <w:pStyle w:val="TOC3"/>
            <w:rPr>
              <w:rFonts w:asciiTheme="minorHAnsi" w:eastAsiaTheme="minorEastAsia" w:hAnsiTheme="minorHAnsi" w:cstheme="minorBidi"/>
              <w:noProof/>
              <w:color w:val="auto"/>
              <w:kern w:val="2"/>
              <w:sz w:val="22"/>
              <w:lang w:eastAsia="en-GB"/>
              <w14:ligatures w14:val="standardContextual"/>
            </w:rPr>
          </w:pPr>
          <w:hyperlink w:anchor="_Toc157769805" w:history="1">
            <w:r w:rsidRPr="00617658">
              <w:rPr>
                <w:rStyle w:val="Hyperlink"/>
                <w:noProof/>
              </w:rPr>
              <w:t>Financial commitment to CSR (corporate social responsibility)</w:t>
            </w:r>
            <w:r>
              <w:rPr>
                <w:noProof/>
                <w:webHidden/>
              </w:rPr>
              <w:tab/>
            </w:r>
            <w:r>
              <w:rPr>
                <w:noProof/>
                <w:webHidden/>
              </w:rPr>
              <w:fldChar w:fldCharType="begin"/>
            </w:r>
            <w:r>
              <w:rPr>
                <w:noProof/>
                <w:webHidden/>
              </w:rPr>
              <w:instrText xml:space="preserve"> PAGEREF _Toc157769805 \h </w:instrText>
            </w:r>
            <w:r>
              <w:rPr>
                <w:noProof/>
                <w:webHidden/>
              </w:rPr>
            </w:r>
            <w:r>
              <w:rPr>
                <w:noProof/>
                <w:webHidden/>
              </w:rPr>
              <w:fldChar w:fldCharType="separate"/>
            </w:r>
            <w:r>
              <w:rPr>
                <w:noProof/>
                <w:webHidden/>
              </w:rPr>
              <w:t>7</w:t>
            </w:r>
            <w:r>
              <w:rPr>
                <w:noProof/>
                <w:webHidden/>
              </w:rPr>
              <w:fldChar w:fldCharType="end"/>
            </w:r>
          </w:hyperlink>
        </w:p>
        <w:p w14:paraId="3DD9561D" w14:textId="583F22F5" w:rsidR="006626A5" w:rsidRDefault="006626A5">
          <w:pPr>
            <w:pStyle w:val="TOC3"/>
            <w:rPr>
              <w:rFonts w:asciiTheme="minorHAnsi" w:eastAsiaTheme="minorEastAsia" w:hAnsiTheme="minorHAnsi" w:cstheme="minorBidi"/>
              <w:noProof/>
              <w:color w:val="auto"/>
              <w:kern w:val="2"/>
              <w:sz w:val="22"/>
              <w:lang w:eastAsia="en-GB"/>
              <w14:ligatures w14:val="standardContextual"/>
            </w:rPr>
          </w:pPr>
          <w:hyperlink w:anchor="_Toc157769806" w:history="1">
            <w:r w:rsidRPr="00617658">
              <w:rPr>
                <w:rStyle w:val="Hyperlink"/>
                <w:noProof/>
              </w:rPr>
              <w:t>Analysis or comparison of the Ibis group and Corinthia group</w:t>
            </w:r>
            <w:r>
              <w:rPr>
                <w:noProof/>
                <w:webHidden/>
              </w:rPr>
              <w:tab/>
            </w:r>
            <w:r>
              <w:rPr>
                <w:noProof/>
                <w:webHidden/>
              </w:rPr>
              <w:fldChar w:fldCharType="begin"/>
            </w:r>
            <w:r>
              <w:rPr>
                <w:noProof/>
                <w:webHidden/>
              </w:rPr>
              <w:instrText xml:space="preserve"> PAGEREF _Toc157769806 \h </w:instrText>
            </w:r>
            <w:r>
              <w:rPr>
                <w:noProof/>
                <w:webHidden/>
              </w:rPr>
            </w:r>
            <w:r>
              <w:rPr>
                <w:noProof/>
                <w:webHidden/>
              </w:rPr>
              <w:fldChar w:fldCharType="separate"/>
            </w:r>
            <w:r>
              <w:rPr>
                <w:noProof/>
                <w:webHidden/>
              </w:rPr>
              <w:t>9</w:t>
            </w:r>
            <w:r>
              <w:rPr>
                <w:noProof/>
                <w:webHidden/>
              </w:rPr>
              <w:fldChar w:fldCharType="end"/>
            </w:r>
          </w:hyperlink>
        </w:p>
        <w:p w14:paraId="55C96A14" w14:textId="3FA639DB" w:rsidR="006626A5" w:rsidRDefault="006626A5">
          <w:pPr>
            <w:pStyle w:val="TOC1"/>
            <w:tabs>
              <w:tab w:val="right" w:leader="dot" w:pos="9350"/>
            </w:tabs>
            <w:rPr>
              <w:rFonts w:asciiTheme="minorHAnsi" w:eastAsiaTheme="minorEastAsia" w:hAnsiTheme="minorHAnsi" w:cstheme="minorBidi"/>
              <w:noProof/>
              <w:color w:val="auto"/>
              <w:kern w:val="2"/>
              <w:sz w:val="22"/>
              <w:lang w:eastAsia="en-GB"/>
              <w14:ligatures w14:val="standardContextual"/>
            </w:rPr>
          </w:pPr>
          <w:hyperlink w:anchor="_Toc157769807" w:history="1">
            <w:r w:rsidRPr="0061765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_Toc157769807 \h </w:instrText>
            </w:r>
            <w:r>
              <w:rPr>
                <w:noProof/>
                <w:webHidden/>
              </w:rPr>
            </w:r>
            <w:r>
              <w:rPr>
                <w:noProof/>
                <w:webHidden/>
              </w:rPr>
              <w:fldChar w:fldCharType="separate"/>
            </w:r>
            <w:r>
              <w:rPr>
                <w:noProof/>
                <w:webHidden/>
              </w:rPr>
              <w:t>10</w:t>
            </w:r>
            <w:r>
              <w:rPr>
                <w:noProof/>
                <w:webHidden/>
              </w:rPr>
              <w:fldChar w:fldCharType="end"/>
            </w:r>
          </w:hyperlink>
        </w:p>
        <w:p w14:paraId="2AF76F69" w14:textId="7F112CC6" w:rsidR="006626A5" w:rsidRDefault="006626A5">
          <w:pPr>
            <w:pStyle w:val="TOC1"/>
            <w:tabs>
              <w:tab w:val="right" w:leader="dot" w:pos="9350"/>
            </w:tabs>
            <w:rPr>
              <w:rFonts w:asciiTheme="minorHAnsi" w:eastAsiaTheme="minorEastAsia" w:hAnsiTheme="minorHAnsi" w:cstheme="minorBidi"/>
              <w:noProof/>
              <w:color w:val="auto"/>
              <w:kern w:val="2"/>
              <w:sz w:val="22"/>
              <w:lang w:eastAsia="en-GB"/>
              <w14:ligatures w14:val="standardContextual"/>
            </w:rPr>
          </w:pPr>
          <w:hyperlink w:anchor="_Toc157769808" w:history="1">
            <w:r w:rsidRPr="0061765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_Toc157769808 \h </w:instrText>
            </w:r>
            <w:r>
              <w:rPr>
                <w:noProof/>
                <w:webHidden/>
              </w:rPr>
            </w:r>
            <w:r>
              <w:rPr>
                <w:noProof/>
                <w:webHidden/>
              </w:rPr>
              <w:fldChar w:fldCharType="separate"/>
            </w:r>
            <w:r>
              <w:rPr>
                <w:noProof/>
                <w:webHidden/>
              </w:rPr>
              <w:t>11</w:t>
            </w:r>
            <w:r>
              <w:rPr>
                <w:noProof/>
                <w:webHidden/>
              </w:rPr>
              <w:fldChar w:fldCharType="end"/>
            </w:r>
          </w:hyperlink>
        </w:p>
        <w:p w14:paraId="7179E96E" w14:textId="68B3C14F" w:rsidR="006626A5" w:rsidRDefault="006626A5">
          <w:pPr>
            <w:pStyle w:val="TOC1"/>
            <w:tabs>
              <w:tab w:val="right" w:leader="dot" w:pos="9350"/>
            </w:tabs>
            <w:rPr>
              <w:rFonts w:asciiTheme="minorHAnsi" w:eastAsiaTheme="minorEastAsia" w:hAnsiTheme="minorHAnsi" w:cstheme="minorBidi"/>
              <w:noProof/>
              <w:color w:val="auto"/>
              <w:kern w:val="2"/>
              <w:sz w:val="22"/>
              <w:lang w:eastAsia="en-GB"/>
              <w14:ligatures w14:val="standardContextual"/>
            </w:rPr>
          </w:pPr>
          <w:hyperlink w:anchor="_Toc157769809" w:history="1">
            <w:r w:rsidRPr="0061765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_Toc157769809 \h </w:instrText>
            </w:r>
            <w:r>
              <w:rPr>
                <w:noProof/>
                <w:webHidden/>
              </w:rPr>
            </w:r>
            <w:r>
              <w:rPr>
                <w:noProof/>
                <w:webHidden/>
              </w:rPr>
              <w:fldChar w:fldCharType="separate"/>
            </w:r>
            <w:r>
              <w:rPr>
                <w:noProof/>
                <w:webHidden/>
              </w:rPr>
              <w:t>12</w:t>
            </w:r>
            <w:r>
              <w:rPr>
                <w:noProof/>
                <w:webHidden/>
              </w:rPr>
              <w:fldChar w:fldCharType="end"/>
            </w:r>
          </w:hyperlink>
        </w:p>
        <w:p w14:paraId="5DA55981" w14:textId="06A09E5D" w:rsidR="00915F02" w:rsidRPr="0054781B" w:rsidRDefault="00915F02" w:rsidP="0054781B">
          <w:pPr>
            <w:rPr>
              <w:rFonts w:ascii="Arial" w:hAnsi="Arial" w:cs="Arial"/>
            </w:rPr>
          </w:pPr>
          <w:r w:rsidRPr="0054781B">
            <w:rPr>
              <w:rFonts w:ascii="Arial" w:hAnsi="Arial" w:cs="Arial"/>
              <w:b/>
              <w:bCs/>
              <w:noProof/>
            </w:rPr>
            <w:fldChar w:fldCharType="end"/>
          </w:r>
        </w:p>
      </w:sdtContent>
    </w:sdt>
    <w:p w14:paraId="2B67880D" w14:textId="77777777" w:rsidR="00915F02" w:rsidRPr="0054781B" w:rsidRDefault="00915F02" w:rsidP="0054781B">
      <w:pPr>
        <w:suppressAutoHyphens w:val="0"/>
        <w:jc w:val="left"/>
        <w:rPr>
          <w:rFonts w:ascii="Arial" w:eastAsia="Times New Roman" w:hAnsi="Arial" w:cs="Arial"/>
          <w:b/>
          <w:bCs/>
          <w:sz w:val="28"/>
          <w:szCs w:val="28"/>
        </w:rPr>
      </w:pPr>
      <w:r w:rsidRPr="0054781B">
        <w:rPr>
          <w:rFonts w:ascii="Arial" w:eastAsia="Times New Roman" w:hAnsi="Arial" w:cs="Arial"/>
          <w:b/>
          <w:bCs/>
          <w:sz w:val="28"/>
          <w:szCs w:val="28"/>
        </w:rPr>
        <w:br w:type="page"/>
      </w:r>
    </w:p>
    <w:p w14:paraId="3DDB1A90" w14:textId="77777777" w:rsidR="00915F02" w:rsidRPr="0054781B" w:rsidRDefault="00915F02" w:rsidP="0054781B">
      <w:pPr>
        <w:suppressAutoHyphens w:val="0"/>
        <w:jc w:val="left"/>
        <w:rPr>
          <w:rFonts w:ascii="Arial" w:eastAsia="Times New Roman" w:hAnsi="Arial" w:cs="Arial"/>
          <w:b/>
          <w:bCs/>
          <w:sz w:val="28"/>
          <w:szCs w:val="28"/>
        </w:rPr>
      </w:pPr>
    </w:p>
    <w:p w14:paraId="1996D6DD" w14:textId="77777777" w:rsidR="00751789" w:rsidRPr="0054781B" w:rsidRDefault="00FD0425" w:rsidP="0054781B">
      <w:pPr>
        <w:pStyle w:val="Heading1"/>
        <w:numPr>
          <w:ilvl w:val="0"/>
          <w:numId w:val="0"/>
        </w:numPr>
        <w:rPr>
          <w:rFonts w:ascii="Arial" w:hAnsi="Arial" w:cs="Arial"/>
        </w:rPr>
      </w:pPr>
      <w:bookmarkStart w:id="3" w:name="_Toc157769799"/>
      <w:r w:rsidRPr="0054781B">
        <w:rPr>
          <w:rFonts w:ascii="Arial" w:hAnsi="Arial" w:cs="Arial"/>
        </w:rPr>
        <w:t>INTRODUCTION</w:t>
      </w:r>
      <w:bookmarkEnd w:id="3"/>
    </w:p>
    <w:p w14:paraId="4ABD99E0" w14:textId="6542485E" w:rsidR="00C77547" w:rsidRDefault="00C77547" w:rsidP="0054781B">
      <w:pPr>
        <w:rPr>
          <w:rFonts w:ascii="Arial" w:hAnsi="Arial" w:cs="Arial"/>
        </w:rPr>
      </w:pPr>
      <w:r w:rsidRPr="0054781B">
        <w:rPr>
          <w:rFonts w:ascii="Arial" w:hAnsi="Arial" w:cs="Arial"/>
        </w:rPr>
        <w:t xml:space="preserve">Financial aspects in the enterprise are considered for evaluating the actual position after evaluating the key determinants considered in the business operations. The report has been prepared to evaluate the various types of approaches regarding the management of finances which directly or indirectly impacts the sustainability as well as performances of the Corinthia hotel group and Ibis hotels. </w:t>
      </w:r>
      <w:r w:rsidR="00E07BCE" w:rsidRPr="0054781B">
        <w:rPr>
          <w:rFonts w:ascii="Arial" w:hAnsi="Arial" w:cs="Arial"/>
        </w:rPr>
        <w:t xml:space="preserve">Corinthia hotel group is the real estate and hotel developer as well as operator organisation which is headquartered </w:t>
      </w:r>
      <w:r w:rsidR="00A22AD2" w:rsidRPr="0054781B">
        <w:rPr>
          <w:rFonts w:ascii="Arial" w:hAnsi="Arial" w:cs="Arial"/>
        </w:rPr>
        <w:t>in</w:t>
      </w:r>
      <w:r w:rsidR="00E07BCE" w:rsidRPr="0054781B">
        <w:rPr>
          <w:rFonts w:ascii="Arial" w:hAnsi="Arial" w:cs="Arial"/>
        </w:rPr>
        <w:t xml:space="preserve"> Malta and has developed Malta’s first deluxe hotels while Ibis hotels is headquartered </w:t>
      </w:r>
      <w:r w:rsidR="00A22AD2" w:rsidRPr="0054781B">
        <w:rPr>
          <w:rFonts w:ascii="Arial" w:hAnsi="Arial" w:cs="Arial"/>
        </w:rPr>
        <w:t>in</w:t>
      </w:r>
      <w:r w:rsidR="00E07BCE" w:rsidRPr="0054781B">
        <w:rPr>
          <w:rFonts w:ascii="Arial" w:hAnsi="Arial" w:cs="Arial"/>
        </w:rPr>
        <w:t xml:space="preserve"> France which is known for its stylish as well as budgeted hotel worldwide. </w:t>
      </w:r>
      <w:r w:rsidRPr="0054781B">
        <w:rPr>
          <w:rFonts w:ascii="Arial" w:hAnsi="Arial" w:cs="Arial"/>
        </w:rPr>
        <w:t>The aspect which are used for financial evaluation are total revenue, growth potential, corporate social responsibility as well as position in the market of both the considered business groups</w:t>
      </w:r>
      <w:r w:rsidR="00E07BCE" w:rsidRPr="0054781B">
        <w:rPr>
          <w:rFonts w:ascii="Arial" w:hAnsi="Arial" w:cs="Arial"/>
        </w:rPr>
        <w:t xml:space="preserve">. </w:t>
      </w:r>
    </w:p>
    <w:p w14:paraId="4291428E" w14:textId="77777777" w:rsidR="001C371A" w:rsidRPr="0054781B" w:rsidRDefault="001C371A" w:rsidP="0054781B">
      <w:pPr>
        <w:rPr>
          <w:rFonts w:ascii="Arial" w:hAnsi="Arial" w:cs="Arial"/>
        </w:rPr>
      </w:pPr>
    </w:p>
    <w:p w14:paraId="66C50C0D" w14:textId="77777777" w:rsidR="000B14A4" w:rsidRPr="0054781B" w:rsidRDefault="000B14A4" w:rsidP="0054781B">
      <w:pPr>
        <w:rPr>
          <w:rFonts w:ascii="Arial" w:hAnsi="Arial" w:cs="Arial"/>
        </w:rPr>
      </w:pPr>
    </w:p>
    <w:p w14:paraId="306C3B38" w14:textId="5826D87A" w:rsidR="000B14A4" w:rsidRPr="00DD5F32" w:rsidRDefault="00C77547" w:rsidP="00765891">
      <w:pPr>
        <w:pStyle w:val="Heading2"/>
      </w:pPr>
      <w:bookmarkStart w:id="4" w:name="_Toc157769800"/>
      <w:r w:rsidRPr="00DD5F32">
        <w:t>MAIN TASK</w:t>
      </w:r>
      <w:r w:rsidR="009547DA" w:rsidRPr="00DD5F32">
        <w:t>S</w:t>
      </w:r>
      <w:bookmarkEnd w:id="4"/>
    </w:p>
    <w:p w14:paraId="4328ADC8" w14:textId="77777777" w:rsidR="00C77547" w:rsidRPr="0054781B" w:rsidRDefault="00C77547" w:rsidP="00D60670">
      <w:pPr>
        <w:pStyle w:val="Heading3"/>
      </w:pPr>
      <w:bookmarkStart w:id="5" w:name="_Toc157769801"/>
      <w:r w:rsidRPr="0054781B">
        <w:t>Total revenue</w:t>
      </w:r>
      <w:bookmarkEnd w:id="5"/>
    </w:p>
    <w:p w14:paraId="0A9FB4B7" w14:textId="77777777" w:rsidR="00915F02" w:rsidRPr="0054781B" w:rsidRDefault="00B00BB2" w:rsidP="0054781B">
      <w:pPr>
        <w:ind w:left="720"/>
        <w:rPr>
          <w:rFonts w:ascii="Arial" w:hAnsi="Arial" w:cs="Arial"/>
        </w:rPr>
      </w:pPr>
      <w:r w:rsidRPr="0054781B">
        <w:rPr>
          <w:rFonts w:ascii="Arial" w:hAnsi="Arial" w:cs="Arial"/>
        </w:rPr>
        <w:t>The total revenue is used for the pu</w:t>
      </w:r>
      <w:r w:rsidR="00C1260D" w:rsidRPr="0054781B">
        <w:rPr>
          <w:rFonts w:ascii="Arial" w:hAnsi="Arial" w:cs="Arial"/>
        </w:rPr>
        <w:t>rpose of analysis that how much revenue has been earned by the organisation during the fiscal year. The Corinthia hotel group has earned about 1</w:t>
      </w:r>
      <w:r w:rsidR="00915F02" w:rsidRPr="0054781B">
        <w:rPr>
          <w:rFonts w:ascii="Arial" w:hAnsi="Arial" w:cs="Arial"/>
        </w:rPr>
        <w:t>29,266,000</w:t>
      </w:r>
      <w:r w:rsidR="00C1260D" w:rsidRPr="0054781B">
        <w:rPr>
          <w:rFonts w:ascii="Arial" w:hAnsi="Arial" w:cs="Arial"/>
        </w:rPr>
        <w:t xml:space="preserve"> € in the financial year 2021 that shows the good growth from the previous year that was € 91909. This is the growth which is about the half of the revenue amount that was recorded</w:t>
      </w:r>
      <w:r w:rsidR="003F138F" w:rsidRPr="0054781B">
        <w:rPr>
          <w:rFonts w:ascii="Arial" w:hAnsi="Arial" w:cs="Arial"/>
        </w:rPr>
        <w:t xml:space="preserve"> as 41 % growth from</w:t>
      </w:r>
      <w:r w:rsidR="00C1260D" w:rsidRPr="0054781B">
        <w:rPr>
          <w:rFonts w:ascii="Arial" w:hAnsi="Arial" w:cs="Arial"/>
        </w:rPr>
        <w:t xml:space="preserve"> the year 2019</w:t>
      </w:r>
      <w:r w:rsidR="00B32F40" w:rsidRPr="0054781B">
        <w:rPr>
          <w:rFonts w:ascii="Arial" w:hAnsi="Arial" w:cs="Arial"/>
        </w:rPr>
        <w:t xml:space="preserve"> (Nga, 2020)</w:t>
      </w:r>
      <w:r w:rsidR="00C1260D" w:rsidRPr="0054781B">
        <w:rPr>
          <w:rFonts w:ascii="Arial" w:hAnsi="Arial" w:cs="Arial"/>
        </w:rPr>
        <w:t xml:space="preserve">. The income 129266 consist of the revenue from the owned hotel revenue, catering income, fee earned by the third party as well as rental income which are 102997, 10121, 5898 and 10250 € respectively. </w:t>
      </w:r>
      <w:r w:rsidR="00A45442" w:rsidRPr="0054781B">
        <w:rPr>
          <w:rFonts w:ascii="Arial" w:hAnsi="Arial" w:cs="Arial"/>
        </w:rPr>
        <w:t xml:space="preserve">Organisation has shown the good translation profit of about € 19.6 million with the relative loss of 44.7 million that was in the previous financial year. It has recorded about 65 million € of profits against the loss amount of 123.9 million of € incurred in the year 2020, surplus in working capital with 53.6 € million against the working capital which was negative 9.5 million. </w:t>
      </w:r>
      <w:r w:rsidR="00441DAA" w:rsidRPr="0054781B">
        <w:rPr>
          <w:rFonts w:ascii="Arial" w:hAnsi="Arial" w:cs="Arial"/>
        </w:rPr>
        <w:t xml:space="preserve">For the broader evaluation, the cash flow activities are </w:t>
      </w:r>
      <w:r w:rsidR="00441DAA" w:rsidRPr="0054781B">
        <w:rPr>
          <w:rFonts w:ascii="Arial" w:hAnsi="Arial" w:cs="Arial"/>
        </w:rPr>
        <w:lastRenderedPageBreak/>
        <w:t xml:space="preserve">considered where the amount of the gross profit being improved by the 67.697 percent from the amount 37953000 to 63646000. In terms of the assets and liabilities, the assets value had shown the growth by € 151130,000 with respect to the last year along with this, there is reduction in the current liabilities with 13.62 % although long term debts have shown increment. </w:t>
      </w:r>
    </w:p>
    <w:p w14:paraId="2BE488E7" w14:textId="1B1B9B3C" w:rsidR="006F6228" w:rsidRPr="0054781B" w:rsidRDefault="006F6228" w:rsidP="0054781B">
      <w:pPr>
        <w:ind w:left="720"/>
        <w:rPr>
          <w:rFonts w:ascii="Arial" w:hAnsi="Arial" w:cs="Arial"/>
        </w:rPr>
      </w:pPr>
      <w:r w:rsidRPr="0054781B">
        <w:rPr>
          <w:rFonts w:ascii="Arial" w:hAnsi="Arial" w:cs="Arial"/>
        </w:rPr>
        <w:t>Ibis hotel revenue is the part of the total revenue earned by the Accor. The hotel has earned about 1582 million of revenue in the year 2021 that shows the increment of 36 percent from the last financial year where the EBITDA has been increased to 5.8 % in year 2021 which was recorded as (22.5%) in previous year</w:t>
      </w:r>
      <w:r w:rsidR="00B32F40" w:rsidRPr="0054781B">
        <w:rPr>
          <w:rFonts w:ascii="Arial" w:hAnsi="Arial" w:cs="Arial"/>
        </w:rPr>
        <w:t xml:space="preserve"> (Demirçiftçi, and </w:t>
      </w:r>
      <w:r w:rsidR="00A22AD2" w:rsidRPr="0054781B">
        <w:rPr>
          <w:rFonts w:ascii="Arial" w:hAnsi="Arial" w:cs="Arial"/>
        </w:rPr>
        <w:t>Kizilirmak</w:t>
      </w:r>
      <w:r w:rsidR="00B32F40" w:rsidRPr="0054781B">
        <w:rPr>
          <w:rFonts w:ascii="Arial" w:hAnsi="Arial" w:cs="Arial"/>
        </w:rPr>
        <w:t>, 2016)</w:t>
      </w:r>
      <w:r w:rsidRPr="0054781B">
        <w:rPr>
          <w:rFonts w:ascii="Arial" w:hAnsi="Arial" w:cs="Arial"/>
        </w:rPr>
        <w:t>. (There is no specific data has b</w:t>
      </w:r>
      <w:r w:rsidR="00D6340B" w:rsidRPr="0054781B">
        <w:rPr>
          <w:rFonts w:ascii="Arial" w:hAnsi="Arial" w:cs="Arial"/>
        </w:rPr>
        <w:t>een provided for the IBIS hotel</w:t>
      </w:r>
      <w:r w:rsidRPr="0054781B">
        <w:rPr>
          <w:rFonts w:ascii="Arial" w:hAnsi="Arial" w:cs="Arial"/>
        </w:rPr>
        <w:t xml:space="preserve">‘s revenue). In the fiscal year 2020, when the group discussed a robust financial performance with the revenue reaching 2024 million, reflecting a good growth of 34% increment in comparison with the last year. The operating profit for the 2021 reached 53 million with figure show the specific component such as negative contribution from the equity accounted investment amounting to −273 million, which is primarily associated with the losses. In addition to this, there are other incoming expenses which total 554 </w:t>
      </w:r>
      <w:r w:rsidR="00D6340B" w:rsidRPr="0054781B">
        <w:rPr>
          <w:rFonts w:ascii="Arial" w:hAnsi="Arial" w:cs="Arial"/>
        </w:rPr>
        <w:t>million and</w:t>
      </w:r>
      <w:r w:rsidRPr="0054781B">
        <w:rPr>
          <w:rFonts w:ascii="Arial" w:hAnsi="Arial" w:cs="Arial"/>
        </w:rPr>
        <w:t xml:space="preserve"> 649 million </w:t>
      </w:r>
      <w:r w:rsidR="00A45245" w:rsidRPr="0054781B">
        <w:rPr>
          <w:rFonts w:ascii="Arial" w:hAnsi="Arial" w:cs="Arial"/>
        </w:rPr>
        <w:t>impacts</w:t>
      </w:r>
      <w:r w:rsidRPr="0054781B">
        <w:rPr>
          <w:rFonts w:ascii="Arial" w:hAnsi="Arial" w:cs="Arial"/>
        </w:rPr>
        <w:t xml:space="preserve"> recognized as subsequent to the partial disposable of 1.5 percent stake till February. The next financial expense amounted to 109 million and the net profit attributable to the group for 85 million. This figure showed the tax income of 69 million and an income of 77 million from the discontinued operations.</w:t>
      </w:r>
    </w:p>
    <w:p w14:paraId="7964D723" w14:textId="77777777" w:rsidR="00C1260D" w:rsidRPr="0054781B" w:rsidRDefault="00C1260D" w:rsidP="0054781B">
      <w:pPr>
        <w:ind w:left="720"/>
        <w:rPr>
          <w:rFonts w:ascii="Arial" w:hAnsi="Arial" w:cs="Arial"/>
        </w:rPr>
      </w:pPr>
      <w:r w:rsidRPr="0054781B">
        <w:rPr>
          <w:rFonts w:ascii="Arial" w:hAnsi="Arial" w:cs="Arial"/>
        </w:rPr>
        <w:t xml:space="preserve"> </w:t>
      </w:r>
    </w:p>
    <w:p w14:paraId="2C9E5606" w14:textId="77777777" w:rsidR="00C77547" w:rsidRPr="0054781B" w:rsidRDefault="00C77547" w:rsidP="00D60670">
      <w:pPr>
        <w:pStyle w:val="Heading3"/>
      </w:pPr>
      <w:bookmarkStart w:id="6" w:name="_Toc157769802"/>
      <w:r w:rsidRPr="0054781B">
        <w:t>Market position</w:t>
      </w:r>
      <w:bookmarkEnd w:id="6"/>
      <w:r w:rsidRPr="0054781B">
        <w:t xml:space="preserve"> </w:t>
      </w:r>
    </w:p>
    <w:p w14:paraId="5156E4D8" w14:textId="7FDA6738" w:rsidR="00B32F40" w:rsidRPr="0054781B" w:rsidRDefault="004C57AD" w:rsidP="0054781B">
      <w:pPr>
        <w:ind w:left="720"/>
        <w:rPr>
          <w:rFonts w:ascii="Arial" w:hAnsi="Arial" w:cs="Arial"/>
        </w:rPr>
      </w:pPr>
      <w:r w:rsidRPr="0054781B">
        <w:rPr>
          <w:rFonts w:ascii="Arial" w:hAnsi="Arial" w:cs="Arial"/>
        </w:rPr>
        <w:t xml:space="preserve">The market position is evaluated with the consideration of the different types of factors such as market share, perception of the brand as well as demographics of the customer. </w:t>
      </w:r>
      <w:r w:rsidR="003F138F" w:rsidRPr="0054781B">
        <w:rPr>
          <w:rFonts w:ascii="Arial" w:hAnsi="Arial" w:cs="Arial"/>
        </w:rPr>
        <w:t>It is one of the le</w:t>
      </w:r>
      <w:r w:rsidR="007B5DFB" w:rsidRPr="0054781B">
        <w:rPr>
          <w:rFonts w:ascii="Arial" w:hAnsi="Arial" w:cs="Arial"/>
        </w:rPr>
        <w:t xml:space="preserve">ading brands in the market which is focusing on the four </w:t>
      </w:r>
      <w:r w:rsidR="00A45245" w:rsidRPr="0054781B">
        <w:rPr>
          <w:rFonts w:ascii="Arial" w:hAnsi="Arial" w:cs="Arial"/>
        </w:rPr>
        <w:t>pillars,</w:t>
      </w:r>
      <w:r w:rsidR="007B5DFB" w:rsidRPr="0054781B">
        <w:rPr>
          <w:rFonts w:ascii="Arial" w:hAnsi="Arial" w:cs="Arial"/>
        </w:rPr>
        <w:t xml:space="preserve"> and they are enhancement and protection of the capital value in the holdings of real estate, increment in the profits and cash flows with the consideration of operations</w:t>
      </w:r>
      <w:r w:rsidR="00367D4F" w:rsidRPr="0054781B">
        <w:rPr>
          <w:rFonts w:ascii="Arial" w:hAnsi="Arial" w:cs="Arial"/>
        </w:rPr>
        <w:t xml:space="preserve"> for attainment of pre- determined objectives and focusing on the diversification of business. </w:t>
      </w:r>
      <w:r w:rsidR="007B5DFB" w:rsidRPr="0054781B">
        <w:rPr>
          <w:rFonts w:ascii="Arial" w:hAnsi="Arial" w:cs="Arial"/>
        </w:rPr>
        <w:t xml:space="preserve">It has the expertise in the several areas </w:t>
      </w:r>
      <w:r w:rsidR="007B5DFB" w:rsidRPr="0054781B">
        <w:rPr>
          <w:rFonts w:ascii="Arial" w:hAnsi="Arial" w:cs="Arial"/>
        </w:rPr>
        <w:lastRenderedPageBreak/>
        <w:t>such as operations, human resource, marketing at global level as well as in advancement in the technology</w:t>
      </w:r>
      <w:r w:rsidR="00B32F40" w:rsidRPr="0054781B">
        <w:rPr>
          <w:rFonts w:ascii="Arial" w:hAnsi="Arial" w:cs="Arial"/>
        </w:rPr>
        <w:t xml:space="preserve"> (Bagdadi, 2023) (Saleh et.al, 2023)</w:t>
      </w:r>
      <w:r w:rsidR="007B5DFB" w:rsidRPr="0054781B">
        <w:rPr>
          <w:rFonts w:ascii="Arial" w:hAnsi="Arial" w:cs="Arial"/>
        </w:rPr>
        <w:t xml:space="preserve">. </w:t>
      </w:r>
    </w:p>
    <w:p w14:paraId="0D9602F2" w14:textId="1D52C28C" w:rsidR="003F138F" w:rsidRPr="0054781B" w:rsidRDefault="00B50A3D" w:rsidP="0054781B">
      <w:pPr>
        <w:ind w:left="720"/>
        <w:rPr>
          <w:rFonts w:ascii="Arial" w:hAnsi="Arial" w:cs="Arial"/>
        </w:rPr>
      </w:pPr>
      <w:r w:rsidRPr="0054781B">
        <w:rPr>
          <w:rFonts w:ascii="Arial" w:hAnsi="Arial" w:cs="Arial"/>
        </w:rPr>
        <w:t>Ibis hotel</w:t>
      </w:r>
      <w:r w:rsidR="00880C45" w:rsidRPr="0054781B">
        <w:rPr>
          <w:rFonts w:ascii="Arial" w:hAnsi="Arial" w:cs="Arial"/>
        </w:rPr>
        <w:t>- From the data “Ibis brand awareness, usage, popularity, loyalty, and buzz among hotel customers in the UK in 2022”</w:t>
      </w:r>
      <w:r w:rsidR="00471F96">
        <w:rPr>
          <w:rFonts w:ascii="Arial" w:hAnsi="Arial" w:cs="Arial"/>
        </w:rPr>
        <w:t>, collected by Kunst (2023)</w:t>
      </w:r>
      <w:r w:rsidR="00880C45" w:rsidRPr="0054781B">
        <w:rPr>
          <w:rFonts w:ascii="Arial" w:hAnsi="Arial" w:cs="Arial"/>
        </w:rPr>
        <w:t xml:space="preserve">, the Ibis group has been surveyed in the United Kingdom which provided insight that it has the major visitors between the age group of 18 to 64 years, which encourages demographic within the broader age range. The targeted approach aims to capture the purge, effective and preference of the segment about the hospitality in the United Kingdom.  </w:t>
      </w:r>
      <w:r w:rsidR="00F26519" w:rsidRPr="0054781B">
        <w:rPr>
          <w:rFonts w:ascii="Arial" w:hAnsi="Arial" w:cs="Arial"/>
        </w:rPr>
        <w:t>This expansion underscored the brand effectiveness in tapping into the diverse marketing meeting</w:t>
      </w:r>
      <w:r w:rsidR="00B32F40" w:rsidRPr="0054781B">
        <w:rPr>
          <w:rFonts w:ascii="Arial" w:hAnsi="Arial" w:cs="Arial"/>
        </w:rPr>
        <w:t xml:space="preserve"> (Kyere,  and Ausloos, 2021)</w:t>
      </w:r>
      <w:r w:rsidR="00F26519" w:rsidRPr="0054781B">
        <w:rPr>
          <w:rFonts w:ascii="Arial" w:hAnsi="Arial" w:cs="Arial"/>
        </w:rPr>
        <w:t>. The demand for quality accommodation the positive outlook and the economic settlement signals the hotel's search for strategy in establishing a widespread presence and with the broad spectrum of travellers, affirming its potential as a key player at the global hospitality industry</w:t>
      </w:r>
      <w:r w:rsidR="007840EC" w:rsidRPr="0054781B">
        <w:rPr>
          <w:rFonts w:ascii="Arial" w:hAnsi="Arial" w:cs="Arial"/>
        </w:rPr>
        <w:t>. The hotel is having the so many hotels at worldwide like in the South Europe, Nor</w:t>
      </w:r>
      <w:r w:rsidR="00915F02" w:rsidRPr="0054781B">
        <w:rPr>
          <w:rFonts w:ascii="Arial" w:hAnsi="Arial" w:cs="Arial"/>
        </w:rPr>
        <w:t>th Europe, IMEAT, SPAC, America</w:t>
      </w:r>
      <w:r w:rsidR="007840EC" w:rsidRPr="0054781B">
        <w:rPr>
          <w:rFonts w:ascii="Arial" w:hAnsi="Arial" w:cs="Arial"/>
        </w:rPr>
        <w:t xml:space="preserve"> with the counts of 453, 283, 80, 263 and 180 respectively.</w:t>
      </w:r>
    </w:p>
    <w:p w14:paraId="4EFBB489" w14:textId="77777777" w:rsidR="00915F02" w:rsidRPr="0054781B" w:rsidRDefault="00915F02" w:rsidP="0054781B">
      <w:pPr>
        <w:ind w:left="720"/>
        <w:rPr>
          <w:rFonts w:ascii="Arial" w:hAnsi="Arial" w:cs="Arial"/>
        </w:rPr>
      </w:pPr>
    </w:p>
    <w:p w14:paraId="2949D592" w14:textId="77777777" w:rsidR="007840EC" w:rsidRPr="0054781B" w:rsidRDefault="007840EC" w:rsidP="0054781B">
      <w:pPr>
        <w:ind w:left="720"/>
        <w:jc w:val="center"/>
        <w:rPr>
          <w:rFonts w:ascii="Arial" w:hAnsi="Arial" w:cs="Arial"/>
          <w:i/>
        </w:rPr>
      </w:pPr>
      <w:r w:rsidRPr="0054781B">
        <w:rPr>
          <w:rFonts w:ascii="Arial" w:hAnsi="Arial" w:cs="Arial"/>
          <w:i/>
          <w:noProof/>
          <w:lang w:val="en-US" w:eastAsia="en-US"/>
        </w:rPr>
        <w:drawing>
          <wp:inline distT="0" distB="0" distL="0" distR="0" wp14:anchorId="1773CD35" wp14:editId="5094254C">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09307CD" w14:textId="77777777" w:rsidR="007840EC" w:rsidRPr="0054781B" w:rsidRDefault="007840EC" w:rsidP="0054781B">
      <w:pPr>
        <w:ind w:left="720"/>
        <w:jc w:val="center"/>
        <w:rPr>
          <w:rFonts w:ascii="Arial" w:hAnsi="Arial" w:cs="Arial"/>
          <w:i/>
        </w:rPr>
      </w:pPr>
      <w:r w:rsidRPr="0054781B">
        <w:rPr>
          <w:rFonts w:ascii="Arial" w:hAnsi="Arial" w:cs="Arial"/>
          <w:i/>
        </w:rPr>
        <w:t xml:space="preserve">(Source- </w:t>
      </w:r>
      <w:r w:rsidR="0088380E" w:rsidRPr="0054781B">
        <w:rPr>
          <w:rFonts w:ascii="Arial" w:hAnsi="Arial" w:cs="Arial"/>
          <w:i/>
        </w:rPr>
        <w:t>self)</w:t>
      </w:r>
    </w:p>
    <w:p w14:paraId="3512B2D6" w14:textId="4641F961" w:rsidR="00881E1C" w:rsidRPr="0054781B" w:rsidRDefault="00471F96" w:rsidP="0054781B">
      <w:pPr>
        <w:ind w:left="720"/>
        <w:jc w:val="center"/>
        <w:rPr>
          <w:rFonts w:ascii="Arial" w:hAnsi="Arial" w:cs="Arial"/>
          <w:i/>
        </w:rPr>
      </w:pPr>
      <w:r>
        <w:rPr>
          <w:rFonts w:ascii="Arial" w:hAnsi="Arial" w:cs="Arial"/>
          <w:i/>
        </w:rPr>
        <w:t>(Accor, 2023)</w:t>
      </w:r>
    </w:p>
    <w:p w14:paraId="296398BB" w14:textId="77777777" w:rsidR="00C77547" w:rsidRPr="0054781B" w:rsidRDefault="00C77547" w:rsidP="00D60670">
      <w:pPr>
        <w:pStyle w:val="Heading3"/>
      </w:pPr>
      <w:bookmarkStart w:id="7" w:name="_Toc157769803"/>
      <w:r w:rsidRPr="0054781B">
        <w:lastRenderedPageBreak/>
        <w:t>Growth potential</w:t>
      </w:r>
      <w:bookmarkEnd w:id="7"/>
    </w:p>
    <w:p w14:paraId="6CE7015E" w14:textId="77777777" w:rsidR="00B50A3D" w:rsidRPr="0054781B" w:rsidRDefault="007B5DFB" w:rsidP="0054781B">
      <w:pPr>
        <w:ind w:left="720"/>
        <w:rPr>
          <w:rFonts w:ascii="Arial" w:hAnsi="Arial" w:cs="Arial"/>
        </w:rPr>
      </w:pPr>
      <w:r w:rsidRPr="0054781B">
        <w:rPr>
          <w:rFonts w:ascii="Arial" w:hAnsi="Arial" w:cs="Arial"/>
        </w:rPr>
        <w:t xml:space="preserve">The growth of the organisation includes market opportunities, potential barriers for growth and strategies for the growth. </w:t>
      </w:r>
    </w:p>
    <w:p w14:paraId="752C5F44" w14:textId="4489F066" w:rsidR="00B32F40" w:rsidRPr="0054781B" w:rsidRDefault="00B50A3D" w:rsidP="0054781B">
      <w:pPr>
        <w:ind w:left="720"/>
        <w:rPr>
          <w:rFonts w:ascii="Arial" w:hAnsi="Arial" w:cs="Arial"/>
        </w:rPr>
      </w:pPr>
      <w:r w:rsidRPr="0054781B">
        <w:rPr>
          <w:rFonts w:ascii="Arial" w:hAnsi="Arial" w:cs="Arial"/>
          <w:i/>
          <w:u w:val="single"/>
        </w:rPr>
        <w:t>Corinthia hotel group</w:t>
      </w:r>
      <w:r w:rsidRPr="0054781B">
        <w:rPr>
          <w:rFonts w:ascii="Arial" w:hAnsi="Arial" w:cs="Arial"/>
        </w:rPr>
        <w:t xml:space="preserve"> - </w:t>
      </w:r>
      <w:r w:rsidR="00943FAB" w:rsidRPr="0054781B">
        <w:rPr>
          <w:rFonts w:ascii="Arial" w:hAnsi="Arial" w:cs="Arial"/>
        </w:rPr>
        <w:t xml:space="preserve">The enterprise Corinthia hotel group is showing the good growth as it is consistently focusing for the development of the Corinthia </w:t>
      </w:r>
      <w:r w:rsidR="00D85605" w:rsidRPr="0054781B">
        <w:rPr>
          <w:rFonts w:ascii="Arial" w:hAnsi="Arial" w:cs="Arial"/>
        </w:rPr>
        <w:t>Brussels which</w:t>
      </w:r>
      <w:r w:rsidR="00943FAB" w:rsidRPr="0054781B">
        <w:rPr>
          <w:rFonts w:ascii="Arial" w:hAnsi="Arial" w:cs="Arial"/>
        </w:rPr>
        <w:t xml:space="preserve"> are targeted to open </w:t>
      </w:r>
      <w:r w:rsidR="00D85605" w:rsidRPr="0054781B">
        <w:rPr>
          <w:rFonts w:ascii="Arial" w:hAnsi="Arial" w:cs="Arial"/>
        </w:rPr>
        <w:t xml:space="preserve">till April 2024 along with the deals which are signed for the places Doha, New York, </w:t>
      </w:r>
      <w:r w:rsidR="00A22AD2" w:rsidRPr="0054781B">
        <w:rPr>
          <w:rFonts w:ascii="Arial" w:hAnsi="Arial" w:cs="Arial"/>
        </w:rPr>
        <w:t>Bucharest,</w:t>
      </w:r>
      <w:r w:rsidR="00D85605" w:rsidRPr="0054781B">
        <w:rPr>
          <w:rFonts w:ascii="Arial" w:hAnsi="Arial" w:cs="Arial"/>
        </w:rPr>
        <w:t xml:space="preserve"> and Rome. Also heading towards some more projects </w:t>
      </w:r>
      <w:r w:rsidR="00B3656D" w:rsidRPr="0054781B">
        <w:rPr>
          <w:rFonts w:ascii="Arial" w:hAnsi="Arial" w:cs="Arial"/>
        </w:rPr>
        <w:t xml:space="preserve">with the use of negotiations due to the </w:t>
      </w:r>
      <w:r w:rsidR="0088380E" w:rsidRPr="0054781B">
        <w:rPr>
          <w:rFonts w:ascii="Arial" w:hAnsi="Arial" w:cs="Arial"/>
        </w:rPr>
        <w:t>Excellency</w:t>
      </w:r>
      <w:r w:rsidR="00B3656D" w:rsidRPr="0054781B">
        <w:rPr>
          <w:rFonts w:ascii="Arial" w:hAnsi="Arial" w:cs="Arial"/>
        </w:rPr>
        <w:t xml:space="preserve"> at the higher level and visibility at the global level</w:t>
      </w:r>
      <w:r w:rsidR="00B32F40" w:rsidRPr="0054781B">
        <w:rPr>
          <w:rFonts w:ascii="Arial" w:hAnsi="Arial" w:cs="Arial"/>
        </w:rPr>
        <w:t xml:space="preserve"> (Haeruddin, Musaand Kurniawan2023)</w:t>
      </w:r>
      <w:r w:rsidR="00B3656D" w:rsidRPr="0054781B">
        <w:rPr>
          <w:rFonts w:ascii="Arial" w:hAnsi="Arial" w:cs="Arial"/>
        </w:rPr>
        <w:t xml:space="preserve">. </w:t>
      </w:r>
    </w:p>
    <w:p w14:paraId="424FB81A" w14:textId="69A154CC" w:rsidR="00B32F40" w:rsidRPr="0054781B" w:rsidRDefault="00B32F40" w:rsidP="0054781B">
      <w:pPr>
        <w:ind w:left="720"/>
        <w:rPr>
          <w:rFonts w:ascii="Arial" w:hAnsi="Arial" w:cs="Arial"/>
        </w:rPr>
      </w:pPr>
      <w:r w:rsidRPr="0054781B">
        <w:rPr>
          <w:rFonts w:ascii="Arial" w:hAnsi="Arial" w:cs="Arial"/>
          <w:i/>
          <w:u w:val="single"/>
        </w:rPr>
        <w:t>Ibis hotel-</w:t>
      </w:r>
      <w:r w:rsidRPr="0054781B">
        <w:rPr>
          <w:rFonts w:ascii="Arial" w:hAnsi="Arial" w:cs="Arial"/>
        </w:rPr>
        <w:t xml:space="preserve"> Ibis group is renowned for its offerings and strategies to align with the preferences and requirement of the key demographic in the UK market. Ibis offers an entrance to the lively destinations which anyone can connect with the new individual android live music (Sainaghi et.al 2020). The potential is limitless in the dynamic environment of the considered hotel, which engraved interaction and connection between the guests, travellers and the community that is residing there. The network consider 1259 hotel totalling 158427 rooms across the 16 </w:t>
      </w:r>
      <w:r w:rsidR="00A22AD2" w:rsidRPr="0054781B">
        <w:rPr>
          <w:rFonts w:ascii="Arial" w:hAnsi="Arial" w:cs="Arial"/>
        </w:rPr>
        <w:t>countries</w:t>
      </w:r>
      <w:r w:rsidRPr="0054781B">
        <w:rPr>
          <w:rFonts w:ascii="Arial" w:hAnsi="Arial" w:cs="Arial"/>
        </w:rPr>
        <w:t>, with the additional 17675 rooms which are in the development phase. The 2.9% expansion in the economic growth mirror on growing growth of Ibis family growth for the substantial global potential. It continues to provide the offerings at the global level which results economic experiences with consistent growth.</w:t>
      </w:r>
    </w:p>
    <w:p w14:paraId="075695CA" w14:textId="77777777" w:rsidR="00B32F40" w:rsidRPr="0054781B" w:rsidRDefault="00B32F40" w:rsidP="0054781B">
      <w:pPr>
        <w:ind w:left="720"/>
        <w:rPr>
          <w:rFonts w:ascii="Arial" w:hAnsi="Arial" w:cs="Arial"/>
        </w:rPr>
      </w:pPr>
    </w:p>
    <w:p w14:paraId="4B6E4577" w14:textId="240FBD8B" w:rsidR="00E12C40" w:rsidRDefault="006D0D3A" w:rsidP="0074425E">
      <w:pPr>
        <w:pStyle w:val="Heading3"/>
      </w:pPr>
      <w:bookmarkStart w:id="8" w:name="_Toc157769804"/>
      <w:r w:rsidRPr="0054781B">
        <w:t>Industry growth</w:t>
      </w:r>
      <w:bookmarkEnd w:id="8"/>
    </w:p>
    <w:p w14:paraId="1FBD1FC8" w14:textId="699D1CFF" w:rsidR="006D0D3A" w:rsidRPr="0054781B" w:rsidRDefault="006D0D3A" w:rsidP="0054781B">
      <w:pPr>
        <w:ind w:left="720"/>
        <w:rPr>
          <w:rFonts w:ascii="Arial" w:hAnsi="Arial" w:cs="Arial"/>
        </w:rPr>
      </w:pPr>
      <w:r w:rsidRPr="0054781B">
        <w:rPr>
          <w:rFonts w:ascii="Arial" w:hAnsi="Arial" w:cs="Arial"/>
        </w:rPr>
        <w:t>The industry experienced or student avenue growth with the CAGR of 1.1 percent of the past five years in an estimated one point five trillion dollar in 2023. The p</w:t>
      </w:r>
      <w:r w:rsidR="00880C45" w:rsidRPr="0054781B">
        <w:rPr>
          <w:rFonts w:ascii="Arial" w:hAnsi="Arial" w:cs="Arial"/>
        </w:rPr>
        <w:t>erformance of hotel and tourism</w:t>
      </w:r>
      <w:r w:rsidRPr="0054781B">
        <w:rPr>
          <w:rFonts w:ascii="Arial" w:hAnsi="Arial" w:cs="Arial"/>
        </w:rPr>
        <w:t xml:space="preserve"> sector.</w:t>
      </w:r>
    </w:p>
    <w:p w14:paraId="3578F461" w14:textId="77777777" w:rsidR="00B50A3D" w:rsidRPr="0054781B" w:rsidRDefault="006D0D3A" w:rsidP="0054781B">
      <w:pPr>
        <w:ind w:left="720"/>
        <w:rPr>
          <w:rFonts w:ascii="Arial" w:hAnsi="Arial" w:cs="Arial"/>
        </w:rPr>
      </w:pPr>
      <w:r w:rsidRPr="0054781B">
        <w:rPr>
          <w:rFonts w:ascii="Arial" w:hAnsi="Arial" w:cs="Arial"/>
        </w:rPr>
        <w:t xml:space="preserve">The growth potential of the global hotel industry is determined with the use of the following graph – </w:t>
      </w:r>
    </w:p>
    <w:p w14:paraId="7C43F3F8" w14:textId="77777777" w:rsidR="006D0D3A" w:rsidRPr="0054781B" w:rsidRDefault="006D0D3A" w:rsidP="0054781B">
      <w:pPr>
        <w:ind w:left="720"/>
        <w:rPr>
          <w:rFonts w:ascii="Arial" w:hAnsi="Arial" w:cs="Arial"/>
        </w:rPr>
      </w:pPr>
      <w:r w:rsidRPr="0054781B">
        <w:rPr>
          <w:rFonts w:ascii="Arial" w:hAnsi="Arial" w:cs="Arial"/>
          <w:noProof/>
          <w:lang w:val="en-US" w:eastAsia="en-US"/>
        </w:rPr>
        <w:lastRenderedPageBreak/>
        <w:drawing>
          <wp:inline distT="0" distB="0" distL="0" distR="0" wp14:anchorId="5E67B38B" wp14:editId="4B5FBAA8">
            <wp:extent cx="5943600" cy="3489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5818B3.tmp"/>
                    <pic:cNvPicPr/>
                  </pic:nvPicPr>
                  <pic:blipFill>
                    <a:blip r:embed="rId9">
                      <a:extLst>
                        <a:ext uri="{28A0092B-C50C-407E-A947-70E740481C1C}">
                          <a14:useLocalDpi xmlns:a14="http://schemas.microsoft.com/office/drawing/2010/main" val="0"/>
                        </a:ext>
                      </a:extLst>
                    </a:blip>
                    <a:stretch>
                      <a:fillRect/>
                    </a:stretch>
                  </pic:blipFill>
                  <pic:spPr>
                    <a:xfrm>
                      <a:off x="0" y="0"/>
                      <a:ext cx="5943600" cy="3489960"/>
                    </a:xfrm>
                    <a:prstGeom prst="rect">
                      <a:avLst/>
                    </a:prstGeom>
                  </pic:spPr>
                </pic:pic>
              </a:graphicData>
            </a:graphic>
          </wp:inline>
        </w:drawing>
      </w:r>
    </w:p>
    <w:p w14:paraId="55F35CEA" w14:textId="2F092C9F" w:rsidR="007B5DFB" w:rsidRPr="0054781B" w:rsidRDefault="006D0D3A" w:rsidP="0054781B">
      <w:pPr>
        <w:jc w:val="center"/>
        <w:rPr>
          <w:rFonts w:ascii="Arial" w:hAnsi="Arial" w:cs="Arial"/>
          <w:i/>
        </w:rPr>
      </w:pPr>
      <w:r w:rsidRPr="0054781B">
        <w:rPr>
          <w:rFonts w:ascii="Arial" w:hAnsi="Arial" w:cs="Arial"/>
          <w:i/>
        </w:rPr>
        <w:t xml:space="preserve">(Source- </w:t>
      </w:r>
      <w:r w:rsidR="009547DA">
        <w:rPr>
          <w:rFonts w:ascii="Arial" w:hAnsi="Arial" w:cs="Arial"/>
          <w:i/>
        </w:rPr>
        <w:t>IBISWorld, 2024</w:t>
      </w:r>
      <w:r w:rsidRPr="0054781B">
        <w:rPr>
          <w:rFonts w:ascii="Arial" w:hAnsi="Arial" w:cs="Arial"/>
          <w:i/>
        </w:rPr>
        <w:t>)</w:t>
      </w:r>
    </w:p>
    <w:p w14:paraId="6583FB27" w14:textId="77777777" w:rsidR="006D0D3A" w:rsidRPr="0054781B" w:rsidRDefault="006D0D3A" w:rsidP="0054781B">
      <w:pPr>
        <w:ind w:left="720"/>
        <w:rPr>
          <w:rFonts w:ascii="Arial" w:hAnsi="Arial" w:cs="Arial"/>
        </w:rPr>
      </w:pPr>
    </w:p>
    <w:p w14:paraId="134704FA" w14:textId="77777777" w:rsidR="006D0D3A" w:rsidRPr="0054781B" w:rsidRDefault="006D0D3A" w:rsidP="0054781B">
      <w:pPr>
        <w:ind w:left="720"/>
        <w:rPr>
          <w:rFonts w:ascii="Arial" w:hAnsi="Arial" w:cs="Arial"/>
        </w:rPr>
      </w:pPr>
    </w:p>
    <w:p w14:paraId="26969D53" w14:textId="77777777" w:rsidR="00C77547" w:rsidRPr="0054781B" w:rsidRDefault="00C77547" w:rsidP="0074425E">
      <w:pPr>
        <w:pStyle w:val="Heading3"/>
      </w:pPr>
      <w:bookmarkStart w:id="9" w:name="_Toc157769805"/>
      <w:r w:rsidRPr="0054781B">
        <w:t>Financial commitment to CSR (corporate social responsibility)</w:t>
      </w:r>
      <w:bookmarkEnd w:id="9"/>
    </w:p>
    <w:p w14:paraId="7B1E3CF6" w14:textId="669B2F27" w:rsidR="00367D4F" w:rsidRPr="0054781B" w:rsidRDefault="00367D4F" w:rsidP="0054781B">
      <w:pPr>
        <w:ind w:left="720" w:firstLine="720"/>
        <w:rPr>
          <w:rFonts w:ascii="Arial" w:hAnsi="Arial" w:cs="Arial"/>
        </w:rPr>
      </w:pPr>
      <w:r w:rsidRPr="0054781B">
        <w:rPr>
          <w:rFonts w:ascii="Arial" w:hAnsi="Arial" w:cs="Arial"/>
          <w:b/>
        </w:rPr>
        <w:t>Corinthia hotel group</w:t>
      </w:r>
      <w:r w:rsidRPr="0054781B">
        <w:rPr>
          <w:rFonts w:ascii="Arial" w:hAnsi="Arial" w:cs="Arial"/>
        </w:rPr>
        <w:t xml:space="preserve"> is striving for the sustainability where it is considering the three key pillars such as governance, environmental </w:t>
      </w:r>
      <w:r w:rsidR="00471F96" w:rsidRPr="0054781B">
        <w:rPr>
          <w:rFonts w:ascii="Arial" w:hAnsi="Arial" w:cs="Arial"/>
        </w:rPr>
        <w:t>sustainability,</w:t>
      </w:r>
      <w:r w:rsidRPr="0054781B">
        <w:rPr>
          <w:rFonts w:ascii="Arial" w:hAnsi="Arial" w:cs="Arial"/>
        </w:rPr>
        <w:t xml:space="preserve"> and </w:t>
      </w:r>
      <w:r w:rsidR="00471F96" w:rsidRPr="0054781B">
        <w:rPr>
          <w:rFonts w:ascii="Arial" w:hAnsi="Arial" w:cs="Arial"/>
        </w:rPr>
        <w:t>social</w:t>
      </w:r>
      <w:r w:rsidRPr="0054781B">
        <w:rPr>
          <w:rFonts w:ascii="Arial" w:hAnsi="Arial" w:cs="Arial"/>
        </w:rPr>
        <w:t xml:space="preserve"> responsibility. In the governance, it is ensured that there will be proper delivery considering the sustainable approach without compromising the objective of business. It gives insight on policies, risks and programmes which are needed to be considered and in the fiscal year, these has been met about 15 times that is good report from the business perspective</w:t>
      </w:r>
      <w:r w:rsidR="00B32F40" w:rsidRPr="0054781B">
        <w:rPr>
          <w:rFonts w:ascii="Arial" w:hAnsi="Arial" w:cs="Arial"/>
        </w:rPr>
        <w:t xml:space="preserve"> (Fatima and Elbanna, 2023) </w:t>
      </w:r>
      <w:r w:rsidR="00C029A9" w:rsidRPr="0054781B">
        <w:rPr>
          <w:rFonts w:ascii="Arial" w:hAnsi="Arial" w:cs="Arial"/>
        </w:rPr>
        <w:t>In terms of the sustainability approach, the value creation is not limited to the shareholders but to the whole community</w:t>
      </w:r>
      <w:r w:rsidR="00D45E82" w:rsidRPr="0054781B">
        <w:rPr>
          <w:rFonts w:ascii="Arial" w:hAnsi="Arial" w:cs="Arial"/>
        </w:rPr>
        <w:t xml:space="preserve"> which ensures that the high standard quality being delivered. It provides the framework that is used in the countries in which it is operating its business with the usage of possible social as well as environmental risks which are faced by Group. The enterprise is focusing on taking the initiatives </w:t>
      </w:r>
      <w:r w:rsidR="00D45E82" w:rsidRPr="0054781B">
        <w:rPr>
          <w:rFonts w:ascii="Arial" w:hAnsi="Arial" w:cs="Arial"/>
        </w:rPr>
        <w:lastRenderedPageBreak/>
        <w:t xml:space="preserve">for the grabbing the opportunities, personal developments and consistently development of opportunities where it is committed to provide the work life balance along with the quality in leading good life to its workforce as well as to their families and in environment in which they are operating. </w:t>
      </w:r>
    </w:p>
    <w:p w14:paraId="521591F7" w14:textId="4B73ABD8" w:rsidR="0088380E" w:rsidRPr="0054781B" w:rsidRDefault="006C2B1B" w:rsidP="0054781B">
      <w:pPr>
        <w:ind w:left="720" w:firstLine="720"/>
        <w:rPr>
          <w:rFonts w:ascii="Arial" w:hAnsi="Arial" w:cs="Arial"/>
        </w:rPr>
      </w:pPr>
      <w:r w:rsidRPr="0054781B">
        <w:rPr>
          <w:rFonts w:ascii="Arial" w:hAnsi="Arial" w:cs="Arial"/>
          <w:b/>
        </w:rPr>
        <w:t>Ib</w:t>
      </w:r>
      <w:r w:rsidR="00B32F40" w:rsidRPr="0054781B">
        <w:rPr>
          <w:rFonts w:ascii="Arial" w:hAnsi="Arial" w:cs="Arial"/>
          <w:b/>
        </w:rPr>
        <w:t>i</w:t>
      </w:r>
      <w:r w:rsidRPr="0054781B">
        <w:rPr>
          <w:rFonts w:ascii="Arial" w:hAnsi="Arial" w:cs="Arial"/>
          <w:b/>
        </w:rPr>
        <w:t>s hotels</w:t>
      </w:r>
      <w:r w:rsidRPr="0054781B">
        <w:rPr>
          <w:rFonts w:ascii="Arial" w:hAnsi="Arial" w:cs="Arial"/>
        </w:rPr>
        <w:t xml:space="preserve"> div</w:t>
      </w:r>
      <w:r w:rsidR="00B32F40" w:rsidRPr="0054781B">
        <w:rPr>
          <w:rFonts w:ascii="Arial" w:hAnsi="Arial" w:cs="Arial"/>
        </w:rPr>
        <w:t>erse b</w:t>
      </w:r>
      <w:r w:rsidRPr="0054781B">
        <w:rPr>
          <w:rFonts w:ascii="Arial" w:hAnsi="Arial" w:cs="Arial"/>
        </w:rPr>
        <w:t>rand portfolios undergoes with the positioning and value proposition development with a particular focus on sustainability to align with the rising customer preference for the purpose driven branch, contributing to the s</w:t>
      </w:r>
      <w:r w:rsidR="00B32F40" w:rsidRPr="0054781B">
        <w:rPr>
          <w:rFonts w:ascii="Arial" w:hAnsi="Arial" w:cs="Arial"/>
        </w:rPr>
        <w:t>ocial well-being in 20</w:t>
      </w:r>
      <w:r w:rsidRPr="0054781B">
        <w:rPr>
          <w:rFonts w:ascii="Arial" w:hAnsi="Arial" w:cs="Arial"/>
        </w:rPr>
        <w:t>19</w:t>
      </w:r>
      <w:r w:rsidR="00B32F40" w:rsidRPr="0054781B">
        <w:rPr>
          <w:rFonts w:ascii="Arial" w:hAnsi="Arial" w:cs="Arial"/>
        </w:rPr>
        <w:t xml:space="preserve"> (Bouslah</w:t>
      </w:r>
      <w:r w:rsidR="00A22AD2" w:rsidRPr="0054781B">
        <w:rPr>
          <w:rFonts w:ascii="Arial" w:hAnsi="Arial" w:cs="Arial"/>
        </w:rPr>
        <w:t xml:space="preserve"> </w:t>
      </w:r>
      <w:r w:rsidR="00B32F40" w:rsidRPr="0054781B">
        <w:rPr>
          <w:rFonts w:ascii="Arial" w:hAnsi="Arial" w:cs="Arial"/>
        </w:rPr>
        <w:t xml:space="preserve"> et.al 2023). A </w:t>
      </w:r>
      <w:r w:rsidRPr="0054781B">
        <w:rPr>
          <w:rFonts w:ascii="Arial" w:hAnsi="Arial" w:cs="Arial"/>
        </w:rPr>
        <w:t xml:space="preserve">significant portion of the marketing budget concentrated on enhancing the </w:t>
      </w:r>
      <w:r w:rsidR="00471F96" w:rsidRPr="0054781B">
        <w:rPr>
          <w:rFonts w:ascii="Arial" w:hAnsi="Arial" w:cs="Arial"/>
        </w:rPr>
        <w:t>international</w:t>
      </w:r>
      <w:r w:rsidRPr="0054781B">
        <w:rPr>
          <w:rFonts w:ascii="Arial" w:hAnsi="Arial" w:cs="Arial"/>
        </w:rPr>
        <w:t xml:space="preserve"> reputation visibility and impact of the value creative brand true targeted advertising campaign and strategic partnership with the prominent global players. A proportion of about 90% of the growth marketing expenditure is allocated to 7 global recognised brands, focusing for the commitment to reinforce the presence and resonance in the competitive hospitality market. </w:t>
      </w:r>
      <w:r w:rsidR="00291114" w:rsidRPr="0054781B">
        <w:rPr>
          <w:rFonts w:ascii="Arial" w:hAnsi="Arial" w:cs="Arial"/>
        </w:rPr>
        <w:t xml:space="preserve">The </w:t>
      </w:r>
      <w:r w:rsidRPr="0054781B">
        <w:rPr>
          <w:rFonts w:ascii="Arial" w:hAnsi="Arial" w:cs="Arial"/>
        </w:rPr>
        <w:t>10% o</w:t>
      </w:r>
      <w:r w:rsidR="00291114" w:rsidRPr="0054781B">
        <w:rPr>
          <w:rFonts w:ascii="Arial" w:hAnsi="Arial" w:cs="Arial"/>
        </w:rPr>
        <w:t>f Accor Hotels such as like Ibi</w:t>
      </w:r>
      <w:r w:rsidRPr="0054781B">
        <w:rPr>
          <w:rFonts w:ascii="Arial" w:hAnsi="Arial" w:cs="Arial"/>
        </w:rPr>
        <w:t>s showcasing a commitment for the sustainable practice. In addition to the 70% of the hotel engage in the collection and the use of water, contributing to water contribution effort. In addition to that about 99% of the hotel actively participate in watch program, focusing on the collective dedication to come back the critical issue</w:t>
      </w:r>
      <w:r w:rsidR="00B32F40" w:rsidRPr="0054781B">
        <w:rPr>
          <w:rFonts w:ascii="Arial" w:hAnsi="Arial" w:cs="Arial"/>
        </w:rPr>
        <w:t xml:space="preserve"> (Min, Kimand and Yang, 2023)</w:t>
      </w:r>
      <w:r w:rsidRPr="0054781B">
        <w:rPr>
          <w:rFonts w:ascii="Arial" w:hAnsi="Arial" w:cs="Arial"/>
        </w:rPr>
        <w:t xml:space="preserve">. </w:t>
      </w:r>
    </w:p>
    <w:p w14:paraId="208DA073" w14:textId="77777777" w:rsidR="0088380E" w:rsidRPr="0054781B" w:rsidRDefault="0088380E" w:rsidP="0054781B">
      <w:pPr>
        <w:ind w:left="720"/>
        <w:jc w:val="center"/>
        <w:rPr>
          <w:rFonts w:ascii="Arial" w:hAnsi="Arial" w:cs="Arial"/>
        </w:rPr>
      </w:pPr>
      <w:r w:rsidRPr="0054781B">
        <w:rPr>
          <w:rFonts w:ascii="Arial" w:hAnsi="Arial" w:cs="Arial"/>
          <w:noProof/>
          <w:lang w:val="en-US" w:eastAsia="en-US"/>
        </w:rPr>
        <w:drawing>
          <wp:inline distT="0" distB="0" distL="0" distR="0" wp14:anchorId="32888CBC" wp14:editId="3B8BC9A3">
            <wp:extent cx="4572000" cy="1767993"/>
            <wp:effectExtent l="76200" t="76200" r="133350" b="13716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572000" cy="17679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512EF2" w14:textId="32631704" w:rsidR="0088380E" w:rsidRPr="0054781B" w:rsidRDefault="0088380E" w:rsidP="0054781B">
      <w:pPr>
        <w:ind w:left="720"/>
        <w:jc w:val="center"/>
        <w:rPr>
          <w:rFonts w:ascii="Arial" w:hAnsi="Arial" w:cs="Arial"/>
          <w:i/>
        </w:rPr>
      </w:pPr>
      <w:r w:rsidRPr="0054781B">
        <w:rPr>
          <w:rFonts w:ascii="Arial" w:hAnsi="Arial" w:cs="Arial"/>
          <w:i/>
        </w:rPr>
        <w:t>(Source-</w:t>
      </w:r>
      <w:r w:rsidR="00471F96">
        <w:rPr>
          <w:rFonts w:ascii="Arial" w:hAnsi="Arial" w:cs="Arial"/>
          <w:i/>
        </w:rPr>
        <w:t>Accor, 2024</w:t>
      </w:r>
      <w:r w:rsidRPr="0054781B">
        <w:rPr>
          <w:rFonts w:ascii="Arial" w:hAnsi="Arial" w:cs="Arial"/>
          <w:i/>
        </w:rPr>
        <w:t>)</w:t>
      </w:r>
    </w:p>
    <w:p w14:paraId="5E947BBC" w14:textId="77777777" w:rsidR="0088380E" w:rsidRPr="0054781B" w:rsidRDefault="0088380E" w:rsidP="0054781B">
      <w:pPr>
        <w:ind w:left="720"/>
        <w:rPr>
          <w:rFonts w:ascii="Arial" w:hAnsi="Arial" w:cs="Arial"/>
        </w:rPr>
      </w:pPr>
    </w:p>
    <w:p w14:paraId="015BB584" w14:textId="453BB556" w:rsidR="006C2B1B" w:rsidRPr="0054781B" w:rsidRDefault="006C2B1B" w:rsidP="0054781B">
      <w:pPr>
        <w:ind w:left="720"/>
        <w:rPr>
          <w:rFonts w:ascii="Arial" w:hAnsi="Arial" w:cs="Arial"/>
        </w:rPr>
      </w:pPr>
      <w:r w:rsidRPr="0054781B">
        <w:rPr>
          <w:rFonts w:ascii="Arial" w:hAnsi="Arial" w:cs="Arial"/>
        </w:rPr>
        <w:t>The sustainability initiatives practises the compr</w:t>
      </w:r>
      <w:r w:rsidR="00291114" w:rsidRPr="0054781B">
        <w:rPr>
          <w:rFonts w:ascii="Arial" w:hAnsi="Arial" w:cs="Arial"/>
        </w:rPr>
        <w:t>ehensive and proactive approach</w:t>
      </w:r>
      <w:r w:rsidRPr="0054781B">
        <w:rPr>
          <w:rFonts w:ascii="Arial" w:hAnsi="Arial" w:cs="Arial"/>
        </w:rPr>
        <w:t xml:space="preserve"> that alliance with the global responsible and ethical business practices. This is </w:t>
      </w:r>
      <w:r w:rsidRPr="0054781B">
        <w:rPr>
          <w:rFonts w:ascii="Arial" w:hAnsi="Arial" w:cs="Arial"/>
        </w:rPr>
        <w:lastRenderedPageBreak/>
        <w:t xml:space="preserve">focusing positively with the environmental conscious </w:t>
      </w:r>
      <w:r w:rsidR="00291114" w:rsidRPr="0054781B">
        <w:rPr>
          <w:rFonts w:ascii="Arial" w:hAnsi="Arial" w:cs="Arial"/>
        </w:rPr>
        <w:t>travellers</w:t>
      </w:r>
      <w:r w:rsidRPr="0054781B">
        <w:rPr>
          <w:rFonts w:ascii="Arial" w:hAnsi="Arial" w:cs="Arial"/>
        </w:rPr>
        <w:t xml:space="preserve"> and stakeholders.</w:t>
      </w:r>
      <w:r w:rsidR="00291114" w:rsidRPr="0054781B">
        <w:rPr>
          <w:rFonts w:ascii="Arial" w:hAnsi="Arial" w:cs="Arial"/>
        </w:rPr>
        <w:t xml:space="preserve"> The group has developed systematic approach for assisting the society and environmental pledge that aligned with vision of augmented hospitality and inspire to cover over 40 brands within it. Portfolio, which are identified and children to support one or more causes. The commitments are committed in initiative already implemented within the hotel for benefiting the neighbouring community promoting active engagement and interaction with the guest. For example, the </w:t>
      </w:r>
      <w:r w:rsidR="00471F96" w:rsidRPr="0054781B">
        <w:rPr>
          <w:rFonts w:ascii="Arial" w:hAnsi="Arial" w:cs="Arial"/>
        </w:rPr>
        <w:t xml:space="preserve">Ibis </w:t>
      </w:r>
      <w:r w:rsidR="00291114" w:rsidRPr="0054781B">
        <w:rPr>
          <w:rFonts w:ascii="Arial" w:hAnsi="Arial" w:cs="Arial"/>
        </w:rPr>
        <w:t>brand has dedicated itself to addressing diversity related challenges.</w:t>
      </w:r>
    </w:p>
    <w:p w14:paraId="364F30BE" w14:textId="77777777" w:rsidR="00D6340B" w:rsidRPr="0054781B" w:rsidRDefault="00D6340B" w:rsidP="00FA47B0">
      <w:pPr>
        <w:pStyle w:val="Heading3"/>
      </w:pPr>
      <w:bookmarkStart w:id="10" w:name="_Toc157769806"/>
      <w:r w:rsidRPr="0054781B">
        <w:t>Analysis or comparison of the Ibis group and Corinthia group</w:t>
      </w:r>
      <w:bookmarkEnd w:id="10"/>
    </w:p>
    <w:p w14:paraId="170DADD0" w14:textId="47D202B2" w:rsidR="00D6340B" w:rsidRDefault="003020BB" w:rsidP="0054781B">
      <w:pPr>
        <w:rPr>
          <w:rFonts w:ascii="Arial" w:hAnsi="Arial" w:cs="Arial"/>
        </w:rPr>
      </w:pPr>
      <w:r w:rsidRPr="0054781B">
        <w:rPr>
          <w:rFonts w:ascii="Arial" w:hAnsi="Arial" w:cs="Arial"/>
        </w:rPr>
        <w:t xml:space="preserve">In the sector of hospitality, the comparison between the Ibis hotel and Corinthia hotel </w:t>
      </w:r>
      <w:proofErr w:type="gramStart"/>
      <w:r w:rsidRPr="0054781B">
        <w:rPr>
          <w:rFonts w:ascii="Arial" w:hAnsi="Arial" w:cs="Arial"/>
        </w:rPr>
        <w:t>show</w:t>
      </w:r>
      <w:proofErr w:type="gramEnd"/>
      <w:r w:rsidRPr="0054781B">
        <w:rPr>
          <w:rFonts w:ascii="Arial" w:hAnsi="Arial" w:cs="Arial"/>
        </w:rPr>
        <w:t xml:space="preserve"> the distinct market position, and strategic orientation. Ibis is a budget-friendly organization which serves to a broad demographic focus on the availability with budget friendly while the other considered group is the luxury brand that strategically places its property in the key </w:t>
      </w:r>
      <w:r w:rsidR="00A22AD2" w:rsidRPr="0054781B">
        <w:rPr>
          <w:rFonts w:ascii="Arial" w:hAnsi="Arial" w:cs="Arial"/>
        </w:rPr>
        <w:t>international</w:t>
      </w:r>
      <w:r w:rsidRPr="0054781B">
        <w:rPr>
          <w:rFonts w:ascii="Arial" w:hAnsi="Arial" w:cs="Arial"/>
        </w:rPr>
        <w:t xml:space="preserve"> cities with the exclusive luxury services. The total revenue earned by the Ibis reporting 1582 million in 2021, with the 36% growth</w:t>
      </w:r>
      <w:r w:rsidR="00471F96">
        <w:rPr>
          <w:rFonts w:ascii="Arial" w:hAnsi="Arial" w:cs="Arial"/>
        </w:rPr>
        <w:t xml:space="preserve"> (</w:t>
      </w:r>
      <w:r w:rsidR="00471F96" w:rsidRPr="00471F96">
        <w:rPr>
          <w:rFonts w:ascii="Arial" w:hAnsi="Arial" w:cs="Arial"/>
        </w:rPr>
        <w:t>IBISWorld</w:t>
      </w:r>
      <w:r w:rsidR="00471F96">
        <w:rPr>
          <w:rFonts w:ascii="Arial" w:hAnsi="Arial" w:cs="Arial"/>
        </w:rPr>
        <w:t>, 2024)</w:t>
      </w:r>
      <w:r w:rsidRPr="0054781B">
        <w:rPr>
          <w:rFonts w:ascii="Arial" w:hAnsi="Arial" w:cs="Arial"/>
        </w:rPr>
        <w:t xml:space="preserve">. While the other hotel group recording 129266000 showcasing a 41% growth from 2019. The growth potential is focusing on the mass market expansion at the global level by stressing on the luxury offerings and strategic development in the CSR by </w:t>
      </w:r>
      <w:r w:rsidR="00A22AD2" w:rsidRPr="0054781B">
        <w:rPr>
          <w:rFonts w:ascii="Arial" w:hAnsi="Arial" w:cs="Arial"/>
        </w:rPr>
        <w:t>both</w:t>
      </w:r>
      <w:r w:rsidRPr="0054781B">
        <w:rPr>
          <w:rFonts w:ascii="Arial" w:hAnsi="Arial" w:cs="Arial"/>
        </w:rPr>
        <w:t xml:space="preserve"> hotel groups. The Corinthia hotel group is giving commitment towards the corporate social responsibilities by engaging in the governance and different type of programs and engagement of WATCH program by the IBIS group</w:t>
      </w:r>
      <w:r w:rsidR="00471F96">
        <w:rPr>
          <w:rFonts w:ascii="Arial" w:hAnsi="Arial" w:cs="Arial"/>
        </w:rPr>
        <w:t xml:space="preserve"> (</w:t>
      </w:r>
      <w:r w:rsidR="00471F96" w:rsidRPr="00471F96">
        <w:rPr>
          <w:rFonts w:ascii="Arial" w:hAnsi="Arial" w:cs="Arial"/>
        </w:rPr>
        <w:t>Accor</w:t>
      </w:r>
      <w:r w:rsidR="00471F96">
        <w:rPr>
          <w:rFonts w:ascii="Arial" w:hAnsi="Arial" w:cs="Arial"/>
        </w:rPr>
        <w:t>, 2024)</w:t>
      </w:r>
      <w:r w:rsidRPr="0054781B">
        <w:rPr>
          <w:rFonts w:ascii="Arial" w:hAnsi="Arial" w:cs="Arial"/>
        </w:rPr>
        <w:t>.</w:t>
      </w:r>
    </w:p>
    <w:p w14:paraId="76E5A706" w14:textId="77777777" w:rsidR="004A4109" w:rsidRDefault="004A4109" w:rsidP="0054781B">
      <w:pPr>
        <w:rPr>
          <w:rFonts w:ascii="Arial" w:hAnsi="Arial" w:cs="Arial"/>
        </w:rPr>
      </w:pPr>
    </w:p>
    <w:p w14:paraId="27927AB9" w14:textId="77777777" w:rsidR="004A4109" w:rsidRDefault="004A4109" w:rsidP="0054781B">
      <w:pPr>
        <w:rPr>
          <w:rFonts w:ascii="Arial" w:hAnsi="Arial" w:cs="Arial"/>
        </w:rPr>
      </w:pPr>
    </w:p>
    <w:p w14:paraId="36A13DD9" w14:textId="77777777" w:rsidR="004A4109" w:rsidRDefault="004A4109" w:rsidP="0054781B">
      <w:pPr>
        <w:rPr>
          <w:rFonts w:ascii="Arial" w:hAnsi="Arial" w:cs="Arial"/>
        </w:rPr>
      </w:pPr>
    </w:p>
    <w:p w14:paraId="277FAB6F" w14:textId="77777777" w:rsidR="004A4109" w:rsidRDefault="004A4109" w:rsidP="0054781B">
      <w:pPr>
        <w:rPr>
          <w:rFonts w:ascii="Arial" w:hAnsi="Arial" w:cs="Arial"/>
        </w:rPr>
      </w:pPr>
    </w:p>
    <w:p w14:paraId="2DE434FC" w14:textId="77777777" w:rsidR="004A4109" w:rsidRDefault="004A4109" w:rsidP="0054781B">
      <w:pPr>
        <w:rPr>
          <w:rFonts w:ascii="Arial" w:hAnsi="Arial" w:cs="Arial"/>
        </w:rPr>
      </w:pPr>
    </w:p>
    <w:p w14:paraId="4B89253A" w14:textId="77777777" w:rsidR="004A4109" w:rsidRPr="0054781B" w:rsidRDefault="004A4109" w:rsidP="0054781B">
      <w:pPr>
        <w:rPr>
          <w:rFonts w:ascii="Arial" w:hAnsi="Arial" w:cs="Arial"/>
        </w:rPr>
      </w:pPr>
    </w:p>
    <w:p w14:paraId="02D1B9C4" w14:textId="77777777" w:rsidR="00B32F40" w:rsidRPr="0054781B" w:rsidRDefault="00B32F40" w:rsidP="0054781B">
      <w:pPr>
        <w:rPr>
          <w:rFonts w:ascii="Arial" w:hAnsi="Arial" w:cs="Arial"/>
        </w:rPr>
      </w:pPr>
    </w:p>
    <w:p w14:paraId="42D04655" w14:textId="77777777" w:rsidR="00367D4F" w:rsidRPr="0054781B" w:rsidRDefault="00010BB1" w:rsidP="0054781B">
      <w:pPr>
        <w:pStyle w:val="Heading1"/>
        <w:numPr>
          <w:ilvl w:val="0"/>
          <w:numId w:val="0"/>
        </w:numPr>
        <w:ind w:hanging="72"/>
        <w:rPr>
          <w:rFonts w:ascii="Arial" w:hAnsi="Arial" w:cs="Arial"/>
        </w:rPr>
      </w:pPr>
      <w:bookmarkStart w:id="11" w:name="_Toc157769807"/>
      <w:r w:rsidRPr="0054781B">
        <w:rPr>
          <w:rFonts w:ascii="Arial" w:hAnsi="Arial" w:cs="Arial"/>
        </w:rPr>
        <w:lastRenderedPageBreak/>
        <w:t>RECOMMENDATIONS</w:t>
      </w:r>
      <w:bookmarkEnd w:id="11"/>
    </w:p>
    <w:p w14:paraId="4B26F236" w14:textId="2BA077F4" w:rsidR="00010BB1" w:rsidRPr="0054781B" w:rsidRDefault="009537E3" w:rsidP="0054781B">
      <w:pPr>
        <w:rPr>
          <w:rFonts w:ascii="Arial" w:hAnsi="Arial" w:cs="Arial"/>
        </w:rPr>
      </w:pPr>
      <w:r>
        <w:rPr>
          <w:rFonts w:ascii="Arial" w:hAnsi="Arial" w:cs="Arial"/>
        </w:rPr>
        <w:t>Based on</w:t>
      </w:r>
      <w:r w:rsidR="00B32F40" w:rsidRPr="0054781B">
        <w:rPr>
          <w:rFonts w:ascii="Arial" w:hAnsi="Arial" w:cs="Arial"/>
        </w:rPr>
        <w:t xml:space="preserve"> the evaluation, the following recommendations are</w:t>
      </w:r>
      <w:r w:rsidR="00010BB1" w:rsidRPr="0054781B">
        <w:rPr>
          <w:rFonts w:ascii="Arial" w:hAnsi="Arial" w:cs="Arial"/>
        </w:rPr>
        <w:t xml:space="preserve"> </w:t>
      </w:r>
      <w:r w:rsidR="00915F02" w:rsidRPr="0054781B">
        <w:rPr>
          <w:rFonts w:ascii="Arial" w:hAnsi="Arial" w:cs="Arial"/>
        </w:rPr>
        <w:t>suggested</w:t>
      </w:r>
      <w:r w:rsidR="00010BB1" w:rsidRPr="0054781B">
        <w:rPr>
          <w:rFonts w:ascii="Arial" w:hAnsi="Arial" w:cs="Arial"/>
        </w:rPr>
        <w:t xml:space="preserve"> to get a good market position</w:t>
      </w:r>
      <w:r w:rsidR="0054781B">
        <w:rPr>
          <w:rFonts w:ascii="Arial" w:hAnsi="Arial" w:cs="Arial"/>
        </w:rPr>
        <w:t>:</w:t>
      </w:r>
    </w:p>
    <w:p w14:paraId="3026EF77" w14:textId="682260F8" w:rsidR="00010BB1" w:rsidRPr="0054781B" w:rsidRDefault="00010BB1" w:rsidP="0054781B">
      <w:pPr>
        <w:pStyle w:val="ListParagraph"/>
        <w:numPr>
          <w:ilvl w:val="0"/>
          <w:numId w:val="31"/>
        </w:numPr>
        <w:rPr>
          <w:rFonts w:ascii="Arial" w:hAnsi="Arial" w:cs="Arial"/>
        </w:rPr>
      </w:pPr>
      <w:r w:rsidRPr="0054781B">
        <w:rPr>
          <w:rFonts w:ascii="Arial" w:hAnsi="Arial" w:cs="Arial"/>
        </w:rPr>
        <w:t xml:space="preserve">Ibis hotel has to further enhance sustainability initiatives and community engagement to align with the growing demand for responsibility. In addition to this, it should focus on the targeted marketing strategy to strengthen the brand loyalty and awareness across the various demographics </w:t>
      </w:r>
      <w:r w:rsidR="0054781B">
        <w:rPr>
          <w:rFonts w:ascii="Arial" w:hAnsi="Arial" w:cs="Arial"/>
        </w:rPr>
        <w:t>to</w:t>
      </w:r>
      <w:r w:rsidRPr="0054781B">
        <w:rPr>
          <w:rFonts w:ascii="Arial" w:hAnsi="Arial" w:cs="Arial"/>
        </w:rPr>
        <w:t xml:space="preserve"> boost its market presence.  </w:t>
      </w:r>
    </w:p>
    <w:p w14:paraId="60BD66A5" w14:textId="77777777" w:rsidR="00010BB1" w:rsidRDefault="00010BB1" w:rsidP="0054781B">
      <w:pPr>
        <w:pStyle w:val="ListParagraph"/>
        <w:numPr>
          <w:ilvl w:val="0"/>
          <w:numId w:val="31"/>
        </w:numPr>
        <w:rPr>
          <w:rFonts w:ascii="Arial" w:hAnsi="Arial" w:cs="Arial"/>
        </w:rPr>
      </w:pPr>
      <w:r w:rsidRPr="0054781B">
        <w:rPr>
          <w:rFonts w:ascii="Arial" w:hAnsi="Arial" w:cs="Arial"/>
        </w:rPr>
        <w:t>For the Corinthia hotel group, it is needed to capitalize on its luxury brand remain investing in the digital marketing for global visibility and exploring the innovative service that could enhance its exclusiveness.</w:t>
      </w:r>
    </w:p>
    <w:p w14:paraId="4ED42770" w14:textId="77777777" w:rsidR="004A4109" w:rsidRDefault="004A4109" w:rsidP="004A4109">
      <w:pPr>
        <w:rPr>
          <w:rFonts w:ascii="Arial" w:hAnsi="Arial" w:cs="Arial"/>
        </w:rPr>
      </w:pPr>
    </w:p>
    <w:p w14:paraId="15A27B14" w14:textId="77777777" w:rsidR="004A4109" w:rsidRDefault="004A4109" w:rsidP="004A4109">
      <w:pPr>
        <w:rPr>
          <w:rFonts w:ascii="Arial" w:hAnsi="Arial" w:cs="Arial"/>
        </w:rPr>
      </w:pPr>
    </w:p>
    <w:p w14:paraId="7E39BEB2" w14:textId="77777777" w:rsidR="004A4109" w:rsidRDefault="004A4109" w:rsidP="004A4109">
      <w:pPr>
        <w:rPr>
          <w:rFonts w:ascii="Arial" w:hAnsi="Arial" w:cs="Arial"/>
        </w:rPr>
      </w:pPr>
    </w:p>
    <w:p w14:paraId="5A5CE4BD" w14:textId="77777777" w:rsidR="004A4109" w:rsidRDefault="004A4109" w:rsidP="004A4109">
      <w:pPr>
        <w:rPr>
          <w:rFonts w:ascii="Arial" w:hAnsi="Arial" w:cs="Arial"/>
        </w:rPr>
      </w:pPr>
    </w:p>
    <w:p w14:paraId="3847A707" w14:textId="77777777" w:rsidR="004A4109" w:rsidRDefault="004A4109" w:rsidP="004A4109">
      <w:pPr>
        <w:rPr>
          <w:rFonts w:ascii="Arial" w:hAnsi="Arial" w:cs="Arial"/>
        </w:rPr>
      </w:pPr>
    </w:p>
    <w:p w14:paraId="2D04A35B" w14:textId="77777777" w:rsidR="004A4109" w:rsidRDefault="004A4109" w:rsidP="004A4109">
      <w:pPr>
        <w:rPr>
          <w:rFonts w:ascii="Arial" w:hAnsi="Arial" w:cs="Arial"/>
        </w:rPr>
      </w:pPr>
    </w:p>
    <w:p w14:paraId="414E9177" w14:textId="77777777" w:rsidR="004A4109" w:rsidRDefault="004A4109" w:rsidP="004A4109">
      <w:pPr>
        <w:rPr>
          <w:rFonts w:ascii="Arial" w:hAnsi="Arial" w:cs="Arial"/>
        </w:rPr>
      </w:pPr>
    </w:p>
    <w:p w14:paraId="7798EAFA" w14:textId="77777777" w:rsidR="004A4109" w:rsidRDefault="004A4109" w:rsidP="004A4109">
      <w:pPr>
        <w:rPr>
          <w:rFonts w:ascii="Arial" w:hAnsi="Arial" w:cs="Arial"/>
        </w:rPr>
      </w:pPr>
    </w:p>
    <w:p w14:paraId="5D2C1DEC" w14:textId="77777777" w:rsidR="004A4109" w:rsidRDefault="004A4109" w:rsidP="004A4109">
      <w:pPr>
        <w:rPr>
          <w:rFonts w:ascii="Arial" w:hAnsi="Arial" w:cs="Arial"/>
        </w:rPr>
      </w:pPr>
    </w:p>
    <w:p w14:paraId="03F00A22" w14:textId="77777777" w:rsidR="004A4109" w:rsidRDefault="004A4109" w:rsidP="004A4109">
      <w:pPr>
        <w:rPr>
          <w:rFonts w:ascii="Arial" w:hAnsi="Arial" w:cs="Arial"/>
        </w:rPr>
      </w:pPr>
    </w:p>
    <w:p w14:paraId="59969B92" w14:textId="77777777" w:rsidR="004A4109" w:rsidRDefault="004A4109" w:rsidP="004A4109">
      <w:pPr>
        <w:rPr>
          <w:rFonts w:ascii="Arial" w:hAnsi="Arial" w:cs="Arial"/>
        </w:rPr>
      </w:pPr>
    </w:p>
    <w:p w14:paraId="4DEC9DB8" w14:textId="77777777" w:rsidR="004A4109" w:rsidRDefault="004A4109" w:rsidP="004A4109">
      <w:pPr>
        <w:rPr>
          <w:rFonts w:ascii="Arial" w:hAnsi="Arial" w:cs="Arial"/>
        </w:rPr>
      </w:pPr>
    </w:p>
    <w:p w14:paraId="7941323F" w14:textId="77777777" w:rsidR="004A4109" w:rsidRDefault="004A4109" w:rsidP="004A4109">
      <w:pPr>
        <w:rPr>
          <w:rFonts w:ascii="Arial" w:hAnsi="Arial" w:cs="Arial"/>
        </w:rPr>
      </w:pPr>
    </w:p>
    <w:p w14:paraId="6C50E4EE" w14:textId="77777777" w:rsidR="004A4109" w:rsidRDefault="004A4109" w:rsidP="004A4109">
      <w:pPr>
        <w:rPr>
          <w:rFonts w:ascii="Arial" w:hAnsi="Arial" w:cs="Arial"/>
        </w:rPr>
      </w:pPr>
    </w:p>
    <w:p w14:paraId="10C2614E" w14:textId="77777777" w:rsidR="004A4109" w:rsidRDefault="004A4109" w:rsidP="004A4109">
      <w:pPr>
        <w:rPr>
          <w:rFonts w:ascii="Arial" w:hAnsi="Arial" w:cs="Arial"/>
        </w:rPr>
      </w:pPr>
    </w:p>
    <w:p w14:paraId="1AE99DC1" w14:textId="77777777" w:rsidR="004A4109" w:rsidRDefault="004A4109" w:rsidP="004A4109">
      <w:pPr>
        <w:rPr>
          <w:rFonts w:ascii="Arial" w:hAnsi="Arial" w:cs="Arial"/>
        </w:rPr>
      </w:pPr>
    </w:p>
    <w:p w14:paraId="66989ED9" w14:textId="77777777" w:rsidR="004A4109" w:rsidRDefault="004A4109" w:rsidP="004A4109">
      <w:pPr>
        <w:rPr>
          <w:rFonts w:ascii="Arial" w:hAnsi="Arial" w:cs="Arial"/>
        </w:rPr>
      </w:pPr>
    </w:p>
    <w:p w14:paraId="58CF89F1" w14:textId="77777777" w:rsidR="004A4109" w:rsidRPr="004A4109" w:rsidRDefault="004A4109" w:rsidP="004A4109">
      <w:pPr>
        <w:rPr>
          <w:rFonts w:ascii="Arial" w:hAnsi="Arial" w:cs="Arial"/>
        </w:rPr>
      </w:pPr>
    </w:p>
    <w:p w14:paraId="5D17AD8B" w14:textId="77777777" w:rsidR="000B14A4" w:rsidRPr="0054781B" w:rsidRDefault="000B14A4" w:rsidP="0054781B">
      <w:pPr>
        <w:rPr>
          <w:rFonts w:ascii="Arial" w:hAnsi="Arial" w:cs="Arial"/>
        </w:rPr>
      </w:pPr>
    </w:p>
    <w:p w14:paraId="70699305" w14:textId="77777777" w:rsidR="00FD0425" w:rsidRPr="0054781B" w:rsidRDefault="00FD0425" w:rsidP="0054781B">
      <w:pPr>
        <w:pStyle w:val="Heading1"/>
        <w:numPr>
          <w:ilvl w:val="0"/>
          <w:numId w:val="0"/>
        </w:numPr>
        <w:rPr>
          <w:rFonts w:ascii="Arial" w:hAnsi="Arial" w:cs="Arial"/>
        </w:rPr>
      </w:pPr>
      <w:bookmarkStart w:id="12" w:name="_Toc157769808"/>
      <w:r w:rsidRPr="0054781B">
        <w:rPr>
          <w:rFonts w:ascii="Arial" w:hAnsi="Arial" w:cs="Arial"/>
        </w:rPr>
        <w:lastRenderedPageBreak/>
        <w:t>CONCLUSION</w:t>
      </w:r>
      <w:bookmarkEnd w:id="12"/>
    </w:p>
    <w:p w14:paraId="1D3A2BBE" w14:textId="2B2499FA" w:rsidR="003020BB" w:rsidRPr="0054781B" w:rsidRDefault="003020BB" w:rsidP="0054781B">
      <w:pPr>
        <w:rPr>
          <w:rFonts w:ascii="Arial" w:hAnsi="Arial" w:cs="Arial"/>
        </w:rPr>
      </w:pPr>
      <w:r w:rsidRPr="0054781B">
        <w:rPr>
          <w:rFonts w:ascii="Arial" w:hAnsi="Arial" w:cs="Arial"/>
        </w:rPr>
        <w:t xml:space="preserve">It is concluded </w:t>
      </w:r>
      <w:r w:rsidR="00010BB1" w:rsidRPr="0054781B">
        <w:rPr>
          <w:rFonts w:ascii="Arial" w:hAnsi="Arial" w:cs="Arial"/>
        </w:rPr>
        <w:t>from the above report that the comparison between the prominent hotel group had been done by considering market positioning, revenue strategy and target demographics. Ibis in the part of the Accor group that is a global brand which is focused on budget-friendly accommodation and serving to the different type of age group</w:t>
      </w:r>
      <w:r w:rsidR="009547DA">
        <w:rPr>
          <w:rFonts w:ascii="Arial" w:hAnsi="Arial" w:cs="Arial"/>
        </w:rPr>
        <w:t xml:space="preserve"> (Cheng, 2019)</w:t>
      </w:r>
      <w:r w:rsidR="00010BB1" w:rsidRPr="0054781B">
        <w:rPr>
          <w:rFonts w:ascii="Arial" w:hAnsi="Arial" w:cs="Arial"/>
        </w:rPr>
        <w:t>. It is giving commitment for the sustainability and participation programs like WATCH that show social responsibility approach at the global leve</w:t>
      </w:r>
      <w:r w:rsidR="00915F02" w:rsidRPr="0054781B">
        <w:rPr>
          <w:rFonts w:ascii="Arial" w:hAnsi="Arial" w:cs="Arial"/>
        </w:rPr>
        <w:t>l. On the other hand, Corinthia</w:t>
      </w:r>
      <w:r w:rsidR="00010BB1" w:rsidRPr="0054781B">
        <w:rPr>
          <w:rFonts w:ascii="Arial" w:hAnsi="Arial" w:cs="Arial"/>
        </w:rPr>
        <w:t xml:space="preserve"> group is a luxury brand focus on exclusiveness and attract the different investors. The financial commitment to the CSR is evident in both the considered organization with the present diverse poles within the industry are serving effectively in the chosen market industry with the different type of strategy and planning</w:t>
      </w:r>
      <w:r w:rsidR="00915F02" w:rsidRPr="0054781B">
        <w:rPr>
          <w:rFonts w:ascii="Arial" w:hAnsi="Arial" w:cs="Arial"/>
        </w:rPr>
        <w:t>.</w:t>
      </w:r>
    </w:p>
    <w:p w14:paraId="5BACD47D" w14:textId="77777777" w:rsidR="00915F02" w:rsidRPr="0054781B" w:rsidRDefault="00915F02" w:rsidP="0054781B">
      <w:pPr>
        <w:rPr>
          <w:rFonts w:ascii="Arial" w:hAnsi="Arial" w:cs="Arial"/>
        </w:rPr>
      </w:pPr>
    </w:p>
    <w:p w14:paraId="1060AFA8" w14:textId="77777777" w:rsidR="00915F02" w:rsidRPr="0054781B" w:rsidRDefault="00915F02" w:rsidP="0054781B">
      <w:pPr>
        <w:suppressAutoHyphens w:val="0"/>
        <w:jc w:val="left"/>
        <w:rPr>
          <w:rFonts w:ascii="Arial" w:hAnsi="Arial" w:cs="Arial"/>
        </w:rPr>
      </w:pPr>
      <w:r w:rsidRPr="0054781B">
        <w:rPr>
          <w:rFonts w:ascii="Arial" w:hAnsi="Arial" w:cs="Arial"/>
        </w:rPr>
        <w:br w:type="page"/>
      </w:r>
    </w:p>
    <w:p w14:paraId="683F7740" w14:textId="77777777" w:rsidR="00FD0425" w:rsidRPr="0054781B" w:rsidRDefault="00FD0425" w:rsidP="0054781B">
      <w:pPr>
        <w:pStyle w:val="Heading1"/>
        <w:numPr>
          <w:ilvl w:val="0"/>
          <w:numId w:val="0"/>
        </w:numPr>
        <w:rPr>
          <w:rFonts w:ascii="Arial" w:hAnsi="Arial" w:cs="Arial"/>
        </w:rPr>
      </w:pPr>
      <w:bookmarkStart w:id="13" w:name="_Toc157769809"/>
      <w:r w:rsidRPr="0054781B">
        <w:rPr>
          <w:rFonts w:ascii="Arial" w:hAnsi="Arial" w:cs="Arial"/>
        </w:rPr>
        <w:lastRenderedPageBreak/>
        <w:t>REFERENCES</w:t>
      </w:r>
      <w:bookmarkEnd w:id="13"/>
    </w:p>
    <w:p w14:paraId="480ABF27" w14:textId="77777777" w:rsidR="00A45245" w:rsidRPr="0054781B" w:rsidRDefault="00A45245" w:rsidP="00C43840">
      <w:pPr>
        <w:jc w:val="left"/>
        <w:rPr>
          <w:rFonts w:ascii="Arial" w:hAnsi="Arial" w:cs="Arial"/>
        </w:rPr>
      </w:pPr>
      <w:r w:rsidRPr="00C43840">
        <w:rPr>
          <w:rFonts w:ascii="Arial" w:hAnsi="Arial" w:cs="Arial"/>
        </w:rPr>
        <w:t xml:space="preserve">Accor (2023) </w:t>
      </w:r>
      <w:r w:rsidRPr="00C43840">
        <w:rPr>
          <w:rFonts w:ascii="Arial" w:hAnsi="Arial" w:cs="Arial"/>
          <w:i/>
          <w:iCs/>
        </w:rPr>
        <w:t>Accor - financial result</w:t>
      </w:r>
      <w:r w:rsidRPr="00C43840">
        <w:rPr>
          <w:rFonts w:ascii="Arial" w:hAnsi="Arial" w:cs="Arial"/>
        </w:rPr>
        <w:t xml:space="preserve">. Available at: https://group.accor.com/en/finance/results-and-publications/financial-result (Accessed: 01 February 2024). </w:t>
      </w:r>
    </w:p>
    <w:p w14:paraId="5F541501" w14:textId="77777777" w:rsidR="00A45245" w:rsidRPr="0054781B" w:rsidRDefault="00A45245" w:rsidP="00471F96">
      <w:pPr>
        <w:ind w:left="720" w:hanging="720"/>
        <w:rPr>
          <w:rFonts w:ascii="Arial" w:hAnsi="Arial" w:cs="Arial"/>
        </w:rPr>
      </w:pPr>
      <w:r w:rsidRPr="00471F96">
        <w:rPr>
          <w:rFonts w:ascii="Arial" w:hAnsi="Arial" w:cs="Arial"/>
        </w:rPr>
        <w:t xml:space="preserve">Accor (2024) </w:t>
      </w:r>
      <w:r w:rsidRPr="00471F96">
        <w:rPr>
          <w:rFonts w:ascii="Arial" w:hAnsi="Arial" w:cs="Arial"/>
          <w:i/>
          <w:iCs/>
        </w:rPr>
        <w:t>Environment &amp; CSR - Accor</w:t>
      </w:r>
      <w:r w:rsidRPr="00471F96">
        <w:rPr>
          <w:rFonts w:ascii="Arial" w:hAnsi="Arial" w:cs="Arial"/>
        </w:rPr>
        <w:t xml:space="preserve">. Available at: https://group.accor.com/en/hotel-development/Optimise-your-costs/Environment-and-CSR (Accessed: 01 February 2024). </w:t>
      </w:r>
    </w:p>
    <w:p w14:paraId="37B6BF66" w14:textId="77777777" w:rsidR="00A45245" w:rsidRPr="0054781B" w:rsidRDefault="00A45245" w:rsidP="0054781B">
      <w:pPr>
        <w:ind w:left="810" w:hanging="810"/>
        <w:rPr>
          <w:rFonts w:ascii="Arial" w:hAnsi="Arial" w:cs="Arial"/>
        </w:rPr>
      </w:pPr>
      <w:r w:rsidRPr="0054781B">
        <w:rPr>
          <w:rFonts w:ascii="Arial" w:hAnsi="Arial" w:cs="Arial"/>
        </w:rPr>
        <w:t xml:space="preserve">Bagdadi, A., </w:t>
      </w:r>
      <w:r>
        <w:rPr>
          <w:rFonts w:ascii="Arial" w:hAnsi="Arial" w:cs="Arial"/>
        </w:rPr>
        <w:t>(</w:t>
      </w:r>
      <w:r w:rsidRPr="0054781B">
        <w:rPr>
          <w:rFonts w:ascii="Arial" w:hAnsi="Arial" w:cs="Arial"/>
        </w:rPr>
        <w:t>2023</w:t>
      </w:r>
      <w:r>
        <w:rPr>
          <w:rFonts w:ascii="Arial" w:hAnsi="Arial" w:cs="Arial"/>
        </w:rPr>
        <w:t>)</w:t>
      </w:r>
      <w:r w:rsidRPr="0054781B">
        <w:rPr>
          <w:rFonts w:ascii="Arial" w:hAnsi="Arial" w:cs="Arial"/>
        </w:rPr>
        <w:t>. Corporate social responsibility practices within the scope of sustainable tourism: A research at Accor Hotels. Prosperitas, 10(1).</w:t>
      </w:r>
    </w:p>
    <w:p w14:paraId="78D98571" w14:textId="77777777" w:rsidR="00A45245" w:rsidRPr="0054781B" w:rsidRDefault="00A45245" w:rsidP="0054781B">
      <w:pPr>
        <w:ind w:left="810" w:hanging="810"/>
        <w:rPr>
          <w:rFonts w:ascii="Arial" w:hAnsi="Arial" w:cs="Arial"/>
        </w:rPr>
      </w:pPr>
      <w:r w:rsidRPr="0054781B">
        <w:rPr>
          <w:rFonts w:ascii="Arial" w:hAnsi="Arial" w:cs="Arial"/>
        </w:rPr>
        <w:t xml:space="preserve">Bouslah, K., Hmaittane, A., Kryzanowski, L. and M’Zali, B., </w:t>
      </w:r>
      <w:r>
        <w:rPr>
          <w:rFonts w:ascii="Arial" w:hAnsi="Arial" w:cs="Arial"/>
        </w:rPr>
        <w:t>(</w:t>
      </w:r>
      <w:r w:rsidRPr="0054781B">
        <w:rPr>
          <w:rFonts w:ascii="Arial" w:hAnsi="Arial" w:cs="Arial"/>
        </w:rPr>
        <w:t>2023</w:t>
      </w:r>
      <w:r>
        <w:rPr>
          <w:rFonts w:ascii="Arial" w:hAnsi="Arial" w:cs="Arial"/>
        </w:rPr>
        <w:t>)</w:t>
      </w:r>
      <w:r w:rsidRPr="0054781B">
        <w:rPr>
          <w:rFonts w:ascii="Arial" w:hAnsi="Arial" w:cs="Arial"/>
        </w:rPr>
        <w:t>. CSR structures: Evidence, drivers, and firm value implications. Journal of Business Ethics, 185(1), pp.115-145.</w:t>
      </w:r>
    </w:p>
    <w:p w14:paraId="4BE134A4" w14:textId="77777777" w:rsidR="00A45245" w:rsidRPr="009547DA" w:rsidRDefault="00A45245" w:rsidP="009547DA">
      <w:pPr>
        <w:ind w:left="810" w:hanging="810"/>
        <w:rPr>
          <w:rFonts w:ascii="Arial" w:hAnsi="Arial" w:cs="Arial"/>
        </w:rPr>
      </w:pPr>
      <w:r w:rsidRPr="009547DA">
        <w:rPr>
          <w:rFonts w:ascii="Arial" w:hAnsi="Arial" w:cs="Arial"/>
        </w:rPr>
        <w:t>Cheng, J. (2019). Research and Suggestions on Declining Market Shares of Ibis Budget Hotels. </w:t>
      </w:r>
      <w:r w:rsidRPr="009547DA">
        <w:rPr>
          <w:rFonts w:ascii="Arial" w:hAnsi="Arial" w:cs="Arial"/>
          <w:i/>
          <w:iCs/>
        </w:rPr>
        <w:t>Open Journal of Social Sciences</w:t>
      </w:r>
      <w:r w:rsidRPr="009547DA">
        <w:rPr>
          <w:rFonts w:ascii="Arial" w:hAnsi="Arial" w:cs="Arial"/>
        </w:rPr>
        <w:t>, </w:t>
      </w:r>
      <w:r w:rsidRPr="009547DA">
        <w:rPr>
          <w:rFonts w:ascii="Arial" w:hAnsi="Arial" w:cs="Arial"/>
          <w:i/>
          <w:iCs/>
        </w:rPr>
        <w:t>8</w:t>
      </w:r>
      <w:r w:rsidRPr="009547DA">
        <w:rPr>
          <w:rFonts w:ascii="Arial" w:hAnsi="Arial" w:cs="Arial"/>
        </w:rPr>
        <w:t>(1), 253-261.</w:t>
      </w:r>
    </w:p>
    <w:p w14:paraId="19AD4355" w14:textId="77777777" w:rsidR="00A45245" w:rsidRPr="0054781B" w:rsidRDefault="00A45245" w:rsidP="00471F96">
      <w:pPr>
        <w:ind w:left="720" w:hanging="720"/>
        <w:rPr>
          <w:rFonts w:ascii="Arial" w:hAnsi="Arial" w:cs="Arial"/>
        </w:rPr>
      </w:pPr>
      <w:r w:rsidRPr="00471F96">
        <w:rPr>
          <w:rFonts w:ascii="Arial" w:hAnsi="Arial" w:cs="Arial"/>
        </w:rPr>
        <w:t xml:space="preserve">Corinthia Group (2021) </w:t>
      </w:r>
      <w:r w:rsidRPr="00471F96">
        <w:rPr>
          <w:rFonts w:ascii="Arial" w:hAnsi="Arial" w:cs="Arial"/>
          <w:i/>
          <w:iCs/>
        </w:rPr>
        <w:t>2021 Annual Report - Corinthia Group of Companies</w:t>
      </w:r>
      <w:r w:rsidRPr="00471F96">
        <w:rPr>
          <w:rFonts w:ascii="Arial" w:hAnsi="Arial" w:cs="Arial"/>
        </w:rPr>
        <w:t xml:space="preserve">. Available at: https://www.corinthiagroup.com/wp-content/uploads/2022/05/Corinthia-Annual-Report-2021.pdf (Accessed: 01 February 2024). </w:t>
      </w:r>
    </w:p>
    <w:p w14:paraId="26FCDFDC" w14:textId="77777777" w:rsidR="00A45245" w:rsidRPr="0054781B" w:rsidRDefault="00A45245" w:rsidP="0054781B">
      <w:pPr>
        <w:ind w:left="810" w:hanging="810"/>
        <w:rPr>
          <w:rFonts w:ascii="Arial" w:hAnsi="Arial" w:cs="Arial"/>
        </w:rPr>
      </w:pPr>
      <w:r w:rsidRPr="0054781B">
        <w:rPr>
          <w:rFonts w:ascii="Arial" w:hAnsi="Arial" w:cs="Arial"/>
        </w:rPr>
        <w:t xml:space="preserve">Demirçiftçi, T. and Kizilirmak, İ., </w:t>
      </w:r>
      <w:r>
        <w:rPr>
          <w:rFonts w:ascii="Arial" w:hAnsi="Arial" w:cs="Arial"/>
        </w:rPr>
        <w:t>(</w:t>
      </w:r>
      <w:r w:rsidRPr="0054781B">
        <w:rPr>
          <w:rFonts w:ascii="Arial" w:hAnsi="Arial" w:cs="Arial"/>
        </w:rPr>
        <w:t>2016</w:t>
      </w:r>
      <w:r>
        <w:rPr>
          <w:rFonts w:ascii="Arial" w:hAnsi="Arial" w:cs="Arial"/>
        </w:rPr>
        <w:t>)</w:t>
      </w:r>
      <w:r w:rsidRPr="0054781B">
        <w:rPr>
          <w:rFonts w:ascii="Arial" w:hAnsi="Arial" w:cs="Arial"/>
        </w:rPr>
        <w:t>. Strategic branding in hospitality: Case of Accor Hotels. Journal of Tourismology, 2(1), pp.50-64.</w:t>
      </w:r>
    </w:p>
    <w:p w14:paraId="4E24B571" w14:textId="77777777" w:rsidR="00A45245" w:rsidRPr="0054781B" w:rsidRDefault="00A45245" w:rsidP="0054781B">
      <w:pPr>
        <w:ind w:left="810" w:hanging="810"/>
        <w:rPr>
          <w:rFonts w:ascii="Arial" w:hAnsi="Arial" w:cs="Arial"/>
        </w:rPr>
      </w:pPr>
      <w:r w:rsidRPr="0054781B">
        <w:rPr>
          <w:rFonts w:ascii="Arial" w:hAnsi="Arial" w:cs="Arial"/>
          <w:lang w:val="it-IT"/>
        </w:rPr>
        <w:t xml:space="preserve">Fatima, T. and Elbanna, S., (2023). </w:t>
      </w:r>
      <w:r w:rsidRPr="0054781B">
        <w:rPr>
          <w:rFonts w:ascii="Arial" w:hAnsi="Arial" w:cs="Arial"/>
        </w:rPr>
        <w:t>Corporate social responsibility (CSR) implementation: A review and a research agenda towards an integrative framework. Journal of Business Ethics, 183(1), pp.105-121.</w:t>
      </w:r>
    </w:p>
    <w:p w14:paraId="71518491" w14:textId="77777777" w:rsidR="00A45245" w:rsidRPr="0054781B" w:rsidRDefault="00A45245" w:rsidP="0054781B">
      <w:pPr>
        <w:ind w:left="810" w:hanging="810"/>
        <w:rPr>
          <w:rFonts w:ascii="Arial" w:hAnsi="Arial" w:cs="Arial"/>
        </w:rPr>
      </w:pPr>
      <w:r w:rsidRPr="0054781B">
        <w:rPr>
          <w:rFonts w:ascii="Arial" w:hAnsi="Arial" w:cs="Arial"/>
        </w:rPr>
        <w:t xml:space="preserve">Haeruddin, M.I.W., Musa, M.I. and Kurniawan, A.W., </w:t>
      </w:r>
      <w:r>
        <w:rPr>
          <w:rFonts w:ascii="Arial" w:hAnsi="Arial" w:cs="Arial"/>
        </w:rPr>
        <w:t>(</w:t>
      </w:r>
      <w:r w:rsidRPr="0054781B">
        <w:rPr>
          <w:rFonts w:ascii="Arial" w:hAnsi="Arial" w:cs="Arial"/>
        </w:rPr>
        <w:t>2023</w:t>
      </w:r>
      <w:r>
        <w:rPr>
          <w:rFonts w:ascii="Arial" w:hAnsi="Arial" w:cs="Arial"/>
        </w:rPr>
        <w:t>)</w:t>
      </w:r>
      <w:r w:rsidRPr="0054781B">
        <w:rPr>
          <w:rFonts w:ascii="Arial" w:hAnsi="Arial" w:cs="Arial"/>
        </w:rPr>
        <w:t>. Marketing strategy analysis in a global market. Journal Management &amp; Economics Review (JUMPER), 1(1), pp.17-24.</w:t>
      </w:r>
    </w:p>
    <w:p w14:paraId="5F57AAAE" w14:textId="77777777" w:rsidR="00A45245" w:rsidRDefault="00A45245" w:rsidP="009547DA">
      <w:pPr>
        <w:ind w:left="810" w:hanging="810"/>
        <w:rPr>
          <w:rFonts w:ascii="Arial" w:hAnsi="Arial" w:cs="Arial"/>
        </w:rPr>
      </w:pPr>
      <w:r w:rsidRPr="009547DA">
        <w:rPr>
          <w:rFonts w:ascii="Arial" w:hAnsi="Arial" w:cs="Arial"/>
        </w:rPr>
        <w:t xml:space="preserve">IBISWorld (2024) </w:t>
      </w:r>
      <w:r w:rsidRPr="009547DA">
        <w:rPr>
          <w:rFonts w:ascii="Arial" w:hAnsi="Arial" w:cs="Arial"/>
          <w:i/>
          <w:iCs/>
        </w:rPr>
        <w:t>Hotels in the UK - market size, industry analysis, trends, and forecasts (2024-2029): IBISWorld</w:t>
      </w:r>
      <w:r w:rsidRPr="009547DA">
        <w:rPr>
          <w:rFonts w:ascii="Arial" w:hAnsi="Arial" w:cs="Arial"/>
        </w:rPr>
        <w:t xml:space="preserve">, </w:t>
      </w:r>
      <w:r w:rsidRPr="009547DA">
        <w:rPr>
          <w:rFonts w:ascii="Arial" w:hAnsi="Arial" w:cs="Arial"/>
          <w:i/>
          <w:iCs/>
        </w:rPr>
        <w:t>IBISWorld Industry Reports</w:t>
      </w:r>
      <w:r w:rsidRPr="009547DA">
        <w:rPr>
          <w:rFonts w:ascii="Arial" w:hAnsi="Arial" w:cs="Arial"/>
        </w:rPr>
        <w:t xml:space="preserve">. Available at: https://www.ibisworld.com/united-kingdom/market-research-reports/hotels-industry/ (Accessed: 01 February 2024). </w:t>
      </w:r>
    </w:p>
    <w:p w14:paraId="413BC6BA" w14:textId="77777777" w:rsidR="00A45245" w:rsidRPr="0054781B" w:rsidRDefault="00A45245" w:rsidP="00C43840">
      <w:pPr>
        <w:ind w:left="720" w:hanging="720"/>
        <w:rPr>
          <w:rFonts w:ascii="Arial" w:hAnsi="Arial" w:cs="Arial"/>
        </w:rPr>
      </w:pPr>
      <w:r w:rsidRPr="00C43840">
        <w:rPr>
          <w:rFonts w:ascii="Arial" w:hAnsi="Arial" w:cs="Arial"/>
        </w:rPr>
        <w:lastRenderedPageBreak/>
        <w:t xml:space="preserve">Kunst, A. (2023) </w:t>
      </w:r>
      <w:r w:rsidRPr="00C43840">
        <w:rPr>
          <w:rFonts w:ascii="Arial" w:hAnsi="Arial" w:cs="Arial"/>
          <w:i/>
          <w:iCs/>
        </w:rPr>
        <w:t>Ibis Brand Profile UK 2022</w:t>
      </w:r>
      <w:r w:rsidRPr="00C43840">
        <w:rPr>
          <w:rFonts w:ascii="Arial" w:hAnsi="Arial" w:cs="Arial"/>
        </w:rPr>
        <w:t xml:space="preserve">, </w:t>
      </w:r>
      <w:r w:rsidRPr="00C43840">
        <w:rPr>
          <w:rFonts w:ascii="Arial" w:hAnsi="Arial" w:cs="Arial"/>
          <w:i/>
          <w:iCs/>
        </w:rPr>
        <w:t>Statista</w:t>
      </w:r>
      <w:r w:rsidRPr="00C43840">
        <w:rPr>
          <w:rFonts w:ascii="Arial" w:hAnsi="Arial" w:cs="Arial"/>
        </w:rPr>
        <w:t xml:space="preserve">. Available at: https://www.statista.com/forecasts/1335566/ibis-hotels-brand-profile-in-the-uk (Accessed: 01 February 2024). </w:t>
      </w:r>
    </w:p>
    <w:p w14:paraId="2D43AE87" w14:textId="77777777" w:rsidR="00A45245" w:rsidRPr="0054781B" w:rsidRDefault="00A45245" w:rsidP="0054781B">
      <w:pPr>
        <w:ind w:left="810" w:hanging="810"/>
        <w:rPr>
          <w:rFonts w:ascii="Arial" w:hAnsi="Arial" w:cs="Arial"/>
        </w:rPr>
      </w:pPr>
      <w:r w:rsidRPr="0054781B">
        <w:rPr>
          <w:rFonts w:ascii="Arial" w:hAnsi="Arial" w:cs="Arial"/>
        </w:rPr>
        <w:t xml:space="preserve">Kyere, M. and Ausloos, M., </w:t>
      </w:r>
      <w:r>
        <w:rPr>
          <w:rFonts w:ascii="Arial" w:hAnsi="Arial" w:cs="Arial"/>
        </w:rPr>
        <w:t>(</w:t>
      </w:r>
      <w:r w:rsidRPr="0054781B">
        <w:rPr>
          <w:rFonts w:ascii="Arial" w:hAnsi="Arial" w:cs="Arial"/>
        </w:rPr>
        <w:t>2021</w:t>
      </w:r>
      <w:r>
        <w:rPr>
          <w:rFonts w:ascii="Arial" w:hAnsi="Arial" w:cs="Arial"/>
        </w:rPr>
        <w:t>)</w:t>
      </w:r>
      <w:r w:rsidRPr="0054781B">
        <w:rPr>
          <w:rFonts w:ascii="Arial" w:hAnsi="Arial" w:cs="Arial"/>
        </w:rPr>
        <w:t>. Corporate governance and firms’ financial performance in the United Kingdom. International Journal of Finance &amp; Economics, 26(2), pp.1871-1885.</w:t>
      </w:r>
    </w:p>
    <w:p w14:paraId="188B4C88" w14:textId="77777777" w:rsidR="00A45245" w:rsidRPr="0054781B" w:rsidRDefault="00A45245" w:rsidP="0054781B">
      <w:pPr>
        <w:ind w:left="810" w:hanging="810"/>
        <w:rPr>
          <w:rFonts w:ascii="Arial" w:hAnsi="Arial" w:cs="Arial"/>
        </w:rPr>
      </w:pPr>
      <w:r w:rsidRPr="0054781B">
        <w:rPr>
          <w:rFonts w:ascii="Arial" w:hAnsi="Arial" w:cs="Arial"/>
        </w:rPr>
        <w:t xml:space="preserve">Min, J., Kim, J. and Yang, K., </w:t>
      </w:r>
      <w:r>
        <w:rPr>
          <w:rFonts w:ascii="Arial" w:hAnsi="Arial" w:cs="Arial"/>
        </w:rPr>
        <w:t>(</w:t>
      </w:r>
      <w:r w:rsidRPr="0054781B">
        <w:rPr>
          <w:rFonts w:ascii="Arial" w:hAnsi="Arial" w:cs="Arial"/>
        </w:rPr>
        <w:t>2023</w:t>
      </w:r>
      <w:r>
        <w:rPr>
          <w:rFonts w:ascii="Arial" w:hAnsi="Arial" w:cs="Arial"/>
        </w:rPr>
        <w:t>)</w:t>
      </w:r>
      <w:r w:rsidRPr="0054781B">
        <w:rPr>
          <w:rFonts w:ascii="Arial" w:hAnsi="Arial" w:cs="Arial"/>
        </w:rPr>
        <w:t>. CSR attributions and the moderating effect of perceived CSR fit on consumer trust, identification, and loyalty. Journal of Retailing and Consumer Services, 72, p.103274.</w:t>
      </w:r>
    </w:p>
    <w:p w14:paraId="3303CEEE" w14:textId="77777777" w:rsidR="00A45245" w:rsidRPr="0054781B" w:rsidRDefault="00A45245" w:rsidP="0054781B">
      <w:pPr>
        <w:ind w:left="810" w:hanging="810"/>
        <w:rPr>
          <w:rFonts w:ascii="Arial" w:hAnsi="Arial" w:cs="Arial"/>
        </w:rPr>
      </w:pPr>
      <w:r w:rsidRPr="0054781B">
        <w:rPr>
          <w:rFonts w:ascii="Arial" w:hAnsi="Arial" w:cs="Arial"/>
        </w:rPr>
        <w:t xml:space="preserve">Nga, M.N.T.T., </w:t>
      </w:r>
      <w:r>
        <w:rPr>
          <w:rFonts w:ascii="Arial" w:hAnsi="Arial" w:cs="Arial"/>
        </w:rPr>
        <w:t>(</w:t>
      </w:r>
      <w:r w:rsidRPr="0054781B">
        <w:rPr>
          <w:rFonts w:ascii="Arial" w:hAnsi="Arial" w:cs="Arial"/>
        </w:rPr>
        <w:t>2020</w:t>
      </w:r>
      <w:r>
        <w:rPr>
          <w:rFonts w:ascii="Arial" w:hAnsi="Arial" w:cs="Arial"/>
        </w:rPr>
        <w:t>)</w:t>
      </w:r>
      <w:r w:rsidRPr="0054781B">
        <w:rPr>
          <w:rFonts w:ascii="Arial" w:hAnsi="Arial" w:cs="Arial"/>
        </w:rPr>
        <w:t>. Corporate social responsibility: a case study of accor hotels group. Sustainable tourism: Shaping a Better Future, 203.</w:t>
      </w:r>
    </w:p>
    <w:p w14:paraId="34264BEA" w14:textId="77777777" w:rsidR="00A45245" w:rsidRPr="0054781B" w:rsidRDefault="00A45245" w:rsidP="0054781B">
      <w:pPr>
        <w:ind w:left="810" w:hanging="810"/>
        <w:rPr>
          <w:rFonts w:ascii="Arial" w:hAnsi="Arial" w:cs="Arial"/>
        </w:rPr>
      </w:pPr>
      <w:r w:rsidRPr="0054781B">
        <w:rPr>
          <w:rFonts w:ascii="Arial" w:hAnsi="Arial" w:cs="Arial"/>
        </w:rPr>
        <w:t xml:space="preserve">Sainaghi, R., Baggio, R., Phillips, P. and Mauri, A.G., </w:t>
      </w:r>
      <w:r>
        <w:rPr>
          <w:rFonts w:ascii="Arial" w:hAnsi="Arial" w:cs="Arial"/>
        </w:rPr>
        <w:t>(</w:t>
      </w:r>
      <w:r w:rsidRPr="0054781B">
        <w:rPr>
          <w:rFonts w:ascii="Arial" w:hAnsi="Arial" w:cs="Arial"/>
        </w:rPr>
        <w:t>2020</w:t>
      </w:r>
      <w:r>
        <w:rPr>
          <w:rFonts w:ascii="Arial" w:hAnsi="Arial" w:cs="Arial"/>
        </w:rPr>
        <w:t>)</w:t>
      </w:r>
      <w:r w:rsidRPr="0054781B">
        <w:rPr>
          <w:rFonts w:ascii="Arial" w:hAnsi="Arial" w:cs="Arial"/>
        </w:rPr>
        <w:t>. Hotel performance and research streams: a network cluster analysis. International Journal of Contemporary Hospitality Management, 32(2), pp.425-462.</w:t>
      </w:r>
    </w:p>
    <w:p w14:paraId="3C3B267A" w14:textId="77777777" w:rsidR="00A45245" w:rsidRDefault="00A45245" w:rsidP="0054781B">
      <w:pPr>
        <w:ind w:left="810" w:hanging="810"/>
        <w:rPr>
          <w:rFonts w:ascii="Arial" w:hAnsi="Arial" w:cs="Arial"/>
        </w:rPr>
      </w:pPr>
      <w:r w:rsidRPr="0054781B">
        <w:rPr>
          <w:rFonts w:ascii="Arial" w:hAnsi="Arial" w:cs="Arial"/>
        </w:rPr>
        <w:t xml:space="preserve">Saleh, M.M.A., Jawabreh, O. and Abu-Eker, E.F.M., </w:t>
      </w:r>
      <w:r>
        <w:rPr>
          <w:rFonts w:ascii="Arial" w:hAnsi="Arial" w:cs="Arial"/>
        </w:rPr>
        <w:t>(</w:t>
      </w:r>
      <w:r w:rsidRPr="0054781B">
        <w:rPr>
          <w:rFonts w:ascii="Arial" w:hAnsi="Arial" w:cs="Arial"/>
        </w:rPr>
        <w:t>2023</w:t>
      </w:r>
      <w:r>
        <w:rPr>
          <w:rFonts w:ascii="Arial" w:hAnsi="Arial" w:cs="Arial"/>
        </w:rPr>
        <w:t>)</w:t>
      </w:r>
      <w:r w:rsidRPr="0054781B">
        <w:rPr>
          <w:rFonts w:ascii="Arial" w:hAnsi="Arial" w:cs="Arial"/>
        </w:rPr>
        <w:t>. Factors of applying creative accounting and its impact on the quality of financial statements in Jordanian hotels, sustainable practices. Journal of Sustainable Finance &amp; Investment, 13(1), pp.499-515.</w:t>
      </w:r>
    </w:p>
    <w:p w14:paraId="7AFEF35A" w14:textId="77777777" w:rsidR="009547DA" w:rsidRPr="0054781B" w:rsidRDefault="009547DA" w:rsidP="0054781B">
      <w:pPr>
        <w:ind w:left="810" w:hanging="810"/>
        <w:rPr>
          <w:rFonts w:ascii="Arial" w:hAnsi="Arial" w:cs="Arial"/>
        </w:rPr>
      </w:pPr>
    </w:p>
    <w:p w14:paraId="46E99FE7" w14:textId="77777777" w:rsidR="00B32F40" w:rsidRPr="0054781B" w:rsidRDefault="00B32F40" w:rsidP="0054781B">
      <w:pPr>
        <w:pStyle w:val="ListParagraph"/>
        <w:rPr>
          <w:rFonts w:ascii="Arial" w:hAnsi="Arial" w:cs="Arial"/>
        </w:rPr>
      </w:pPr>
    </w:p>
    <w:p w14:paraId="0BA84DF1" w14:textId="77777777" w:rsidR="00B32F40" w:rsidRPr="0054781B" w:rsidRDefault="00B32F40" w:rsidP="0054781B">
      <w:pPr>
        <w:rPr>
          <w:rFonts w:ascii="Arial" w:hAnsi="Arial" w:cs="Arial"/>
        </w:rPr>
      </w:pPr>
    </w:p>
    <w:p w14:paraId="52C2D50A" w14:textId="77777777" w:rsidR="00B32F40" w:rsidRPr="0054781B" w:rsidRDefault="00B32F40" w:rsidP="0054781B">
      <w:pPr>
        <w:pStyle w:val="ListParagraph"/>
        <w:rPr>
          <w:rFonts w:ascii="Arial" w:hAnsi="Arial" w:cs="Arial"/>
        </w:rPr>
      </w:pPr>
    </w:p>
    <w:sectPr w:rsidR="00B32F40" w:rsidRPr="0054781B" w:rsidSect="006D3697">
      <w:footerReference w:type="default" r:id="rId11"/>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8FB3C" w14:textId="77777777" w:rsidR="006E23F3" w:rsidRDefault="006E23F3">
      <w:pPr>
        <w:spacing w:line="240" w:lineRule="auto"/>
      </w:pPr>
      <w:r>
        <w:separator/>
      </w:r>
    </w:p>
  </w:endnote>
  <w:endnote w:type="continuationSeparator" w:id="0">
    <w:p w14:paraId="4084626E" w14:textId="77777777" w:rsidR="006E23F3" w:rsidRDefault="006E23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modern"/>
    <w:pitch w:val="default"/>
  </w:font>
  <w:font w:name="DejaVu Sans">
    <w:altName w:val="Yu Gothic"/>
    <w:charset w:val="00"/>
    <w:family w:val="auto"/>
    <w:pitch w:val="variable"/>
  </w:font>
  <w:font w:name="OpenSymbol">
    <w:altName w:val="Yu Gothic"/>
    <w:charset w:val="80"/>
    <w:family w:val="auto"/>
    <w:pitch w:val="default"/>
  </w:font>
  <w:font w:name="Tinos">
    <w:altName w:val="Yu Gothic"/>
    <w:charset w:val="80"/>
    <w:family w:val="roman"/>
    <w:pitch w:val="variable"/>
  </w:font>
  <w:font w:name="Calibri Light">
    <w:panose1 w:val="020F0302020204030204"/>
    <w:charset w:val="00"/>
    <w:family w:val="swiss"/>
    <w:pitch w:val="variable"/>
    <w:sig w:usb0="E4002EFF" w:usb1="C200247B" w:usb2="00000009" w:usb3="00000000" w:csb0="000001FF" w:csb1="00000000"/>
  </w:font>
  <w:font w:name="Noto Sans CJK SC">
    <w:altName w:val="Yu Gothic"/>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AED07" w14:textId="77777777" w:rsidR="006F6228" w:rsidRDefault="006F6228">
    <w:pPr>
      <w:pStyle w:val="Footer"/>
      <w:jc w:val="center"/>
    </w:pPr>
    <w:r>
      <w:fldChar w:fldCharType="begin"/>
    </w:r>
    <w:r>
      <w:instrText xml:space="preserve"> PAGE </w:instrText>
    </w:r>
    <w:r>
      <w:fldChar w:fldCharType="separate"/>
    </w:r>
    <w:r w:rsidR="00A56232">
      <w:rPr>
        <w:noProof/>
      </w:rPr>
      <w:t>1</w:t>
    </w:r>
    <w:r>
      <w:fldChar w:fldCharType="end"/>
    </w:r>
  </w:p>
  <w:p w14:paraId="7E641841" w14:textId="77777777" w:rsidR="006F6228" w:rsidRDefault="006F6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1BC19" w14:textId="77777777" w:rsidR="006E23F3" w:rsidRDefault="006E23F3">
      <w:pPr>
        <w:spacing w:line="240" w:lineRule="auto"/>
      </w:pPr>
      <w:r>
        <w:separator/>
      </w:r>
    </w:p>
  </w:footnote>
  <w:footnote w:type="continuationSeparator" w:id="0">
    <w:p w14:paraId="3FE3DC09" w14:textId="77777777" w:rsidR="006E23F3" w:rsidRDefault="006E23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EC6206C8"/>
    <w:lvl w:ilvl="0">
      <w:start w:val="1"/>
      <w:numFmt w:val="lowerLetter"/>
      <w:pStyle w:val="Heading1"/>
      <w:lvlText w:val="%1."/>
      <w:lvlJc w:val="left"/>
      <w:pPr>
        <w:tabs>
          <w:tab w:val="num" w:pos="-360"/>
        </w:tabs>
        <w:ind w:left="72" w:hanging="432"/>
      </w:pPr>
    </w:lvl>
    <w:lvl w:ilvl="1">
      <w:start w:val="1"/>
      <w:numFmt w:val="none"/>
      <w:pStyle w:val="Heading2"/>
      <w:suff w:val="nothing"/>
      <w:lvlText w:val=""/>
      <w:lvlJc w:val="left"/>
      <w:pPr>
        <w:tabs>
          <w:tab w:val="num" w:pos="-360"/>
        </w:tabs>
        <w:ind w:left="216" w:hanging="576"/>
      </w:pPr>
    </w:lvl>
    <w:lvl w:ilvl="2">
      <w:start w:val="1"/>
      <w:numFmt w:val="none"/>
      <w:pStyle w:val="Heading3"/>
      <w:suff w:val="nothing"/>
      <w:lvlText w:val=""/>
      <w:lvlJc w:val="left"/>
      <w:pPr>
        <w:tabs>
          <w:tab w:val="num" w:pos="-360"/>
        </w:tabs>
        <w:ind w:left="360" w:hanging="720"/>
      </w:pPr>
    </w:lvl>
    <w:lvl w:ilvl="3">
      <w:start w:val="1"/>
      <w:numFmt w:val="none"/>
      <w:suff w:val="nothing"/>
      <w:lvlText w:val=""/>
      <w:lvlJc w:val="left"/>
      <w:pPr>
        <w:tabs>
          <w:tab w:val="num" w:pos="504"/>
        </w:tabs>
        <w:ind w:left="504" w:hanging="864"/>
      </w:pPr>
    </w:lvl>
    <w:lvl w:ilvl="4">
      <w:start w:val="1"/>
      <w:numFmt w:val="none"/>
      <w:suff w:val="nothing"/>
      <w:lvlText w:val=""/>
      <w:lvlJc w:val="left"/>
      <w:pPr>
        <w:tabs>
          <w:tab w:val="num" w:pos="648"/>
        </w:tabs>
        <w:ind w:left="648" w:hanging="1008"/>
      </w:pPr>
    </w:lvl>
    <w:lvl w:ilvl="5">
      <w:start w:val="1"/>
      <w:numFmt w:val="none"/>
      <w:suff w:val="nothing"/>
      <w:lvlText w:val=""/>
      <w:lvlJc w:val="left"/>
      <w:pPr>
        <w:tabs>
          <w:tab w:val="num" w:pos="792"/>
        </w:tabs>
        <w:ind w:left="792" w:hanging="1152"/>
      </w:pPr>
    </w:lvl>
    <w:lvl w:ilvl="6">
      <w:start w:val="1"/>
      <w:numFmt w:val="none"/>
      <w:suff w:val="nothing"/>
      <w:lvlText w:val=""/>
      <w:lvlJc w:val="left"/>
      <w:pPr>
        <w:tabs>
          <w:tab w:val="num" w:pos="936"/>
        </w:tabs>
        <w:ind w:left="936" w:hanging="1296"/>
      </w:pPr>
    </w:lvl>
    <w:lvl w:ilvl="7">
      <w:start w:val="1"/>
      <w:numFmt w:val="none"/>
      <w:suff w:val="nothing"/>
      <w:lvlText w:val=""/>
      <w:lvlJc w:val="left"/>
      <w:pPr>
        <w:tabs>
          <w:tab w:val="num" w:pos="1080"/>
        </w:tabs>
        <w:ind w:left="1080" w:hanging="1440"/>
      </w:pPr>
    </w:lvl>
    <w:lvl w:ilvl="8">
      <w:start w:val="1"/>
      <w:numFmt w:val="none"/>
      <w:suff w:val="nothing"/>
      <w:lvlText w:val=""/>
      <w:lvlJc w:val="left"/>
      <w:pPr>
        <w:tabs>
          <w:tab w:val="num" w:pos="1224"/>
        </w:tabs>
        <w:ind w:left="1224" w:hanging="1584"/>
      </w:pPr>
    </w:lvl>
  </w:abstractNum>
  <w:abstractNum w:abstractNumId="1" w15:restartNumberingAfterBreak="0">
    <w:nsid w:val="00A327F8"/>
    <w:multiLevelType w:val="hybridMultilevel"/>
    <w:tmpl w:val="AD08AD72"/>
    <w:lvl w:ilvl="0" w:tplc="24E82FE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3102EEC"/>
    <w:multiLevelType w:val="hybridMultilevel"/>
    <w:tmpl w:val="327C0F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5182754"/>
    <w:multiLevelType w:val="hybridMultilevel"/>
    <w:tmpl w:val="D74ADF2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06E95201"/>
    <w:multiLevelType w:val="hybridMultilevel"/>
    <w:tmpl w:val="B712C4C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81826A0"/>
    <w:multiLevelType w:val="hybridMultilevel"/>
    <w:tmpl w:val="84F425FC"/>
    <w:lvl w:ilvl="0" w:tplc="A458601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A1F67D5"/>
    <w:multiLevelType w:val="hybridMultilevel"/>
    <w:tmpl w:val="5964D39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0BF140EE"/>
    <w:multiLevelType w:val="hybridMultilevel"/>
    <w:tmpl w:val="682257EC"/>
    <w:lvl w:ilvl="0" w:tplc="989C179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0DA05D33"/>
    <w:multiLevelType w:val="hybridMultilevel"/>
    <w:tmpl w:val="1C7650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E6C0557"/>
    <w:multiLevelType w:val="hybridMultilevel"/>
    <w:tmpl w:val="9FBEBE78"/>
    <w:lvl w:ilvl="0" w:tplc="0472F23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54E1376"/>
    <w:multiLevelType w:val="hybridMultilevel"/>
    <w:tmpl w:val="AFE09F5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67548A2"/>
    <w:multiLevelType w:val="multilevel"/>
    <w:tmpl w:val="CD76B6FA"/>
    <w:lvl w:ilvl="0">
      <w:start w:val="1"/>
      <w:numFmt w:val="none"/>
      <w:suff w:val="nothing"/>
      <w:lvlText w:val=""/>
      <w:lvlJc w:val="left"/>
      <w:pPr>
        <w:tabs>
          <w:tab w:val="num" w:pos="-360"/>
        </w:tabs>
        <w:ind w:left="72" w:hanging="432"/>
      </w:pPr>
    </w:lvl>
    <w:lvl w:ilvl="1">
      <w:start w:val="1"/>
      <w:numFmt w:val="lowerLetter"/>
      <w:lvlText w:val="%2)"/>
      <w:lvlJc w:val="left"/>
      <w:pPr>
        <w:tabs>
          <w:tab w:val="num" w:pos="-360"/>
        </w:tabs>
        <w:ind w:left="216" w:hanging="576"/>
      </w:pPr>
    </w:lvl>
    <w:lvl w:ilvl="2">
      <w:start w:val="1"/>
      <w:numFmt w:val="none"/>
      <w:suff w:val="nothing"/>
      <w:lvlText w:val=""/>
      <w:lvlJc w:val="left"/>
      <w:pPr>
        <w:tabs>
          <w:tab w:val="num" w:pos="-360"/>
        </w:tabs>
        <w:ind w:left="360" w:hanging="720"/>
      </w:pPr>
    </w:lvl>
    <w:lvl w:ilvl="3">
      <w:start w:val="1"/>
      <w:numFmt w:val="none"/>
      <w:suff w:val="nothing"/>
      <w:lvlText w:val=""/>
      <w:lvlJc w:val="left"/>
      <w:pPr>
        <w:tabs>
          <w:tab w:val="num" w:pos="504"/>
        </w:tabs>
        <w:ind w:left="504" w:hanging="864"/>
      </w:pPr>
    </w:lvl>
    <w:lvl w:ilvl="4">
      <w:start w:val="1"/>
      <w:numFmt w:val="none"/>
      <w:suff w:val="nothing"/>
      <w:lvlText w:val=""/>
      <w:lvlJc w:val="left"/>
      <w:pPr>
        <w:tabs>
          <w:tab w:val="num" w:pos="648"/>
        </w:tabs>
        <w:ind w:left="648" w:hanging="1008"/>
      </w:pPr>
    </w:lvl>
    <w:lvl w:ilvl="5">
      <w:start w:val="1"/>
      <w:numFmt w:val="none"/>
      <w:suff w:val="nothing"/>
      <w:lvlText w:val=""/>
      <w:lvlJc w:val="left"/>
      <w:pPr>
        <w:tabs>
          <w:tab w:val="num" w:pos="792"/>
        </w:tabs>
        <w:ind w:left="792" w:hanging="1152"/>
      </w:pPr>
    </w:lvl>
    <w:lvl w:ilvl="6">
      <w:start w:val="1"/>
      <w:numFmt w:val="none"/>
      <w:suff w:val="nothing"/>
      <w:lvlText w:val=""/>
      <w:lvlJc w:val="left"/>
      <w:pPr>
        <w:tabs>
          <w:tab w:val="num" w:pos="936"/>
        </w:tabs>
        <w:ind w:left="936" w:hanging="1296"/>
      </w:pPr>
    </w:lvl>
    <w:lvl w:ilvl="7">
      <w:start w:val="1"/>
      <w:numFmt w:val="none"/>
      <w:suff w:val="nothing"/>
      <w:lvlText w:val=""/>
      <w:lvlJc w:val="left"/>
      <w:pPr>
        <w:tabs>
          <w:tab w:val="num" w:pos="1080"/>
        </w:tabs>
        <w:ind w:left="1080" w:hanging="1440"/>
      </w:pPr>
    </w:lvl>
    <w:lvl w:ilvl="8">
      <w:start w:val="1"/>
      <w:numFmt w:val="none"/>
      <w:suff w:val="nothing"/>
      <w:lvlText w:val=""/>
      <w:lvlJc w:val="left"/>
      <w:pPr>
        <w:tabs>
          <w:tab w:val="num" w:pos="1224"/>
        </w:tabs>
        <w:ind w:left="1224" w:hanging="1584"/>
      </w:pPr>
    </w:lvl>
  </w:abstractNum>
  <w:abstractNum w:abstractNumId="12" w15:restartNumberingAfterBreak="0">
    <w:nsid w:val="1D7B3FDB"/>
    <w:multiLevelType w:val="singleLevel"/>
    <w:tmpl w:val="0C09000F"/>
    <w:lvl w:ilvl="0">
      <w:start w:val="1"/>
      <w:numFmt w:val="decimal"/>
      <w:lvlText w:val="%1."/>
      <w:lvlJc w:val="left"/>
      <w:pPr>
        <w:tabs>
          <w:tab w:val="num" w:pos="360"/>
        </w:tabs>
        <w:ind w:left="360" w:hanging="360"/>
      </w:pPr>
    </w:lvl>
  </w:abstractNum>
  <w:abstractNum w:abstractNumId="13" w15:restartNumberingAfterBreak="0">
    <w:nsid w:val="1F88503C"/>
    <w:multiLevelType w:val="hybridMultilevel"/>
    <w:tmpl w:val="8D0698A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244357CC"/>
    <w:multiLevelType w:val="hybridMultilevel"/>
    <w:tmpl w:val="5058D0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49363BD"/>
    <w:multiLevelType w:val="multilevel"/>
    <w:tmpl w:val="CD76B6FA"/>
    <w:lvl w:ilvl="0">
      <w:start w:val="1"/>
      <w:numFmt w:val="none"/>
      <w:suff w:val="nothing"/>
      <w:lvlText w:val=""/>
      <w:lvlJc w:val="left"/>
      <w:pPr>
        <w:tabs>
          <w:tab w:val="num" w:pos="-360"/>
        </w:tabs>
        <w:ind w:left="72" w:hanging="432"/>
      </w:pPr>
    </w:lvl>
    <w:lvl w:ilvl="1">
      <w:start w:val="1"/>
      <w:numFmt w:val="lowerLetter"/>
      <w:lvlText w:val="%2)"/>
      <w:lvlJc w:val="left"/>
      <w:pPr>
        <w:tabs>
          <w:tab w:val="num" w:pos="-360"/>
        </w:tabs>
        <w:ind w:left="216" w:hanging="576"/>
      </w:pPr>
    </w:lvl>
    <w:lvl w:ilvl="2">
      <w:start w:val="1"/>
      <w:numFmt w:val="none"/>
      <w:suff w:val="nothing"/>
      <w:lvlText w:val=""/>
      <w:lvlJc w:val="left"/>
      <w:pPr>
        <w:tabs>
          <w:tab w:val="num" w:pos="-360"/>
        </w:tabs>
        <w:ind w:left="360" w:hanging="720"/>
      </w:pPr>
    </w:lvl>
    <w:lvl w:ilvl="3">
      <w:start w:val="1"/>
      <w:numFmt w:val="none"/>
      <w:suff w:val="nothing"/>
      <w:lvlText w:val=""/>
      <w:lvlJc w:val="left"/>
      <w:pPr>
        <w:tabs>
          <w:tab w:val="num" w:pos="504"/>
        </w:tabs>
        <w:ind w:left="504" w:hanging="864"/>
      </w:pPr>
    </w:lvl>
    <w:lvl w:ilvl="4">
      <w:start w:val="1"/>
      <w:numFmt w:val="none"/>
      <w:suff w:val="nothing"/>
      <w:lvlText w:val=""/>
      <w:lvlJc w:val="left"/>
      <w:pPr>
        <w:tabs>
          <w:tab w:val="num" w:pos="648"/>
        </w:tabs>
        <w:ind w:left="648" w:hanging="1008"/>
      </w:pPr>
    </w:lvl>
    <w:lvl w:ilvl="5">
      <w:start w:val="1"/>
      <w:numFmt w:val="none"/>
      <w:suff w:val="nothing"/>
      <w:lvlText w:val=""/>
      <w:lvlJc w:val="left"/>
      <w:pPr>
        <w:tabs>
          <w:tab w:val="num" w:pos="792"/>
        </w:tabs>
        <w:ind w:left="792" w:hanging="1152"/>
      </w:pPr>
    </w:lvl>
    <w:lvl w:ilvl="6">
      <w:start w:val="1"/>
      <w:numFmt w:val="none"/>
      <w:suff w:val="nothing"/>
      <w:lvlText w:val=""/>
      <w:lvlJc w:val="left"/>
      <w:pPr>
        <w:tabs>
          <w:tab w:val="num" w:pos="936"/>
        </w:tabs>
        <w:ind w:left="936" w:hanging="1296"/>
      </w:pPr>
    </w:lvl>
    <w:lvl w:ilvl="7">
      <w:start w:val="1"/>
      <w:numFmt w:val="none"/>
      <w:suff w:val="nothing"/>
      <w:lvlText w:val=""/>
      <w:lvlJc w:val="left"/>
      <w:pPr>
        <w:tabs>
          <w:tab w:val="num" w:pos="1080"/>
        </w:tabs>
        <w:ind w:left="1080" w:hanging="1440"/>
      </w:pPr>
    </w:lvl>
    <w:lvl w:ilvl="8">
      <w:start w:val="1"/>
      <w:numFmt w:val="none"/>
      <w:suff w:val="nothing"/>
      <w:lvlText w:val=""/>
      <w:lvlJc w:val="left"/>
      <w:pPr>
        <w:tabs>
          <w:tab w:val="num" w:pos="1224"/>
        </w:tabs>
        <w:ind w:left="1224" w:hanging="1584"/>
      </w:pPr>
    </w:lvl>
  </w:abstractNum>
  <w:abstractNum w:abstractNumId="16" w15:restartNumberingAfterBreak="0">
    <w:nsid w:val="2D530303"/>
    <w:multiLevelType w:val="hybridMultilevel"/>
    <w:tmpl w:val="8856E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144382"/>
    <w:multiLevelType w:val="hybridMultilevel"/>
    <w:tmpl w:val="26387F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3253455"/>
    <w:multiLevelType w:val="hybridMultilevel"/>
    <w:tmpl w:val="9E663596"/>
    <w:lvl w:ilvl="0" w:tplc="CCB26AC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48E82938"/>
    <w:multiLevelType w:val="hybridMultilevel"/>
    <w:tmpl w:val="F752C5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D661764"/>
    <w:multiLevelType w:val="hybridMultilevel"/>
    <w:tmpl w:val="30E293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EA265CC"/>
    <w:multiLevelType w:val="hybridMultilevel"/>
    <w:tmpl w:val="FCEC8E5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3A10CC7"/>
    <w:multiLevelType w:val="hybridMultilevel"/>
    <w:tmpl w:val="56880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3E3EB3"/>
    <w:multiLevelType w:val="hybridMultilevel"/>
    <w:tmpl w:val="5C327F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4E03EA4"/>
    <w:multiLevelType w:val="hybridMultilevel"/>
    <w:tmpl w:val="9D02008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2531C40"/>
    <w:multiLevelType w:val="hybridMultilevel"/>
    <w:tmpl w:val="EAD8F8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745C3870"/>
    <w:multiLevelType w:val="hybridMultilevel"/>
    <w:tmpl w:val="E11A547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79A1751"/>
    <w:multiLevelType w:val="hybridMultilevel"/>
    <w:tmpl w:val="5FC20D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85931B0"/>
    <w:multiLevelType w:val="multilevel"/>
    <w:tmpl w:val="CD76B6FA"/>
    <w:lvl w:ilvl="0">
      <w:start w:val="1"/>
      <w:numFmt w:val="none"/>
      <w:suff w:val="nothing"/>
      <w:lvlText w:val=""/>
      <w:lvlJc w:val="left"/>
      <w:pPr>
        <w:tabs>
          <w:tab w:val="num" w:pos="-360"/>
        </w:tabs>
        <w:ind w:left="72" w:hanging="432"/>
      </w:pPr>
    </w:lvl>
    <w:lvl w:ilvl="1">
      <w:start w:val="1"/>
      <w:numFmt w:val="lowerLetter"/>
      <w:lvlText w:val="%2)"/>
      <w:lvlJc w:val="left"/>
      <w:pPr>
        <w:tabs>
          <w:tab w:val="num" w:pos="-360"/>
        </w:tabs>
        <w:ind w:left="216" w:hanging="576"/>
      </w:pPr>
    </w:lvl>
    <w:lvl w:ilvl="2">
      <w:start w:val="1"/>
      <w:numFmt w:val="none"/>
      <w:suff w:val="nothing"/>
      <w:lvlText w:val=""/>
      <w:lvlJc w:val="left"/>
      <w:pPr>
        <w:tabs>
          <w:tab w:val="num" w:pos="-360"/>
        </w:tabs>
        <w:ind w:left="360" w:hanging="720"/>
      </w:pPr>
    </w:lvl>
    <w:lvl w:ilvl="3">
      <w:start w:val="1"/>
      <w:numFmt w:val="none"/>
      <w:suff w:val="nothing"/>
      <w:lvlText w:val=""/>
      <w:lvlJc w:val="left"/>
      <w:pPr>
        <w:tabs>
          <w:tab w:val="num" w:pos="504"/>
        </w:tabs>
        <w:ind w:left="504" w:hanging="864"/>
      </w:pPr>
    </w:lvl>
    <w:lvl w:ilvl="4">
      <w:start w:val="1"/>
      <w:numFmt w:val="none"/>
      <w:suff w:val="nothing"/>
      <w:lvlText w:val=""/>
      <w:lvlJc w:val="left"/>
      <w:pPr>
        <w:tabs>
          <w:tab w:val="num" w:pos="648"/>
        </w:tabs>
        <w:ind w:left="648" w:hanging="1008"/>
      </w:pPr>
    </w:lvl>
    <w:lvl w:ilvl="5">
      <w:start w:val="1"/>
      <w:numFmt w:val="none"/>
      <w:suff w:val="nothing"/>
      <w:lvlText w:val=""/>
      <w:lvlJc w:val="left"/>
      <w:pPr>
        <w:tabs>
          <w:tab w:val="num" w:pos="792"/>
        </w:tabs>
        <w:ind w:left="792" w:hanging="1152"/>
      </w:pPr>
    </w:lvl>
    <w:lvl w:ilvl="6">
      <w:start w:val="1"/>
      <w:numFmt w:val="none"/>
      <w:suff w:val="nothing"/>
      <w:lvlText w:val=""/>
      <w:lvlJc w:val="left"/>
      <w:pPr>
        <w:tabs>
          <w:tab w:val="num" w:pos="936"/>
        </w:tabs>
        <w:ind w:left="936" w:hanging="1296"/>
      </w:pPr>
    </w:lvl>
    <w:lvl w:ilvl="7">
      <w:start w:val="1"/>
      <w:numFmt w:val="none"/>
      <w:suff w:val="nothing"/>
      <w:lvlText w:val=""/>
      <w:lvlJc w:val="left"/>
      <w:pPr>
        <w:tabs>
          <w:tab w:val="num" w:pos="1080"/>
        </w:tabs>
        <w:ind w:left="1080" w:hanging="1440"/>
      </w:pPr>
    </w:lvl>
    <w:lvl w:ilvl="8">
      <w:start w:val="1"/>
      <w:numFmt w:val="none"/>
      <w:suff w:val="nothing"/>
      <w:lvlText w:val=""/>
      <w:lvlJc w:val="left"/>
      <w:pPr>
        <w:tabs>
          <w:tab w:val="num" w:pos="1224"/>
        </w:tabs>
        <w:ind w:left="1224" w:hanging="1584"/>
      </w:pPr>
    </w:lvl>
  </w:abstractNum>
  <w:abstractNum w:abstractNumId="29" w15:restartNumberingAfterBreak="0">
    <w:nsid w:val="7E9A3898"/>
    <w:multiLevelType w:val="hybridMultilevel"/>
    <w:tmpl w:val="A6A47D1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0" w15:restartNumberingAfterBreak="0">
    <w:nsid w:val="7F1C21D1"/>
    <w:multiLevelType w:val="hybridMultilevel"/>
    <w:tmpl w:val="27AEC07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84290040">
    <w:abstractNumId w:val="0"/>
  </w:num>
  <w:num w:numId="2" w16cid:durableId="173813448">
    <w:abstractNumId w:val="28"/>
  </w:num>
  <w:num w:numId="3" w16cid:durableId="162015819">
    <w:abstractNumId w:val="11"/>
  </w:num>
  <w:num w:numId="4" w16cid:durableId="1899903137">
    <w:abstractNumId w:val="15"/>
  </w:num>
  <w:num w:numId="5" w16cid:durableId="961888516">
    <w:abstractNumId w:val="20"/>
  </w:num>
  <w:num w:numId="6" w16cid:durableId="166219864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9847796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97921101">
    <w:abstractNumId w:val="23"/>
  </w:num>
  <w:num w:numId="9" w16cid:durableId="1909606150">
    <w:abstractNumId w:val="6"/>
  </w:num>
  <w:num w:numId="10" w16cid:durableId="380247573">
    <w:abstractNumId w:val="22"/>
  </w:num>
  <w:num w:numId="11" w16cid:durableId="183977565">
    <w:abstractNumId w:val="2"/>
  </w:num>
  <w:num w:numId="12" w16cid:durableId="739210254">
    <w:abstractNumId w:val="30"/>
  </w:num>
  <w:num w:numId="13" w16cid:durableId="1203787289">
    <w:abstractNumId w:val="26"/>
  </w:num>
  <w:num w:numId="14" w16cid:durableId="1757288299">
    <w:abstractNumId w:val="24"/>
  </w:num>
  <w:num w:numId="15" w16cid:durableId="332606075">
    <w:abstractNumId w:val="5"/>
  </w:num>
  <w:num w:numId="16" w16cid:durableId="1309895601">
    <w:abstractNumId w:val="21"/>
  </w:num>
  <w:num w:numId="17" w16cid:durableId="1597251967">
    <w:abstractNumId w:val="16"/>
  </w:num>
  <w:num w:numId="18" w16cid:durableId="336815070">
    <w:abstractNumId w:val="8"/>
  </w:num>
  <w:num w:numId="19" w16cid:durableId="1306859397">
    <w:abstractNumId w:val="14"/>
  </w:num>
  <w:num w:numId="20" w16cid:durableId="1477453348">
    <w:abstractNumId w:val="4"/>
  </w:num>
  <w:num w:numId="21" w16cid:durableId="514072466">
    <w:abstractNumId w:val="25"/>
  </w:num>
  <w:num w:numId="22" w16cid:durableId="1297221764">
    <w:abstractNumId w:val="13"/>
  </w:num>
  <w:num w:numId="23" w16cid:durableId="926423630">
    <w:abstractNumId w:val="3"/>
  </w:num>
  <w:num w:numId="24" w16cid:durableId="1301569917">
    <w:abstractNumId w:val="1"/>
  </w:num>
  <w:num w:numId="25" w16cid:durableId="1532844313">
    <w:abstractNumId w:val="7"/>
  </w:num>
  <w:num w:numId="26" w16cid:durableId="1560824311">
    <w:abstractNumId w:val="18"/>
  </w:num>
  <w:num w:numId="27" w16cid:durableId="1335182339">
    <w:abstractNumId w:val="12"/>
  </w:num>
  <w:num w:numId="28" w16cid:durableId="680817890">
    <w:abstractNumId w:val="27"/>
  </w:num>
  <w:num w:numId="29" w16cid:durableId="1045251856">
    <w:abstractNumId w:val="10"/>
  </w:num>
  <w:num w:numId="30" w16cid:durableId="1903520520">
    <w:abstractNumId w:val="9"/>
  </w:num>
  <w:num w:numId="31" w16cid:durableId="916591655">
    <w:abstractNumId w:val="19"/>
  </w:num>
  <w:num w:numId="32" w16cid:durableId="1398167626">
    <w:abstractNumId w:val="1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1MjWzNDOxNDQ2NTZQ0lEKTi0uzszPAymwrAUAoDzmDywAAAA="/>
  </w:docVars>
  <w:rsids>
    <w:rsidRoot w:val="00EA4C77"/>
    <w:rsid w:val="00006CB2"/>
    <w:rsid w:val="00010BB1"/>
    <w:rsid w:val="000224A6"/>
    <w:rsid w:val="0002363D"/>
    <w:rsid w:val="00025EC8"/>
    <w:rsid w:val="000368AD"/>
    <w:rsid w:val="00045E17"/>
    <w:rsid w:val="00046CDA"/>
    <w:rsid w:val="00055AF2"/>
    <w:rsid w:val="00055F04"/>
    <w:rsid w:val="00071E3A"/>
    <w:rsid w:val="000B14A4"/>
    <w:rsid w:val="000C78C5"/>
    <w:rsid w:val="000D46CA"/>
    <w:rsid w:val="000D4879"/>
    <w:rsid w:val="000E2994"/>
    <w:rsid w:val="000E3090"/>
    <w:rsid w:val="00110F14"/>
    <w:rsid w:val="00114857"/>
    <w:rsid w:val="00114E90"/>
    <w:rsid w:val="00116A8A"/>
    <w:rsid w:val="00121568"/>
    <w:rsid w:val="00123632"/>
    <w:rsid w:val="0013240E"/>
    <w:rsid w:val="00137DD8"/>
    <w:rsid w:val="0014157F"/>
    <w:rsid w:val="00146871"/>
    <w:rsid w:val="001475A8"/>
    <w:rsid w:val="00154380"/>
    <w:rsid w:val="001655C0"/>
    <w:rsid w:val="00170019"/>
    <w:rsid w:val="001729F2"/>
    <w:rsid w:val="00172BB1"/>
    <w:rsid w:val="00173AF8"/>
    <w:rsid w:val="0019372C"/>
    <w:rsid w:val="00195E73"/>
    <w:rsid w:val="001A5750"/>
    <w:rsid w:val="001C13EE"/>
    <w:rsid w:val="001C371A"/>
    <w:rsid w:val="001C5CD1"/>
    <w:rsid w:val="001D4427"/>
    <w:rsid w:val="001D4C2D"/>
    <w:rsid w:val="001E6A82"/>
    <w:rsid w:val="002127FC"/>
    <w:rsid w:val="00213E0C"/>
    <w:rsid w:val="00233CB4"/>
    <w:rsid w:val="00247E95"/>
    <w:rsid w:val="002551D1"/>
    <w:rsid w:val="00275620"/>
    <w:rsid w:val="00276B7A"/>
    <w:rsid w:val="0028138A"/>
    <w:rsid w:val="00291114"/>
    <w:rsid w:val="002A14A0"/>
    <w:rsid w:val="002A33F2"/>
    <w:rsid w:val="002C78E6"/>
    <w:rsid w:val="002D35C4"/>
    <w:rsid w:val="002E2F4C"/>
    <w:rsid w:val="002E3167"/>
    <w:rsid w:val="002E67F2"/>
    <w:rsid w:val="002F0A3A"/>
    <w:rsid w:val="002F7797"/>
    <w:rsid w:val="00300CA6"/>
    <w:rsid w:val="003020BB"/>
    <w:rsid w:val="00302E37"/>
    <w:rsid w:val="00317067"/>
    <w:rsid w:val="00323008"/>
    <w:rsid w:val="003369A0"/>
    <w:rsid w:val="00336DFC"/>
    <w:rsid w:val="00367D4F"/>
    <w:rsid w:val="00370076"/>
    <w:rsid w:val="00374752"/>
    <w:rsid w:val="00391C7C"/>
    <w:rsid w:val="003A495D"/>
    <w:rsid w:val="003A617A"/>
    <w:rsid w:val="003B091F"/>
    <w:rsid w:val="003B4C0C"/>
    <w:rsid w:val="003F138F"/>
    <w:rsid w:val="004019CA"/>
    <w:rsid w:val="0041742E"/>
    <w:rsid w:val="004337A0"/>
    <w:rsid w:val="004361F0"/>
    <w:rsid w:val="00441DAA"/>
    <w:rsid w:val="0045002E"/>
    <w:rsid w:val="0045352F"/>
    <w:rsid w:val="00470155"/>
    <w:rsid w:val="00471F96"/>
    <w:rsid w:val="00476C23"/>
    <w:rsid w:val="00481F08"/>
    <w:rsid w:val="00493772"/>
    <w:rsid w:val="004A0809"/>
    <w:rsid w:val="004A4109"/>
    <w:rsid w:val="004A6095"/>
    <w:rsid w:val="004B64D6"/>
    <w:rsid w:val="004C57AD"/>
    <w:rsid w:val="004C6417"/>
    <w:rsid w:val="004E6B09"/>
    <w:rsid w:val="004F2991"/>
    <w:rsid w:val="004F4026"/>
    <w:rsid w:val="004F450E"/>
    <w:rsid w:val="004F50ED"/>
    <w:rsid w:val="005063D7"/>
    <w:rsid w:val="00506D44"/>
    <w:rsid w:val="00512396"/>
    <w:rsid w:val="00517629"/>
    <w:rsid w:val="00527BFF"/>
    <w:rsid w:val="00531194"/>
    <w:rsid w:val="0053272F"/>
    <w:rsid w:val="0054781B"/>
    <w:rsid w:val="00552822"/>
    <w:rsid w:val="005620F4"/>
    <w:rsid w:val="00570A18"/>
    <w:rsid w:val="005A3C4E"/>
    <w:rsid w:val="005A6FA8"/>
    <w:rsid w:val="005C4B7D"/>
    <w:rsid w:val="005D3BA0"/>
    <w:rsid w:val="005D5376"/>
    <w:rsid w:val="005D762D"/>
    <w:rsid w:val="005E1001"/>
    <w:rsid w:val="005E2226"/>
    <w:rsid w:val="005E336A"/>
    <w:rsid w:val="005E3403"/>
    <w:rsid w:val="005E401A"/>
    <w:rsid w:val="005E44B9"/>
    <w:rsid w:val="006023A5"/>
    <w:rsid w:val="00610783"/>
    <w:rsid w:val="006107C0"/>
    <w:rsid w:val="00620421"/>
    <w:rsid w:val="00621CF6"/>
    <w:rsid w:val="00630C3E"/>
    <w:rsid w:val="006330B7"/>
    <w:rsid w:val="00633E0F"/>
    <w:rsid w:val="0063760B"/>
    <w:rsid w:val="00641023"/>
    <w:rsid w:val="00646BD8"/>
    <w:rsid w:val="006626A5"/>
    <w:rsid w:val="00664303"/>
    <w:rsid w:val="00672874"/>
    <w:rsid w:val="00672CE8"/>
    <w:rsid w:val="006773B1"/>
    <w:rsid w:val="00684B5D"/>
    <w:rsid w:val="00696B50"/>
    <w:rsid w:val="006974F9"/>
    <w:rsid w:val="006B1C71"/>
    <w:rsid w:val="006C2B1B"/>
    <w:rsid w:val="006C3555"/>
    <w:rsid w:val="006D0D3A"/>
    <w:rsid w:val="006D3697"/>
    <w:rsid w:val="006E23F3"/>
    <w:rsid w:val="006E7C0D"/>
    <w:rsid w:val="006F6228"/>
    <w:rsid w:val="00700E1D"/>
    <w:rsid w:val="00705D74"/>
    <w:rsid w:val="00706BF7"/>
    <w:rsid w:val="007146C1"/>
    <w:rsid w:val="00717ECA"/>
    <w:rsid w:val="00726682"/>
    <w:rsid w:val="007303E2"/>
    <w:rsid w:val="00731938"/>
    <w:rsid w:val="00731CF0"/>
    <w:rsid w:val="00731F59"/>
    <w:rsid w:val="007326AF"/>
    <w:rsid w:val="0073785B"/>
    <w:rsid w:val="00743B0D"/>
    <w:rsid w:val="0074425E"/>
    <w:rsid w:val="007511FC"/>
    <w:rsid w:val="00751789"/>
    <w:rsid w:val="00765891"/>
    <w:rsid w:val="00772F45"/>
    <w:rsid w:val="0078191A"/>
    <w:rsid w:val="007840EC"/>
    <w:rsid w:val="0078702A"/>
    <w:rsid w:val="007905CF"/>
    <w:rsid w:val="007923A1"/>
    <w:rsid w:val="007A283A"/>
    <w:rsid w:val="007A2DC5"/>
    <w:rsid w:val="007A569F"/>
    <w:rsid w:val="007B5DFB"/>
    <w:rsid w:val="007C4C4B"/>
    <w:rsid w:val="007D757A"/>
    <w:rsid w:val="007F4A73"/>
    <w:rsid w:val="0084193C"/>
    <w:rsid w:val="00844229"/>
    <w:rsid w:val="00873E45"/>
    <w:rsid w:val="00880C45"/>
    <w:rsid w:val="00881E1C"/>
    <w:rsid w:val="0088380E"/>
    <w:rsid w:val="00883B19"/>
    <w:rsid w:val="008B16AD"/>
    <w:rsid w:val="008B379F"/>
    <w:rsid w:val="008B61A4"/>
    <w:rsid w:val="008D58E3"/>
    <w:rsid w:val="008E0815"/>
    <w:rsid w:val="008E3306"/>
    <w:rsid w:val="0090091A"/>
    <w:rsid w:val="0091557D"/>
    <w:rsid w:val="009158E3"/>
    <w:rsid w:val="00915F02"/>
    <w:rsid w:val="009266E5"/>
    <w:rsid w:val="0093031D"/>
    <w:rsid w:val="00932CF0"/>
    <w:rsid w:val="0094145A"/>
    <w:rsid w:val="00943FAB"/>
    <w:rsid w:val="009537E3"/>
    <w:rsid w:val="009547DA"/>
    <w:rsid w:val="00955D53"/>
    <w:rsid w:val="00957960"/>
    <w:rsid w:val="00975E6A"/>
    <w:rsid w:val="0097629E"/>
    <w:rsid w:val="009A3A0A"/>
    <w:rsid w:val="009C175F"/>
    <w:rsid w:val="009C3997"/>
    <w:rsid w:val="009C3D26"/>
    <w:rsid w:val="009C54A9"/>
    <w:rsid w:val="009C55FB"/>
    <w:rsid w:val="009D0372"/>
    <w:rsid w:val="009E0250"/>
    <w:rsid w:val="009E1A55"/>
    <w:rsid w:val="009F77AE"/>
    <w:rsid w:val="00A007E3"/>
    <w:rsid w:val="00A06ACA"/>
    <w:rsid w:val="00A16BB7"/>
    <w:rsid w:val="00A22AD2"/>
    <w:rsid w:val="00A232EC"/>
    <w:rsid w:val="00A25D00"/>
    <w:rsid w:val="00A32F81"/>
    <w:rsid w:val="00A379EE"/>
    <w:rsid w:val="00A411E6"/>
    <w:rsid w:val="00A4277F"/>
    <w:rsid w:val="00A45245"/>
    <w:rsid w:val="00A45442"/>
    <w:rsid w:val="00A56232"/>
    <w:rsid w:val="00A63FDE"/>
    <w:rsid w:val="00A7060B"/>
    <w:rsid w:val="00A77715"/>
    <w:rsid w:val="00A96997"/>
    <w:rsid w:val="00A97D60"/>
    <w:rsid w:val="00A97E4C"/>
    <w:rsid w:val="00AA1901"/>
    <w:rsid w:val="00AA3E7C"/>
    <w:rsid w:val="00AB4593"/>
    <w:rsid w:val="00AB4D67"/>
    <w:rsid w:val="00AB7636"/>
    <w:rsid w:val="00AC6680"/>
    <w:rsid w:val="00AD2CE7"/>
    <w:rsid w:val="00AD74C0"/>
    <w:rsid w:val="00AE6FD6"/>
    <w:rsid w:val="00AF1429"/>
    <w:rsid w:val="00B00BB2"/>
    <w:rsid w:val="00B0635C"/>
    <w:rsid w:val="00B26C95"/>
    <w:rsid w:val="00B32DE7"/>
    <w:rsid w:val="00B32F40"/>
    <w:rsid w:val="00B3656D"/>
    <w:rsid w:val="00B42CDF"/>
    <w:rsid w:val="00B477A6"/>
    <w:rsid w:val="00B47C02"/>
    <w:rsid w:val="00B50A3D"/>
    <w:rsid w:val="00B52A6A"/>
    <w:rsid w:val="00B532DC"/>
    <w:rsid w:val="00B55962"/>
    <w:rsid w:val="00B64FA5"/>
    <w:rsid w:val="00B91E37"/>
    <w:rsid w:val="00B93356"/>
    <w:rsid w:val="00B94DFA"/>
    <w:rsid w:val="00BB6DBD"/>
    <w:rsid w:val="00BC10C2"/>
    <w:rsid w:val="00BE11B7"/>
    <w:rsid w:val="00BE2D53"/>
    <w:rsid w:val="00BE4A74"/>
    <w:rsid w:val="00BE521C"/>
    <w:rsid w:val="00BF1BF8"/>
    <w:rsid w:val="00C0226E"/>
    <w:rsid w:val="00C029A9"/>
    <w:rsid w:val="00C05CDC"/>
    <w:rsid w:val="00C1260D"/>
    <w:rsid w:val="00C17F75"/>
    <w:rsid w:val="00C35748"/>
    <w:rsid w:val="00C43840"/>
    <w:rsid w:val="00C53FA4"/>
    <w:rsid w:val="00C54C34"/>
    <w:rsid w:val="00C6177F"/>
    <w:rsid w:val="00C672A2"/>
    <w:rsid w:val="00C70C3E"/>
    <w:rsid w:val="00C74173"/>
    <w:rsid w:val="00C741F8"/>
    <w:rsid w:val="00C77547"/>
    <w:rsid w:val="00C84FB1"/>
    <w:rsid w:val="00C869AB"/>
    <w:rsid w:val="00C86C7D"/>
    <w:rsid w:val="00C96DF7"/>
    <w:rsid w:val="00CA2AF7"/>
    <w:rsid w:val="00CB0F08"/>
    <w:rsid w:val="00CB63DB"/>
    <w:rsid w:val="00CB6AC0"/>
    <w:rsid w:val="00CC3C12"/>
    <w:rsid w:val="00CC75C8"/>
    <w:rsid w:val="00CD28ED"/>
    <w:rsid w:val="00CD60C5"/>
    <w:rsid w:val="00CD68BB"/>
    <w:rsid w:val="00CF2283"/>
    <w:rsid w:val="00D002AF"/>
    <w:rsid w:val="00D00A9A"/>
    <w:rsid w:val="00D27C60"/>
    <w:rsid w:val="00D44F41"/>
    <w:rsid w:val="00D45E82"/>
    <w:rsid w:val="00D5290F"/>
    <w:rsid w:val="00D60670"/>
    <w:rsid w:val="00D6340B"/>
    <w:rsid w:val="00D77201"/>
    <w:rsid w:val="00D84BD0"/>
    <w:rsid w:val="00D850AB"/>
    <w:rsid w:val="00D85605"/>
    <w:rsid w:val="00D8687E"/>
    <w:rsid w:val="00D910C6"/>
    <w:rsid w:val="00DC0364"/>
    <w:rsid w:val="00DC198E"/>
    <w:rsid w:val="00DC63CB"/>
    <w:rsid w:val="00DC6CD8"/>
    <w:rsid w:val="00DD5F32"/>
    <w:rsid w:val="00DE46FD"/>
    <w:rsid w:val="00DF1E25"/>
    <w:rsid w:val="00DF3726"/>
    <w:rsid w:val="00E029F6"/>
    <w:rsid w:val="00E0400B"/>
    <w:rsid w:val="00E04C82"/>
    <w:rsid w:val="00E078A4"/>
    <w:rsid w:val="00E07BCE"/>
    <w:rsid w:val="00E12C40"/>
    <w:rsid w:val="00E1460D"/>
    <w:rsid w:val="00E1799C"/>
    <w:rsid w:val="00E32B52"/>
    <w:rsid w:val="00E33B65"/>
    <w:rsid w:val="00E415AE"/>
    <w:rsid w:val="00E446C3"/>
    <w:rsid w:val="00E54920"/>
    <w:rsid w:val="00E65E3E"/>
    <w:rsid w:val="00E662EC"/>
    <w:rsid w:val="00E711ED"/>
    <w:rsid w:val="00E76779"/>
    <w:rsid w:val="00E97085"/>
    <w:rsid w:val="00EA21A1"/>
    <w:rsid w:val="00EA4C77"/>
    <w:rsid w:val="00EC5D76"/>
    <w:rsid w:val="00EC645A"/>
    <w:rsid w:val="00ED2207"/>
    <w:rsid w:val="00EE5274"/>
    <w:rsid w:val="00F17C72"/>
    <w:rsid w:val="00F26519"/>
    <w:rsid w:val="00F27CD4"/>
    <w:rsid w:val="00F64B59"/>
    <w:rsid w:val="00F70F9D"/>
    <w:rsid w:val="00F73DFB"/>
    <w:rsid w:val="00F770C5"/>
    <w:rsid w:val="00F7724D"/>
    <w:rsid w:val="00F80389"/>
    <w:rsid w:val="00F82535"/>
    <w:rsid w:val="00FA47B0"/>
    <w:rsid w:val="00FB0A88"/>
    <w:rsid w:val="00FB18C6"/>
    <w:rsid w:val="00FB2F9C"/>
    <w:rsid w:val="00FB53D7"/>
    <w:rsid w:val="00FB7FC7"/>
    <w:rsid w:val="00FC552A"/>
    <w:rsid w:val="00FD0425"/>
    <w:rsid w:val="00FD27FB"/>
    <w:rsid w:val="00FD4E83"/>
    <w:rsid w:val="00FE276F"/>
    <w:rsid w:val="00FE4F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352B7AD6"/>
  <w15:chartTrackingRefBased/>
  <w15:docId w15:val="{DA27FA85-5CD4-4FB4-AB8E-7E4C3143A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35C"/>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1"/>
    <w:autoRedefine/>
    <w:qFormat/>
    <w:rsid w:val="00915F02"/>
    <w:pPr>
      <w:keepNext/>
      <w:keepLines/>
      <w:numPr>
        <w:ilvl w:val="1"/>
        <w:numId w:val="1"/>
      </w:numPr>
      <w:spacing w:before="113"/>
      <w:outlineLvl w:val="1"/>
    </w:pPr>
    <w:rPr>
      <w:rFonts w:eastAsia="Times New Roman"/>
      <w:b/>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uiPriority w:val="34"/>
    <w:qFormat/>
    <w:pPr>
      <w:ind w:left="720"/>
    </w:pPr>
  </w:style>
  <w:style w:type="paragraph" w:styleId="NormalWeb">
    <w:name w:val="Normal (Web)"/>
    <w:basedOn w:val="Normal"/>
    <w:uiPriority w:val="99"/>
    <w:semiHidden/>
    <w:unhideWhenUsed/>
    <w:rsid w:val="0084193C"/>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object">
    <w:name w:val="object"/>
    <w:rsid w:val="0084193C"/>
  </w:style>
  <w:style w:type="table" w:styleId="TableGrid">
    <w:name w:val="Table Grid"/>
    <w:basedOn w:val="TableNormal"/>
    <w:uiPriority w:val="39"/>
    <w:rsid w:val="009C54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estern">
    <w:name w:val="western"/>
    <w:basedOn w:val="Normal"/>
    <w:rsid w:val="009C3D26"/>
    <w:pPr>
      <w:suppressAutoHyphens w:val="0"/>
      <w:spacing w:before="100" w:beforeAutospacing="1" w:after="100" w:afterAutospacing="1" w:line="240" w:lineRule="auto"/>
      <w:jc w:val="left"/>
    </w:pPr>
    <w:rPr>
      <w:rFonts w:eastAsia="Times New Roman"/>
      <w:color w:val="auto"/>
      <w:szCs w:val="24"/>
      <w:lang w:val="en-US" w:eastAsia="en-US"/>
    </w:rPr>
  </w:style>
  <w:style w:type="paragraph" w:customStyle="1" w:styleId="Standard">
    <w:name w:val="Standard"/>
    <w:rsid w:val="00F73DFB"/>
    <w:pPr>
      <w:widowControl w:val="0"/>
      <w:suppressAutoHyphens/>
      <w:autoSpaceDN w:val="0"/>
      <w:textAlignment w:val="baseline"/>
    </w:pPr>
    <w:rPr>
      <w:rFonts w:ascii="Tinos" w:eastAsia="Noto Sans CJK SC" w:hAnsi="Tinos" w:cs="DejaVu Sans"/>
      <w:kern w:val="3"/>
      <w:sz w:val="24"/>
      <w:szCs w:val="24"/>
      <w:lang w:val="en-GB" w:eastAsia="zh-CN" w:bidi="hi-IN"/>
    </w:rPr>
  </w:style>
  <w:style w:type="character" w:styleId="Strong">
    <w:name w:val="Strong"/>
    <w:uiPriority w:val="22"/>
    <w:qFormat/>
    <w:rsid w:val="00323008"/>
    <w:rPr>
      <w:b/>
      <w:bCs/>
    </w:rPr>
  </w:style>
  <w:style w:type="paragraph" w:styleId="Title">
    <w:name w:val="Title"/>
    <w:basedOn w:val="Normal"/>
    <w:link w:val="TitleChar"/>
    <w:uiPriority w:val="1"/>
    <w:qFormat/>
    <w:rsid w:val="00DC63CB"/>
    <w:pPr>
      <w:widowControl w:val="0"/>
      <w:suppressAutoHyphens w:val="0"/>
      <w:autoSpaceDE w:val="0"/>
      <w:autoSpaceDN w:val="0"/>
      <w:spacing w:before="97" w:line="240" w:lineRule="auto"/>
      <w:ind w:left="1636" w:right="1645"/>
      <w:jc w:val="center"/>
    </w:pPr>
    <w:rPr>
      <w:rFonts w:ascii="Arial" w:eastAsia="Arial" w:hAnsi="Arial" w:cs="Arial"/>
      <w:b/>
      <w:bCs/>
      <w:color w:val="auto"/>
      <w:sz w:val="29"/>
      <w:szCs w:val="29"/>
      <w:lang w:val="en-US" w:eastAsia="en-US"/>
    </w:rPr>
  </w:style>
  <w:style w:type="character" w:customStyle="1" w:styleId="TitleChar">
    <w:name w:val="Title Char"/>
    <w:link w:val="Title"/>
    <w:uiPriority w:val="1"/>
    <w:rsid w:val="00DC63CB"/>
    <w:rPr>
      <w:rFonts w:ascii="Arial" w:eastAsia="Arial" w:hAnsi="Arial" w:cs="Arial"/>
      <w:b/>
      <w:bCs/>
      <w:sz w:val="29"/>
      <w:szCs w:val="29"/>
    </w:rPr>
  </w:style>
  <w:style w:type="paragraph" w:customStyle="1" w:styleId="TableParagraph">
    <w:name w:val="Table Paragraph"/>
    <w:basedOn w:val="Normal"/>
    <w:uiPriority w:val="1"/>
    <w:qFormat/>
    <w:rsid w:val="00DC63CB"/>
    <w:pPr>
      <w:widowControl w:val="0"/>
      <w:suppressAutoHyphens w:val="0"/>
      <w:autoSpaceDE w:val="0"/>
      <w:autoSpaceDN w:val="0"/>
      <w:spacing w:line="240" w:lineRule="auto"/>
      <w:jc w:val="left"/>
    </w:pPr>
    <w:rPr>
      <w:rFonts w:ascii="Arial" w:eastAsia="Arial" w:hAnsi="Arial" w:cs="Arial"/>
      <w:color w:val="auto"/>
      <w:sz w:val="22"/>
      <w:lang w:val="en-US" w:eastAsia="en-US"/>
    </w:rPr>
  </w:style>
  <w:style w:type="paragraph" w:customStyle="1" w:styleId="paragraph">
    <w:name w:val="paragraph"/>
    <w:basedOn w:val="Normal"/>
    <w:rsid w:val="005E1001"/>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article-classifiergap">
    <w:name w:val="article-classifier__gap"/>
    <w:rsid w:val="007923A1"/>
  </w:style>
  <w:style w:type="paragraph" w:customStyle="1" w:styleId="description">
    <w:name w:val="description"/>
    <w:basedOn w:val="Normal"/>
    <w:rsid w:val="0088380E"/>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Heading2Char1">
    <w:name w:val="Heading 2 Char1"/>
    <w:basedOn w:val="DefaultParagraphFont"/>
    <w:link w:val="Heading2"/>
    <w:rsid w:val="00915F02"/>
    <w:rPr>
      <w:b/>
      <w:bCs/>
      <w:color w:val="000000"/>
      <w:sz w:val="24"/>
      <w:szCs w:val="26"/>
      <w:u w:val="single"/>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06880">
      <w:bodyDiv w:val="1"/>
      <w:marLeft w:val="0"/>
      <w:marRight w:val="0"/>
      <w:marTop w:val="0"/>
      <w:marBottom w:val="0"/>
      <w:divBdr>
        <w:top w:val="none" w:sz="0" w:space="0" w:color="auto"/>
        <w:left w:val="none" w:sz="0" w:space="0" w:color="auto"/>
        <w:bottom w:val="none" w:sz="0" w:space="0" w:color="auto"/>
        <w:right w:val="none" w:sz="0" w:space="0" w:color="auto"/>
      </w:divBdr>
    </w:div>
    <w:div w:id="74984821">
      <w:bodyDiv w:val="1"/>
      <w:marLeft w:val="0"/>
      <w:marRight w:val="0"/>
      <w:marTop w:val="0"/>
      <w:marBottom w:val="0"/>
      <w:divBdr>
        <w:top w:val="none" w:sz="0" w:space="0" w:color="auto"/>
        <w:left w:val="none" w:sz="0" w:space="0" w:color="auto"/>
        <w:bottom w:val="none" w:sz="0" w:space="0" w:color="auto"/>
        <w:right w:val="none" w:sz="0" w:space="0" w:color="auto"/>
      </w:divBdr>
    </w:div>
    <w:div w:id="113524730">
      <w:bodyDiv w:val="1"/>
      <w:marLeft w:val="0"/>
      <w:marRight w:val="0"/>
      <w:marTop w:val="0"/>
      <w:marBottom w:val="0"/>
      <w:divBdr>
        <w:top w:val="none" w:sz="0" w:space="0" w:color="auto"/>
        <w:left w:val="none" w:sz="0" w:space="0" w:color="auto"/>
        <w:bottom w:val="none" w:sz="0" w:space="0" w:color="auto"/>
        <w:right w:val="none" w:sz="0" w:space="0" w:color="auto"/>
      </w:divBdr>
    </w:div>
    <w:div w:id="122188510">
      <w:bodyDiv w:val="1"/>
      <w:marLeft w:val="0"/>
      <w:marRight w:val="0"/>
      <w:marTop w:val="0"/>
      <w:marBottom w:val="0"/>
      <w:divBdr>
        <w:top w:val="none" w:sz="0" w:space="0" w:color="auto"/>
        <w:left w:val="none" w:sz="0" w:space="0" w:color="auto"/>
        <w:bottom w:val="none" w:sz="0" w:space="0" w:color="auto"/>
        <w:right w:val="none" w:sz="0" w:space="0" w:color="auto"/>
      </w:divBdr>
    </w:div>
    <w:div w:id="134491850">
      <w:bodyDiv w:val="1"/>
      <w:marLeft w:val="0"/>
      <w:marRight w:val="0"/>
      <w:marTop w:val="0"/>
      <w:marBottom w:val="0"/>
      <w:divBdr>
        <w:top w:val="none" w:sz="0" w:space="0" w:color="auto"/>
        <w:left w:val="none" w:sz="0" w:space="0" w:color="auto"/>
        <w:bottom w:val="none" w:sz="0" w:space="0" w:color="auto"/>
        <w:right w:val="none" w:sz="0" w:space="0" w:color="auto"/>
      </w:divBdr>
    </w:div>
    <w:div w:id="158548698">
      <w:bodyDiv w:val="1"/>
      <w:marLeft w:val="0"/>
      <w:marRight w:val="0"/>
      <w:marTop w:val="0"/>
      <w:marBottom w:val="0"/>
      <w:divBdr>
        <w:top w:val="none" w:sz="0" w:space="0" w:color="auto"/>
        <w:left w:val="none" w:sz="0" w:space="0" w:color="auto"/>
        <w:bottom w:val="none" w:sz="0" w:space="0" w:color="auto"/>
        <w:right w:val="none" w:sz="0" w:space="0" w:color="auto"/>
      </w:divBdr>
    </w:div>
    <w:div w:id="178932886">
      <w:bodyDiv w:val="1"/>
      <w:marLeft w:val="0"/>
      <w:marRight w:val="0"/>
      <w:marTop w:val="0"/>
      <w:marBottom w:val="0"/>
      <w:divBdr>
        <w:top w:val="none" w:sz="0" w:space="0" w:color="auto"/>
        <w:left w:val="none" w:sz="0" w:space="0" w:color="auto"/>
        <w:bottom w:val="none" w:sz="0" w:space="0" w:color="auto"/>
        <w:right w:val="none" w:sz="0" w:space="0" w:color="auto"/>
      </w:divBdr>
    </w:div>
    <w:div w:id="193808055">
      <w:bodyDiv w:val="1"/>
      <w:marLeft w:val="0"/>
      <w:marRight w:val="0"/>
      <w:marTop w:val="0"/>
      <w:marBottom w:val="0"/>
      <w:divBdr>
        <w:top w:val="none" w:sz="0" w:space="0" w:color="auto"/>
        <w:left w:val="none" w:sz="0" w:space="0" w:color="auto"/>
        <w:bottom w:val="none" w:sz="0" w:space="0" w:color="auto"/>
        <w:right w:val="none" w:sz="0" w:space="0" w:color="auto"/>
      </w:divBdr>
    </w:div>
    <w:div w:id="322050145">
      <w:bodyDiv w:val="1"/>
      <w:marLeft w:val="0"/>
      <w:marRight w:val="0"/>
      <w:marTop w:val="0"/>
      <w:marBottom w:val="0"/>
      <w:divBdr>
        <w:top w:val="none" w:sz="0" w:space="0" w:color="auto"/>
        <w:left w:val="none" w:sz="0" w:space="0" w:color="auto"/>
        <w:bottom w:val="none" w:sz="0" w:space="0" w:color="auto"/>
        <w:right w:val="none" w:sz="0" w:space="0" w:color="auto"/>
      </w:divBdr>
    </w:div>
    <w:div w:id="407575371">
      <w:bodyDiv w:val="1"/>
      <w:marLeft w:val="0"/>
      <w:marRight w:val="0"/>
      <w:marTop w:val="0"/>
      <w:marBottom w:val="0"/>
      <w:divBdr>
        <w:top w:val="none" w:sz="0" w:space="0" w:color="auto"/>
        <w:left w:val="none" w:sz="0" w:space="0" w:color="auto"/>
        <w:bottom w:val="none" w:sz="0" w:space="0" w:color="auto"/>
        <w:right w:val="none" w:sz="0" w:space="0" w:color="auto"/>
      </w:divBdr>
    </w:div>
    <w:div w:id="436751639">
      <w:bodyDiv w:val="1"/>
      <w:marLeft w:val="0"/>
      <w:marRight w:val="0"/>
      <w:marTop w:val="0"/>
      <w:marBottom w:val="0"/>
      <w:divBdr>
        <w:top w:val="none" w:sz="0" w:space="0" w:color="auto"/>
        <w:left w:val="none" w:sz="0" w:space="0" w:color="auto"/>
        <w:bottom w:val="none" w:sz="0" w:space="0" w:color="auto"/>
        <w:right w:val="none" w:sz="0" w:space="0" w:color="auto"/>
      </w:divBdr>
    </w:div>
    <w:div w:id="438918881">
      <w:bodyDiv w:val="1"/>
      <w:marLeft w:val="0"/>
      <w:marRight w:val="0"/>
      <w:marTop w:val="0"/>
      <w:marBottom w:val="0"/>
      <w:divBdr>
        <w:top w:val="none" w:sz="0" w:space="0" w:color="auto"/>
        <w:left w:val="none" w:sz="0" w:space="0" w:color="auto"/>
        <w:bottom w:val="none" w:sz="0" w:space="0" w:color="auto"/>
        <w:right w:val="none" w:sz="0" w:space="0" w:color="auto"/>
      </w:divBdr>
    </w:div>
    <w:div w:id="581765913">
      <w:bodyDiv w:val="1"/>
      <w:marLeft w:val="0"/>
      <w:marRight w:val="0"/>
      <w:marTop w:val="0"/>
      <w:marBottom w:val="0"/>
      <w:divBdr>
        <w:top w:val="none" w:sz="0" w:space="0" w:color="auto"/>
        <w:left w:val="none" w:sz="0" w:space="0" w:color="auto"/>
        <w:bottom w:val="none" w:sz="0" w:space="0" w:color="auto"/>
        <w:right w:val="none" w:sz="0" w:space="0" w:color="auto"/>
      </w:divBdr>
    </w:div>
    <w:div w:id="617878708">
      <w:bodyDiv w:val="1"/>
      <w:marLeft w:val="0"/>
      <w:marRight w:val="0"/>
      <w:marTop w:val="0"/>
      <w:marBottom w:val="0"/>
      <w:divBdr>
        <w:top w:val="none" w:sz="0" w:space="0" w:color="auto"/>
        <w:left w:val="none" w:sz="0" w:space="0" w:color="auto"/>
        <w:bottom w:val="none" w:sz="0" w:space="0" w:color="auto"/>
        <w:right w:val="none" w:sz="0" w:space="0" w:color="auto"/>
      </w:divBdr>
    </w:div>
    <w:div w:id="646014471">
      <w:bodyDiv w:val="1"/>
      <w:marLeft w:val="0"/>
      <w:marRight w:val="0"/>
      <w:marTop w:val="0"/>
      <w:marBottom w:val="0"/>
      <w:divBdr>
        <w:top w:val="none" w:sz="0" w:space="0" w:color="auto"/>
        <w:left w:val="none" w:sz="0" w:space="0" w:color="auto"/>
        <w:bottom w:val="none" w:sz="0" w:space="0" w:color="auto"/>
        <w:right w:val="none" w:sz="0" w:space="0" w:color="auto"/>
      </w:divBdr>
    </w:div>
    <w:div w:id="651909292">
      <w:bodyDiv w:val="1"/>
      <w:marLeft w:val="0"/>
      <w:marRight w:val="0"/>
      <w:marTop w:val="0"/>
      <w:marBottom w:val="0"/>
      <w:divBdr>
        <w:top w:val="none" w:sz="0" w:space="0" w:color="auto"/>
        <w:left w:val="none" w:sz="0" w:space="0" w:color="auto"/>
        <w:bottom w:val="none" w:sz="0" w:space="0" w:color="auto"/>
        <w:right w:val="none" w:sz="0" w:space="0" w:color="auto"/>
      </w:divBdr>
    </w:div>
    <w:div w:id="708726144">
      <w:bodyDiv w:val="1"/>
      <w:marLeft w:val="0"/>
      <w:marRight w:val="0"/>
      <w:marTop w:val="0"/>
      <w:marBottom w:val="0"/>
      <w:divBdr>
        <w:top w:val="none" w:sz="0" w:space="0" w:color="auto"/>
        <w:left w:val="none" w:sz="0" w:space="0" w:color="auto"/>
        <w:bottom w:val="none" w:sz="0" w:space="0" w:color="auto"/>
        <w:right w:val="none" w:sz="0" w:space="0" w:color="auto"/>
      </w:divBdr>
    </w:div>
    <w:div w:id="794755076">
      <w:bodyDiv w:val="1"/>
      <w:marLeft w:val="0"/>
      <w:marRight w:val="0"/>
      <w:marTop w:val="0"/>
      <w:marBottom w:val="0"/>
      <w:divBdr>
        <w:top w:val="none" w:sz="0" w:space="0" w:color="auto"/>
        <w:left w:val="none" w:sz="0" w:space="0" w:color="auto"/>
        <w:bottom w:val="none" w:sz="0" w:space="0" w:color="auto"/>
        <w:right w:val="none" w:sz="0" w:space="0" w:color="auto"/>
      </w:divBdr>
    </w:div>
    <w:div w:id="822426895">
      <w:bodyDiv w:val="1"/>
      <w:marLeft w:val="0"/>
      <w:marRight w:val="0"/>
      <w:marTop w:val="0"/>
      <w:marBottom w:val="0"/>
      <w:divBdr>
        <w:top w:val="none" w:sz="0" w:space="0" w:color="auto"/>
        <w:left w:val="none" w:sz="0" w:space="0" w:color="auto"/>
        <w:bottom w:val="none" w:sz="0" w:space="0" w:color="auto"/>
        <w:right w:val="none" w:sz="0" w:space="0" w:color="auto"/>
      </w:divBdr>
      <w:divsChild>
        <w:div w:id="1580674563">
          <w:marLeft w:val="0"/>
          <w:marRight w:val="0"/>
          <w:marTop w:val="0"/>
          <w:marBottom w:val="0"/>
          <w:divBdr>
            <w:top w:val="single" w:sz="2" w:space="0" w:color="auto"/>
            <w:left w:val="single" w:sz="2" w:space="0" w:color="auto"/>
            <w:bottom w:val="single" w:sz="6" w:space="0" w:color="auto"/>
            <w:right w:val="single" w:sz="2" w:space="0" w:color="auto"/>
          </w:divBdr>
          <w:divsChild>
            <w:div w:id="1869833546">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337365">
                  <w:marLeft w:val="0"/>
                  <w:marRight w:val="0"/>
                  <w:marTop w:val="0"/>
                  <w:marBottom w:val="0"/>
                  <w:divBdr>
                    <w:top w:val="single" w:sz="2" w:space="0" w:color="D9D9E3"/>
                    <w:left w:val="single" w:sz="2" w:space="0" w:color="D9D9E3"/>
                    <w:bottom w:val="single" w:sz="2" w:space="0" w:color="D9D9E3"/>
                    <w:right w:val="single" w:sz="2" w:space="0" w:color="D9D9E3"/>
                  </w:divBdr>
                  <w:divsChild>
                    <w:div w:id="1957785093">
                      <w:marLeft w:val="0"/>
                      <w:marRight w:val="0"/>
                      <w:marTop w:val="0"/>
                      <w:marBottom w:val="0"/>
                      <w:divBdr>
                        <w:top w:val="single" w:sz="2" w:space="0" w:color="D9D9E3"/>
                        <w:left w:val="single" w:sz="2" w:space="0" w:color="D9D9E3"/>
                        <w:bottom w:val="single" w:sz="2" w:space="0" w:color="D9D9E3"/>
                        <w:right w:val="single" w:sz="2" w:space="0" w:color="D9D9E3"/>
                      </w:divBdr>
                      <w:divsChild>
                        <w:div w:id="167406946">
                          <w:marLeft w:val="0"/>
                          <w:marRight w:val="0"/>
                          <w:marTop w:val="0"/>
                          <w:marBottom w:val="0"/>
                          <w:divBdr>
                            <w:top w:val="single" w:sz="2" w:space="0" w:color="D9D9E3"/>
                            <w:left w:val="single" w:sz="2" w:space="0" w:color="D9D9E3"/>
                            <w:bottom w:val="single" w:sz="2" w:space="0" w:color="D9D9E3"/>
                            <w:right w:val="single" w:sz="2" w:space="0" w:color="D9D9E3"/>
                          </w:divBdr>
                          <w:divsChild>
                            <w:div w:id="7390628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37497354">
      <w:bodyDiv w:val="1"/>
      <w:marLeft w:val="0"/>
      <w:marRight w:val="0"/>
      <w:marTop w:val="0"/>
      <w:marBottom w:val="0"/>
      <w:divBdr>
        <w:top w:val="none" w:sz="0" w:space="0" w:color="auto"/>
        <w:left w:val="none" w:sz="0" w:space="0" w:color="auto"/>
        <w:bottom w:val="none" w:sz="0" w:space="0" w:color="auto"/>
        <w:right w:val="none" w:sz="0" w:space="0" w:color="auto"/>
      </w:divBdr>
    </w:div>
    <w:div w:id="873230640">
      <w:bodyDiv w:val="1"/>
      <w:marLeft w:val="0"/>
      <w:marRight w:val="0"/>
      <w:marTop w:val="0"/>
      <w:marBottom w:val="0"/>
      <w:divBdr>
        <w:top w:val="none" w:sz="0" w:space="0" w:color="auto"/>
        <w:left w:val="none" w:sz="0" w:space="0" w:color="auto"/>
        <w:bottom w:val="none" w:sz="0" w:space="0" w:color="auto"/>
        <w:right w:val="none" w:sz="0" w:space="0" w:color="auto"/>
      </w:divBdr>
      <w:divsChild>
        <w:div w:id="1649164574">
          <w:marLeft w:val="0"/>
          <w:marRight w:val="0"/>
          <w:marTop w:val="0"/>
          <w:marBottom w:val="0"/>
          <w:divBdr>
            <w:top w:val="none" w:sz="0" w:space="0" w:color="auto"/>
            <w:left w:val="none" w:sz="0" w:space="0" w:color="auto"/>
            <w:bottom w:val="none" w:sz="0" w:space="0" w:color="auto"/>
            <w:right w:val="none" w:sz="0" w:space="0" w:color="auto"/>
          </w:divBdr>
          <w:divsChild>
            <w:div w:id="878975404">
              <w:marLeft w:val="0"/>
              <w:marRight w:val="0"/>
              <w:marTop w:val="0"/>
              <w:marBottom w:val="0"/>
              <w:divBdr>
                <w:top w:val="none" w:sz="0" w:space="0" w:color="auto"/>
                <w:left w:val="none" w:sz="0" w:space="0" w:color="auto"/>
                <w:bottom w:val="none" w:sz="0" w:space="0" w:color="auto"/>
                <w:right w:val="none" w:sz="0" w:space="0" w:color="auto"/>
              </w:divBdr>
              <w:divsChild>
                <w:div w:id="1208223698">
                  <w:marLeft w:val="0"/>
                  <w:marRight w:val="0"/>
                  <w:marTop w:val="0"/>
                  <w:marBottom w:val="0"/>
                  <w:divBdr>
                    <w:top w:val="none" w:sz="0" w:space="0" w:color="auto"/>
                    <w:left w:val="none" w:sz="0" w:space="0" w:color="auto"/>
                    <w:bottom w:val="none" w:sz="0" w:space="0" w:color="auto"/>
                    <w:right w:val="none" w:sz="0" w:space="0" w:color="auto"/>
                  </w:divBdr>
                </w:div>
                <w:div w:id="1983584466">
                  <w:marLeft w:val="0"/>
                  <w:marRight w:val="0"/>
                  <w:marTop w:val="0"/>
                  <w:marBottom w:val="0"/>
                  <w:divBdr>
                    <w:top w:val="none" w:sz="0" w:space="0" w:color="auto"/>
                    <w:left w:val="none" w:sz="0" w:space="0" w:color="auto"/>
                    <w:bottom w:val="none" w:sz="0" w:space="0" w:color="auto"/>
                    <w:right w:val="none" w:sz="0" w:space="0" w:color="auto"/>
                  </w:divBdr>
                  <w:divsChild>
                    <w:div w:id="364790033">
                      <w:marLeft w:val="0"/>
                      <w:marRight w:val="0"/>
                      <w:marTop w:val="0"/>
                      <w:marBottom w:val="0"/>
                      <w:divBdr>
                        <w:top w:val="none" w:sz="0" w:space="0" w:color="auto"/>
                        <w:left w:val="none" w:sz="0" w:space="0" w:color="auto"/>
                        <w:bottom w:val="none" w:sz="0" w:space="0" w:color="auto"/>
                        <w:right w:val="none" w:sz="0" w:space="0" w:color="auto"/>
                      </w:divBdr>
                    </w:div>
                    <w:div w:id="1996185079">
                      <w:marLeft w:val="0"/>
                      <w:marRight w:val="0"/>
                      <w:marTop w:val="0"/>
                      <w:marBottom w:val="0"/>
                      <w:divBdr>
                        <w:top w:val="none" w:sz="0" w:space="0" w:color="auto"/>
                        <w:left w:val="none" w:sz="0" w:space="0" w:color="auto"/>
                        <w:bottom w:val="none" w:sz="0" w:space="0" w:color="auto"/>
                        <w:right w:val="none" w:sz="0" w:space="0" w:color="auto"/>
                      </w:divBdr>
                      <w:divsChild>
                        <w:div w:id="231428184">
                          <w:marLeft w:val="0"/>
                          <w:marRight w:val="0"/>
                          <w:marTop w:val="0"/>
                          <w:marBottom w:val="0"/>
                          <w:divBdr>
                            <w:top w:val="none" w:sz="0" w:space="0" w:color="auto"/>
                            <w:left w:val="none" w:sz="0" w:space="0" w:color="auto"/>
                            <w:bottom w:val="none" w:sz="0" w:space="0" w:color="auto"/>
                            <w:right w:val="none" w:sz="0" w:space="0" w:color="auto"/>
                          </w:divBdr>
                          <w:divsChild>
                            <w:div w:id="1925408118">
                              <w:marLeft w:val="0"/>
                              <w:marRight w:val="0"/>
                              <w:marTop w:val="0"/>
                              <w:marBottom w:val="0"/>
                              <w:divBdr>
                                <w:top w:val="none" w:sz="0" w:space="0" w:color="auto"/>
                                <w:left w:val="none" w:sz="0" w:space="0" w:color="auto"/>
                                <w:bottom w:val="none" w:sz="0" w:space="0" w:color="auto"/>
                                <w:right w:val="none" w:sz="0" w:space="0" w:color="auto"/>
                              </w:divBdr>
                            </w:div>
                          </w:divsChild>
                        </w:div>
                        <w:div w:id="603269109">
                          <w:marLeft w:val="0"/>
                          <w:marRight w:val="0"/>
                          <w:marTop w:val="0"/>
                          <w:marBottom w:val="0"/>
                          <w:divBdr>
                            <w:top w:val="none" w:sz="0" w:space="0" w:color="auto"/>
                            <w:left w:val="none" w:sz="0" w:space="0" w:color="auto"/>
                            <w:bottom w:val="none" w:sz="0" w:space="0" w:color="auto"/>
                            <w:right w:val="none" w:sz="0" w:space="0" w:color="auto"/>
                          </w:divBdr>
                        </w:div>
                        <w:div w:id="853809852">
                          <w:marLeft w:val="0"/>
                          <w:marRight w:val="0"/>
                          <w:marTop w:val="0"/>
                          <w:marBottom w:val="0"/>
                          <w:divBdr>
                            <w:top w:val="none" w:sz="0" w:space="0" w:color="auto"/>
                            <w:left w:val="none" w:sz="0" w:space="0" w:color="auto"/>
                            <w:bottom w:val="none" w:sz="0" w:space="0" w:color="auto"/>
                            <w:right w:val="none" w:sz="0" w:space="0" w:color="auto"/>
                          </w:divBdr>
                        </w:div>
                        <w:div w:id="1043097630">
                          <w:marLeft w:val="0"/>
                          <w:marRight w:val="0"/>
                          <w:marTop w:val="0"/>
                          <w:marBottom w:val="0"/>
                          <w:divBdr>
                            <w:top w:val="none" w:sz="0" w:space="0" w:color="auto"/>
                            <w:left w:val="none" w:sz="0" w:space="0" w:color="auto"/>
                            <w:bottom w:val="none" w:sz="0" w:space="0" w:color="auto"/>
                            <w:right w:val="none" w:sz="0" w:space="0" w:color="auto"/>
                          </w:divBdr>
                        </w:div>
                        <w:div w:id="1137533490">
                          <w:marLeft w:val="0"/>
                          <w:marRight w:val="0"/>
                          <w:marTop w:val="0"/>
                          <w:marBottom w:val="0"/>
                          <w:divBdr>
                            <w:top w:val="none" w:sz="0" w:space="0" w:color="auto"/>
                            <w:left w:val="none" w:sz="0" w:space="0" w:color="auto"/>
                            <w:bottom w:val="none" w:sz="0" w:space="0" w:color="auto"/>
                            <w:right w:val="none" w:sz="0" w:space="0" w:color="auto"/>
                          </w:divBdr>
                        </w:div>
                        <w:div w:id="1239705063">
                          <w:marLeft w:val="0"/>
                          <w:marRight w:val="0"/>
                          <w:marTop w:val="0"/>
                          <w:marBottom w:val="0"/>
                          <w:divBdr>
                            <w:top w:val="none" w:sz="0" w:space="0" w:color="auto"/>
                            <w:left w:val="none" w:sz="0" w:space="0" w:color="auto"/>
                            <w:bottom w:val="none" w:sz="0" w:space="0" w:color="auto"/>
                            <w:right w:val="none" w:sz="0" w:space="0" w:color="auto"/>
                          </w:divBdr>
                          <w:divsChild>
                            <w:div w:id="1430541750">
                              <w:marLeft w:val="0"/>
                              <w:marRight w:val="0"/>
                              <w:marTop w:val="0"/>
                              <w:marBottom w:val="0"/>
                              <w:divBdr>
                                <w:top w:val="none" w:sz="0" w:space="0" w:color="auto"/>
                                <w:left w:val="none" w:sz="0" w:space="0" w:color="auto"/>
                                <w:bottom w:val="none" w:sz="0" w:space="0" w:color="auto"/>
                                <w:right w:val="none" w:sz="0" w:space="0" w:color="auto"/>
                              </w:divBdr>
                            </w:div>
                          </w:divsChild>
                        </w:div>
                        <w:div w:id="1988586989">
                          <w:marLeft w:val="0"/>
                          <w:marRight w:val="0"/>
                          <w:marTop w:val="0"/>
                          <w:marBottom w:val="0"/>
                          <w:divBdr>
                            <w:top w:val="none" w:sz="0" w:space="0" w:color="auto"/>
                            <w:left w:val="none" w:sz="0" w:space="0" w:color="auto"/>
                            <w:bottom w:val="none" w:sz="0" w:space="0" w:color="auto"/>
                            <w:right w:val="none" w:sz="0" w:space="0" w:color="auto"/>
                          </w:divBdr>
                          <w:divsChild>
                            <w:div w:id="211277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778116">
              <w:marLeft w:val="0"/>
              <w:marRight w:val="0"/>
              <w:marTop w:val="0"/>
              <w:marBottom w:val="0"/>
              <w:divBdr>
                <w:top w:val="none" w:sz="0" w:space="0" w:color="auto"/>
                <w:left w:val="none" w:sz="0" w:space="0" w:color="auto"/>
                <w:bottom w:val="none" w:sz="0" w:space="0" w:color="auto"/>
                <w:right w:val="none" w:sz="0" w:space="0" w:color="auto"/>
              </w:divBdr>
            </w:div>
          </w:divsChild>
        </w:div>
        <w:div w:id="2003392347">
          <w:marLeft w:val="0"/>
          <w:marRight w:val="0"/>
          <w:marTop w:val="0"/>
          <w:marBottom w:val="0"/>
          <w:divBdr>
            <w:top w:val="none" w:sz="0" w:space="0" w:color="auto"/>
            <w:left w:val="none" w:sz="0" w:space="0" w:color="auto"/>
            <w:bottom w:val="none" w:sz="0" w:space="0" w:color="auto"/>
            <w:right w:val="none" w:sz="0" w:space="0" w:color="auto"/>
          </w:divBdr>
        </w:div>
      </w:divsChild>
    </w:div>
    <w:div w:id="885681925">
      <w:bodyDiv w:val="1"/>
      <w:marLeft w:val="0"/>
      <w:marRight w:val="0"/>
      <w:marTop w:val="0"/>
      <w:marBottom w:val="0"/>
      <w:divBdr>
        <w:top w:val="none" w:sz="0" w:space="0" w:color="auto"/>
        <w:left w:val="none" w:sz="0" w:space="0" w:color="auto"/>
        <w:bottom w:val="none" w:sz="0" w:space="0" w:color="auto"/>
        <w:right w:val="none" w:sz="0" w:space="0" w:color="auto"/>
      </w:divBdr>
    </w:div>
    <w:div w:id="893391964">
      <w:bodyDiv w:val="1"/>
      <w:marLeft w:val="0"/>
      <w:marRight w:val="0"/>
      <w:marTop w:val="0"/>
      <w:marBottom w:val="0"/>
      <w:divBdr>
        <w:top w:val="none" w:sz="0" w:space="0" w:color="auto"/>
        <w:left w:val="none" w:sz="0" w:space="0" w:color="auto"/>
        <w:bottom w:val="none" w:sz="0" w:space="0" w:color="auto"/>
        <w:right w:val="none" w:sz="0" w:space="0" w:color="auto"/>
      </w:divBdr>
    </w:div>
    <w:div w:id="1002199408">
      <w:bodyDiv w:val="1"/>
      <w:marLeft w:val="0"/>
      <w:marRight w:val="0"/>
      <w:marTop w:val="0"/>
      <w:marBottom w:val="0"/>
      <w:divBdr>
        <w:top w:val="none" w:sz="0" w:space="0" w:color="auto"/>
        <w:left w:val="none" w:sz="0" w:space="0" w:color="auto"/>
        <w:bottom w:val="none" w:sz="0" w:space="0" w:color="auto"/>
        <w:right w:val="none" w:sz="0" w:space="0" w:color="auto"/>
      </w:divBdr>
    </w:div>
    <w:div w:id="1032727422">
      <w:bodyDiv w:val="1"/>
      <w:marLeft w:val="0"/>
      <w:marRight w:val="0"/>
      <w:marTop w:val="0"/>
      <w:marBottom w:val="0"/>
      <w:divBdr>
        <w:top w:val="none" w:sz="0" w:space="0" w:color="auto"/>
        <w:left w:val="none" w:sz="0" w:space="0" w:color="auto"/>
        <w:bottom w:val="none" w:sz="0" w:space="0" w:color="auto"/>
        <w:right w:val="none" w:sz="0" w:space="0" w:color="auto"/>
      </w:divBdr>
    </w:div>
    <w:div w:id="1095370493">
      <w:bodyDiv w:val="1"/>
      <w:marLeft w:val="0"/>
      <w:marRight w:val="0"/>
      <w:marTop w:val="0"/>
      <w:marBottom w:val="0"/>
      <w:divBdr>
        <w:top w:val="none" w:sz="0" w:space="0" w:color="auto"/>
        <w:left w:val="none" w:sz="0" w:space="0" w:color="auto"/>
        <w:bottom w:val="none" w:sz="0" w:space="0" w:color="auto"/>
        <w:right w:val="none" w:sz="0" w:space="0" w:color="auto"/>
      </w:divBdr>
    </w:div>
    <w:div w:id="1105921080">
      <w:bodyDiv w:val="1"/>
      <w:marLeft w:val="0"/>
      <w:marRight w:val="0"/>
      <w:marTop w:val="0"/>
      <w:marBottom w:val="0"/>
      <w:divBdr>
        <w:top w:val="none" w:sz="0" w:space="0" w:color="auto"/>
        <w:left w:val="none" w:sz="0" w:space="0" w:color="auto"/>
        <w:bottom w:val="none" w:sz="0" w:space="0" w:color="auto"/>
        <w:right w:val="none" w:sz="0" w:space="0" w:color="auto"/>
      </w:divBdr>
    </w:div>
    <w:div w:id="1145119012">
      <w:bodyDiv w:val="1"/>
      <w:marLeft w:val="0"/>
      <w:marRight w:val="0"/>
      <w:marTop w:val="0"/>
      <w:marBottom w:val="0"/>
      <w:divBdr>
        <w:top w:val="none" w:sz="0" w:space="0" w:color="auto"/>
        <w:left w:val="none" w:sz="0" w:space="0" w:color="auto"/>
        <w:bottom w:val="none" w:sz="0" w:space="0" w:color="auto"/>
        <w:right w:val="none" w:sz="0" w:space="0" w:color="auto"/>
      </w:divBdr>
    </w:div>
    <w:div w:id="1151750865">
      <w:bodyDiv w:val="1"/>
      <w:marLeft w:val="0"/>
      <w:marRight w:val="0"/>
      <w:marTop w:val="0"/>
      <w:marBottom w:val="0"/>
      <w:divBdr>
        <w:top w:val="none" w:sz="0" w:space="0" w:color="auto"/>
        <w:left w:val="none" w:sz="0" w:space="0" w:color="auto"/>
        <w:bottom w:val="none" w:sz="0" w:space="0" w:color="auto"/>
        <w:right w:val="none" w:sz="0" w:space="0" w:color="auto"/>
      </w:divBdr>
    </w:div>
    <w:div w:id="1201627634">
      <w:bodyDiv w:val="1"/>
      <w:marLeft w:val="0"/>
      <w:marRight w:val="0"/>
      <w:marTop w:val="0"/>
      <w:marBottom w:val="0"/>
      <w:divBdr>
        <w:top w:val="none" w:sz="0" w:space="0" w:color="auto"/>
        <w:left w:val="none" w:sz="0" w:space="0" w:color="auto"/>
        <w:bottom w:val="none" w:sz="0" w:space="0" w:color="auto"/>
        <w:right w:val="none" w:sz="0" w:space="0" w:color="auto"/>
      </w:divBdr>
    </w:div>
    <w:div w:id="1218322644">
      <w:bodyDiv w:val="1"/>
      <w:marLeft w:val="0"/>
      <w:marRight w:val="0"/>
      <w:marTop w:val="0"/>
      <w:marBottom w:val="0"/>
      <w:divBdr>
        <w:top w:val="none" w:sz="0" w:space="0" w:color="auto"/>
        <w:left w:val="none" w:sz="0" w:space="0" w:color="auto"/>
        <w:bottom w:val="none" w:sz="0" w:space="0" w:color="auto"/>
        <w:right w:val="none" w:sz="0" w:space="0" w:color="auto"/>
      </w:divBdr>
    </w:div>
    <w:div w:id="1248536488">
      <w:bodyDiv w:val="1"/>
      <w:marLeft w:val="0"/>
      <w:marRight w:val="0"/>
      <w:marTop w:val="0"/>
      <w:marBottom w:val="0"/>
      <w:divBdr>
        <w:top w:val="none" w:sz="0" w:space="0" w:color="auto"/>
        <w:left w:val="none" w:sz="0" w:space="0" w:color="auto"/>
        <w:bottom w:val="none" w:sz="0" w:space="0" w:color="auto"/>
        <w:right w:val="none" w:sz="0" w:space="0" w:color="auto"/>
      </w:divBdr>
    </w:div>
    <w:div w:id="1249969600">
      <w:bodyDiv w:val="1"/>
      <w:marLeft w:val="0"/>
      <w:marRight w:val="0"/>
      <w:marTop w:val="0"/>
      <w:marBottom w:val="0"/>
      <w:divBdr>
        <w:top w:val="none" w:sz="0" w:space="0" w:color="auto"/>
        <w:left w:val="none" w:sz="0" w:space="0" w:color="auto"/>
        <w:bottom w:val="none" w:sz="0" w:space="0" w:color="auto"/>
        <w:right w:val="none" w:sz="0" w:space="0" w:color="auto"/>
      </w:divBdr>
    </w:div>
    <w:div w:id="1254318684">
      <w:bodyDiv w:val="1"/>
      <w:marLeft w:val="0"/>
      <w:marRight w:val="0"/>
      <w:marTop w:val="0"/>
      <w:marBottom w:val="0"/>
      <w:divBdr>
        <w:top w:val="none" w:sz="0" w:space="0" w:color="auto"/>
        <w:left w:val="none" w:sz="0" w:space="0" w:color="auto"/>
        <w:bottom w:val="none" w:sz="0" w:space="0" w:color="auto"/>
        <w:right w:val="none" w:sz="0" w:space="0" w:color="auto"/>
      </w:divBdr>
    </w:div>
    <w:div w:id="1363246636">
      <w:bodyDiv w:val="1"/>
      <w:marLeft w:val="0"/>
      <w:marRight w:val="0"/>
      <w:marTop w:val="0"/>
      <w:marBottom w:val="0"/>
      <w:divBdr>
        <w:top w:val="none" w:sz="0" w:space="0" w:color="auto"/>
        <w:left w:val="none" w:sz="0" w:space="0" w:color="auto"/>
        <w:bottom w:val="none" w:sz="0" w:space="0" w:color="auto"/>
        <w:right w:val="none" w:sz="0" w:space="0" w:color="auto"/>
      </w:divBdr>
    </w:div>
    <w:div w:id="1400708897">
      <w:bodyDiv w:val="1"/>
      <w:marLeft w:val="0"/>
      <w:marRight w:val="0"/>
      <w:marTop w:val="0"/>
      <w:marBottom w:val="0"/>
      <w:divBdr>
        <w:top w:val="none" w:sz="0" w:space="0" w:color="auto"/>
        <w:left w:val="none" w:sz="0" w:space="0" w:color="auto"/>
        <w:bottom w:val="none" w:sz="0" w:space="0" w:color="auto"/>
        <w:right w:val="none" w:sz="0" w:space="0" w:color="auto"/>
      </w:divBdr>
    </w:div>
    <w:div w:id="1443766552">
      <w:bodyDiv w:val="1"/>
      <w:marLeft w:val="0"/>
      <w:marRight w:val="0"/>
      <w:marTop w:val="0"/>
      <w:marBottom w:val="0"/>
      <w:divBdr>
        <w:top w:val="none" w:sz="0" w:space="0" w:color="auto"/>
        <w:left w:val="none" w:sz="0" w:space="0" w:color="auto"/>
        <w:bottom w:val="none" w:sz="0" w:space="0" w:color="auto"/>
        <w:right w:val="none" w:sz="0" w:space="0" w:color="auto"/>
      </w:divBdr>
      <w:divsChild>
        <w:div w:id="152718931">
          <w:marLeft w:val="547"/>
          <w:marRight w:val="0"/>
          <w:marTop w:val="115"/>
          <w:marBottom w:val="0"/>
          <w:divBdr>
            <w:top w:val="none" w:sz="0" w:space="0" w:color="auto"/>
            <w:left w:val="none" w:sz="0" w:space="0" w:color="auto"/>
            <w:bottom w:val="none" w:sz="0" w:space="0" w:color="auto"/>
            <w:right w:val="none" w:sz="0" w:space="0" w:color="auto"/>
          </w:divBdr>
        </w:div>
        <w:div w:id="335306734">
          <w:marLeft w:val="547"/>
          <w:marRight w:val="0"/>
          <w:marTop w:val="115"/>
          <w:marBottom w:val="0"/>
          <w:divBdr>
            <w:top w:val="none" w:sz="0" w:space="0" w:color="auto"/>
            <w:left w:val="none" w:sz="0" w:space="0" w:color="auto"/>
            <w:bottom w:val="none" w:sz="0" w:space="0" w:color="auto"/>
            <w:right w:val="none" w:sz="0" w:space="0" w:color="auto"/>
          </w:divBdr>
        </w:div>
        <w:div w:id="528837281">
          <w:marLeft w:val="547"/>
          <w:marRight w:val="0"/>
          <w:marTop w:val="115"/>
          <w:marBottom w:val="0"/>
          <w:divBdr>
            <w:top w:val="none" w:sz="0" w:space="0" w:color="auto"/>
            <w:left w:val="none" w:sz="0" w:space="0" w:color="auto"/>
            <w:bottom w:val="none" w:sz="0" w:space="0" w:color="auto"/>
            <w:right w:val="none" w:sz="0" w:space="0" w:color="auto"/>
          </w:divBdr>
        </w:div>
        <w:div w:id="795414948">
          <w:marLeft w:val="547"/>
          <w:marRight w:val="0"/>
          <w:marTop w:val="115"/>
          <w:marBottom w:val="0"/>
          <w:divBdr>
            <w:top w:val="none" w:sz="0" w:space="0" w:color="auto"/>
            <w:left w:val="none" w:sz="0" w:space="0" w:color="auto"/>
            <w:bottom w:val="none" w:sz="0" w:space="0" w:color="auto"/>
            <w:right w:val="none" w:sz="0" w:space="0" w:color="auto"/>
          </w:divBdr>
        </w:div>
        <w:div w:id="1519269712">
          <w:marLeft w:val="547"/>
          <w:marRight w:val="0"/>
          <w:marTop w:val="115"/>
          <w:marBottom w:val="0"/>
          <w:divBdr>
            <w:top w:val="none" w:sz="0" w:space="0" w:color="auto"/>
            <w:left w:val="none" w:sz="0" w:space="0" w:color="auto"/>
            <w:bottom w:val="none" w:sz="0" w:space="0" w:color="auto"/>
            <w:right w:val="none" w:sz="0" w:space="0" w:color="auto"/>
          </w:divBdr>
        </w:div>
        <w:div w:id="1909922170">
          <w:marLeft w:val="547"/>
          <w:marRight w:val="0"/>
          <w:marTop w:val="115"/>
          <w:marBottom w:val="0"/>
          <w:divBdr>
            <w:top w:val="none" w:sz="0" w:space="0" w:color="auto"/>
            <w:left w:val="none" w:sz="0" w:space="0" w:color="auto"/>
            <w:bottom w:val="none" w:sz="0" w:space="0" w:color="auto"/>
            <w:right w:val="none" w:sz="0" w:space="0" w:color="auto"/>
          </w:divBdr>
        </w:div>
      </w:divsChild>
    </w:div>
    <w:div w:id="1470709502">
      <w:bodyDiv w:val="1"/>
      <w:marLeft w:val="0"/>
      <w:marRight w:val="0"/>
      <w:marTop w:val="0"/>
      <w:marBottom w:val="0"/>
      <w:divBdr>
        <w:top w:val="none" w:sz="0" w:space="0" w:color="auto"/>
        <w:left w:val="none" w:sz="0" w:space="0" w:color="auto"/>
        <w:bottom w:val="none" w:sz="0" w:space="0" w:color="auto"/>
        <w:right w:val="none" w:sz="0" w:space="0" w:color="auto"/>
      </w:divBdr>
    </w:div>
    <w:div w:id="1546060783">
      <w:bodyDiv w:val="1"/>
      <w:marLeft w:val="0"/>
      <w:marRight w:val="0"/>
      <w:marTop w:val="0"/>
      <w:marBottom w:val="0"/>
      <w:divBdr>
        <w:top w:val="none" w:sz="0" w:space="0" w:color="auto"/>
        <w:left w:val="none" w:sz="0" w:space="0" w:color="auto"/>
        <w:bottom w:val="none" w:sz="0" w:space="0" w:color="auto"/>
        <w:right w:val="none" w:sz="0" w:space="0" w:color="auto"/>
      </w:divBdr>
    </w:div>
    <w:div w:id="1585381493">
      <w:bodyDiv w:val="1"/>
      <w:marLeft w:val="0"/>
      <w:marRight w:val="0"/>
      <w:marTop w:val="0"/>
      <w:marBottom w:val="0"/>
      <w:divBdr>
        <w:top w:val="none" w:sz="0" w:space="0" w:color="auto"/>
        <w:left w:val="none" w:sz="0" w:space="0" w:color="auto"/>
        <w:bottom w:val="none" w:sz="0" w:space="0" w:color="auto"/>
        <w:right w:val="none" w:sz="0" w:space="0" w:color="auto"/>
      </w:divBdr>
    </w:div>
    <w:div w:id="1643585272">
      <w:bodyDiv w:val="1"/>
      <w:marLeft w:val="0"/>
      <w:marRight w:val="0"/>
      <w:marTop w:val="0"/>
      <w:marBottom w:val="0"/>
      <w:divBdr>
        <w:top w:val="none" w:sz="0" w:space="0" w:color="auto"/>
        <w:left w:val="none" w:sz="0" w:space="0" w:color="auto"/>
        <w:bottom w:val="none" w:sz="0" w:space="0" w:color="auto"/>
        <w:right w:val="none" w:sz="0" w:space="0" w:color="auto"/>
      </w:divBdr>
    </w:div>
    <w:div w:id="1682276097">
      <w:bodyDiv w:val="1"/>
      <w:marLeft w:val="0"/>
      <w:marRight w:val="0"/>
      <w:marTop w:val="0"/>
      <w:marBottom w:val="0"/>
      <w:divBdr>
        <w:top w:val="none" w:sz="0" w:space="0" w:color="auto"/>
        <w:left w:val="none" w:sz="0" w:space="0" w:color="auto"/>
        <w:bottom w:val="none" w:sz="0" w:space="0" w:color="auto"/>
        <w:right w:val="none" w:sz="0" w:space="0" w:color="auto"/>
      </w:divBdr>
    </w:div>
    <w:div w:id="1701786055">
      <w:bodyDiv w:val="1"/>
      <w:marLeft w:val="0"/>
      <w:marRight w:val="0"/>
      <w:marTop w:val="0"/>
      <w:marBottom w:val="0"/>
      <w:divBdr>
        <w:top w:val="none" w:sz="0" w:space="0" w:color="auto"/>
        <w:left w:val="none" w:sz="0" w:space="0" w:color="auto"/>
        <w:bottom w:val="none" w:sz="0" w:space="0" w:color="auto"/>
        <w:right w:val="none" w:sz="0" w:space="0" w:color="auto"/>
      </w:divBdr>
    </w:div>
    <w:div w:id="1704355412">
      <w:bodyDiv w:val="1"/>
      <w:marLeft w:val="0"/>
      <w:marRight w:val="0"/>
      <w:marTop w:val="0"/>
      <w:marBottom w:val="0"/>
      <w:divBdr>
        <w:top w:val="none" w:sz="0" w:space="0" w:color="auto"/>
        <w:left w:val="none" w:sz="0" w:space="0" w:color="auto"/>
        <w:bottom w:val="none" w:sz="0" w:space="0" w:color="auto"/>
        <w:right w:val="none" w:sz="0" w:space="0" w:color="auto"/>
      </w:divBdr>
      <w:divsChild>
        <w:div w:id="857811827">
          <w:marLeft w:val="0"/>
          <w:marRight w:val="0"/>
          <w:marTop w:val="0"/>
          <w:marBottom w:val="0"/>
          <w:divBdr>
            <w:top w:val="single" w:sz="2" w:space="0" w:color="D9D9E3"/>
            <w:left w:val="single" w:sz="2" w:space="0" w:color="D9D9E3"/>
            <w:bottom w:val="single" w:sz="2" w:space="0" w:color="D9D9E3"/>
            <w:right w:val="single" w:sz="2" w:space="0" w:color="D9D9E3"/>
          </w:divBdr>
          <w:divsChild>
            <w:div w:id="1436554383">
              <w:marLeft w:val="0"/>
              <w:marRight w:val="0"/>
              <w:marTop w:val="0"/>
              <w:marBottom w:val="0"/>
              <w:divBdr>
                <w:top w:val="single" w:sz="2" w:space="0" w:color="D9D9E3"/>
                <w:left w:val="single" w:sz="2" w:space="0" w:color="D9D9E3"/>
                <w:bottom w:val="single" w:sz="2" w:space="0" w:color="D9D9E3"/>
                <w:right w:val="single" w:sz="2" w:space="0" w:color="D9D9E3"/>
              </w:divBdr>
            </w:div>
            <w:div w:id="1567959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1348539">
      <w:bodyDiv w:val="1"/>
      <w:marLeft w:val="0"/>
      <w:marRight w:val="0"/>
      <w:marTop w:val="0"/>
      <w:marBottom w:val="0"/>
      <w:divBdr>
        <w:top w:val="none" w:sz="0" w:space="0" w:color="auto"/>
        <w:left w:val="none" w:sz="0" w:space="0" w:color="auto"/>
        <w:bottom w:val="none" w:sz="0" w:space="0" w:color="auto"/>
        <w:right w:val="none" w:sz="0" w:space="0" w:color="auto"/>
      </w:divBdr>
    </w:div>
    <w:div w:id="1759399365">
      <w:bodyDiv w:val="1"/>
      <w:marLeft w:val="0"/>
      <w:marRight w:val="0"/>
      <w:marTop w:val="0"/>
      <w:marBottom w:val="0"/>
      <w:divBdr>
        <w:top w:val="none" w:sz="0" w:space="0" w:color="auto"/>
        <w:left w:val="none" w:sz="0" w:space="0" w:color="auto"/>
        <w:bottom w:val="none" w:sz="0" w:space="0" w:color="auto"/>
        <w:right w:val="none" w:sz="0" w:space="0" w:color="auto"/>
      </w:divBdr>
    </w:div>
    <w:div w:id="1804232986">
      <w:bodyDiv w:val="1"/>
      <w:marLeft w:val="0"/>
      <w:marRight w:val="0"/>
      <w:marTop w:val="0"/>
      <w:marBottom w:val="0"/>
      <w:divBdr>
        <w:top w:val="none" w:sz="0" w:space="0" w:color="auto"/>
        <w:left w:val="none" w:sz="0" w:space="0" w:color="auto"/>
        <w:bottom w:val="none" w:sz="0" w:space="0" w:color="auto"/>
        <w:right w:val="none" w:sz="0" w:space="0" w:color="auto"/>
      </w:divBdr>
    </w:div>
    <w:div w:id="1829901004">
      <w:bodyDiv w:val="1"/>
      <w:marLeft w:val="0"/>
      <w:marRight w:val="0"/>
      <w:marTop w:val="0"/>
      <w:marBottom w:val="0"/>
      <w:divBdr>
        <w:top w:val="none" w:sz="0" w:space="0" w:color="auto"/>
        <w:left w:val="none" w:sz="0" w:space="0" w:color="auto"/>
        <w:bottom w:val="none" w:sz="0" w:space="0" w:color="auto"/>
        <w:right w:val="none" w:sz="0" w:space="0" w:color="auto"/>
      </w:divBdr>
    </w:div>
    <w:div w:id="1901792234">
      <w:bodyDiv w:val="1"/>
      <w:marLeft w:val="0"/>
      <w:marRight w:val="0"/>
      <w:marTop w:val="0"/>
      <w:marBottom w:val="0"/>
      <w:divBdr>
        <w:top w:val="none" w:sz="0" w:space="0" w:color="auto"/>
        <w:left w:val="none" w:sz="0" w:space="0" w:color="auto"/>
        <w:bottom w:val="none" w:sz="0" w:space="0" w:color="auto"/>
        <w:right w:val="none" w:sz="0" w:space="0" w:color="auto"/>
      </w:divBdr>
    </w:div>
    <w:div w:id="1909881323">
      <w:bodyDiv w:val="1"/>
      <w:marLeft w:val="0"/>
      <w:marRight w:val="0"/>
      <w:marTop w:val="0"/>
      <w:marBottom w:val="0"/>
      <w:divBdr>
        <w:top w:val="none" w:sz="0" w:space="0" w:color="auto"/>
        <w:left w:val="none" w:sz="0" w:space="0" w:color="auto"/>
        <w:bottom w:val="none" w:sz="0" w:space="0" w:color="auto"/>
        <w:right w:val="none" w:sz="0" w:space="0" w:color="auto"/>
      </w:divBdr>
    </w:div>
    <w:div w:id="1917861428">
      <w:bodyDiv w:val="1"/>
      <w:marLeft w:val="0"/>
      <w:marRight w:val="0"/>
      <w:marTop w:val="0"/>
      <w:marBottom w:val="0"/>
      <w:divBdr>
        <w:top w:val="none" w:sz="0" w:space="0" w:color="auto"/>
        <w:left w:val="none" w:sz="0" w:space="0" w:color="auto"/>
        <w:bottom w:val="none" w:sz="0" w:space="0" w:color="auto"/>
        <w:right w:val="none" w:sz="0" w:space="0" w:color="auto"/>
      </w:divBdr>
    </w:div>
    <w:div w:id="1936859557">
      <w:bodyDiv w:val="1"/>
      <w:marLeft w:val="0"/>
      <w:marRight w:val="0"/>
      <w:marTop w:val="0"/>
      <w:marBottom w:val="0"/>
      <w:divBdr>
        <w:top w:val="none" w:sz="0" w:space="0" w:color="auto"/>
        <w:left w:val="none" w:sz="0" w:space="0" w:color="auto"/>
        <w:bottom w:val="none" w:sz="0" w:space="0" w:color="auto"/>
        <w:right w:val="none" w:sz="0" w:space="0" w:color="auto"/>
      </w:divBdr>
    </w:div>
    <w:div w:id="1954704710">
      <w:bodyDiv w:val="1"/>
      <w:marLeft w:val="0"/>
      <w:marRight w:val="0"/>
      <w:marTop w:val="0"/>
      <w:marBottom w:val="0"/>
      <w:divBdr>
        <w:top w:val="none" w:sz="0" w:space="0" w:color="auto"/>
        <w:left w:val="none" w:sz="0" w:space="0" w:color="auto"/>
        <w:bottom w:val="none" w:sz="0" w:space="0" w:color="auto"/>
        <w:right w:val="none" w:sz="0" w:space="0" w:color="auto"/>
      </w:divBdr>
    </w:div>
    <w:div w:id="2125298025">
      <w:bodyDiv w:val="1"/>
      <w:marLeft w:val="0"/>
      <w:marRight w:val="0"/>
      <w:marTop w:val="0"/>
      <w:marBottom w:val="0"/>
      <w:divBdr>
        <w:top w:val="none" w:sz="0" w:space="0" w:color="auto"/>
        <w:left w:val="none" w:sz="0" w:space="0" w:color="auto"/>
        <w:bottom w:val="none" w:sz="0" w:space="0" w:color="auto"/>
        <w:right w:val="none" w:sz="0" w:space="0" w:color="auto"/>
      </w:divBdr>
    </w:div>
    <w:div w:id="2137019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image" Target="media/image1.tmp"/></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doughnutChart>
        <c:varyColors val="1"/>
        <c:ser>
          <c:idx val="0"/>
          <c:order val="0"/>
          <c:tx>
            <c:strRef>
              <c:f>Sheet1!$C$1</c:f>
              <c:strCache>
                <c:ptCount val="1"/>
                <c:pt idx="0">
                  <c:v>NUMBER OF HOTELS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145-4E56-BDB8-2F3FF3C4D92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145-4E56-BDB8-2F3FF3C4D92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145-4E56-BDB8-2F3FF3C4D92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145-4E56-BDB8-2F3FF3C4D92E}"/>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145-4E56-BDB8-2F3FF3C4D92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Sheet1!$B$2:$B$6</c:f>
              <c:strCache>
                <c:ptCount val="5"/>
                <c:pt idx="0">
                  <c:v>South Europe</c:v>
                </c:pt>
                <c:pt idx="1">
                  <c:v>North Europe</c:v>
                </c:pt>
                <c:pt idx="2">
                  <c:v>IMEAT</c:v>
                </c:pt>
                <c:pt idx="3">
                  <c:v>SPAC</c:v>
                </c:pt>
                <c:pt idx="4">
                  <c:v>Americas</c:v>
                </c:pt>
              </c:strCache>
            </c:strRef>
          </c:cat>
          <c:val>
            <c:numRef>
              <c:f>Sheet1!$C$2:$C$6</c:f>
              <c:numCache>
                <c:formatCode>General</c:formatCode>
                <c:ptCount val="5"/>
                <c:pt idx="0">
                  <c:v>453</c:v>
                </c:pt>
                <c:pt idx="1">
                  <c:v>283</c:v>
                </c:pt>
                <c:pt idx="2">
                  <c:v>80</c:v>
                </c:pt>
                <c:pt idx="3">
                  <c:v>263</c:v>
                </c:pt>
                <c:pt idx="4">
                  <c:v>180</c:v>
                </c:pt>
              </c:numCache>
            </c:numRef>
          </c:val>
          <c:extLst>
            <c:ext xmlns:c16="http://schemas.microsoft.com/office/drawing/2014/chart" uri="{C3380CC4-5D6E-409C-BE32-E72D297353CC}">
              <c16:uniqueId val="{0000000A-7145-4E56-BDB8-2F3FF3C4D92E}"/>
            </c:ext>
          </c:extLst>
        </c:ser>
        <c:dLbls>
          <c:showLegendKey val="0"/>
          <c:showVal val="0"/>
          <c:showCatName val="0"/>
          <c:showSerName val="0"/>
          <c:showPercent val="1"/>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A1C4A5-4E38-4A33-BD6A-E55C50E54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2655</Words>
  <Characters>14975</Characters>
  <Application>Microsoft Office Word</Application>
  <DocSecurity>0</DocSecurity>
  <Lines>325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17547</CharactersWithSpaces>
  <SharedDoc>false</SharedDoc>
  <HLinks>
    <vt:vector size="6" baseType="variant">
      <vt:variant>
        <vt:i4>6750243</vt:i4>
      </vt:variant>
      <vt:variant>
        <vt:i4>0</vt:i4>
      </vt:variant>
      <vt:variant>
        <vt:i4>0</vt:i4>
      </vt:variant>
      <vt:variant>
        <vt:i4>5</vt:i4>
      </vt:variant>
      <vt:variant>
        <vt:lpwstr>https://www.corinthiagroup.com/wp-content/uploads/2022/05/Corinthia-Annual-Report-2021.pdf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dc:creator>
  <cp:keywords/>
  <cp:lastModifiedBy>andreea mirica</cp:lastModifiedBy>
  <cp:revision>2</cp:revision>
  <cp:lastPrinted>1900-01-01T00:00:00Z</cp:lastPrinted>
  <dcterms:created xsi:type="dcterms:W3CDTF">2024-02-02T12:46:00Z</dcterms:created>
  <dcterms:modified xsi:type="dcterms:W3CDTF">2024-02-02T12:46:00Z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4ce4d995146e3f1c93db1a13e436dba6cbdd04d476eb3577d508c138a31f858e</vt:lpwstr>
  </property>
</Properties>
</file>