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E57616">
      <w:pPr>
        <w:spacing w:before="2400" w:after="120" w:line="276" w:lineRule="auto"/>
        <w:jc w:val="cente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Marketing Report</w:t>
      </w:r>
    </w:p>
    <w:p w14:paraId="4EE16A84">
      <w:pPr>
        <w:spacing w:after="120" w:line="276" w:lineRule="auto"/>
        <w:jc w:val="cente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McDonald’s UK</w:t>
      </w:r>
    </w:p>
    <w:p w14:paraId="3CA63E77">
      <w:pPr>
        <w:spacing w:after="120" w:line="276" w:lineRule="auto"/>
        <w:jc w:val="cente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Module: BMBM6016 Strategic Marketing</w:t>
      </w:r>
    </w:p>
    <w:p w14:paraId="1BE6E43A">
      <w:pPr>
        <w:spacing w:after="120" w:line="276" w:lineRule="auto"/>
        <w:jc w:val="cente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Assessment Type: Report</w:t>
      </w:r>
    </w:p>
    <w:p w14:paraId="33EAE2B6">
      <w:pPr>
        <w:spacing w:after="120" w:line="276" w:lineRule="auto"/>
        <w:jc w:val="center"/>
        <w:rPr>
          <w:rFonts w:hint="default" w:ascii="Times New Roman Regular" w:hAnsi="Times New Roman Regular" w:cs="Times New Roman Regular"/>
          <w:color w:val="auto"/>
          <w:sz w:val="28"/>
          <w:szCs w:val="28"/>
          <w:lang w:val="en-US"/>
        </w:rPr>
      </w:pPr>
      <w:r>
        <w:rPr>
          <w:rFonts w:hint="default" w:ascii="Times New Roman Regular" w:hAnsi="Times New Roman Regular" w:cs="Times New Roman Regular"/>
          <w:color w:val="auto"/>
          <w:sz w:val="28"/>
          <w:szCs w:val="28"/>
        </w:rPr>
        <w:t xml:space="preserve">Student Name: </w:t>
      </w:r>
      <w:r>
        <w:rPr>
          <w:rFonts w:hint="default" w:ascii="Times New Roman Regular" w:hAnsi="Times New Roman Regular" w:cs="Times New Roman Regular"/>
          <w:color w:val="auto"/>
          <w:sz w:val="28"/>
          <w:szCs w:val="28"/>
          <w:lang w:val="en-US"/>
        </w:rPr>
        <w:t>haokun tian</w:t>
      </w:r>
    </w:p>
    <w:p w14:paraId="54EFE68C">
      <w:pPr>
        <w:spacing w:after="120" w:line="276" w:lineRule="auto"/>
        <w:jc w:val="center"/>
        <w:rPr>
          <w:rFonts w:hint="default" w:ascii="Times New Roman Regular" w:hAnsi="Times New Roman Regular" w:cs="Times New Roman Regular"/>
          <w:color w:val="auto"/>
          <w:sz w:val="28"/>
          <w:szCs w:val="28"/>
          <w:lang w:val="en-US"/>
        </w:rPr>
      </w:pPr>
      <w:r>
        <w:rPr>
          <w:rFonts w:hint="default" w:ascii="Times New Roman Regular" w:hAnsi="Times New Roman Regular" w:cs="Times New Roman Regular"/>
          <w:color w:val="auto"/>
          <w:sz w:val="28"/>
          <w:szCs w:val="28"/>
        </w:rPr>
        <w:t xml:space="preserve">Student ID: </w:t>
      </w:r>
      <w:r>
        <w:rPr>
          <w:rFonts w:hint="default" w:ascii="Times New Roman Regular" w:hAnsi="Times New Roman Regular" w:cs="Times New Roman Regular"/>
          <w:color w:val="auto"/>
          <w:sz w:val="28"/>
          <w:szCs w:val="28"/>
          <w:lang w:val="en-US"/>
        </w:rPr>
        <w:t>2522030</w:t>
      </w:r>
    </w:p>
    <w:p w14:paraId="17D9817C">
      <w:pPr>
        <w:spacing w:after="120" w:line="276" w:lineRule="auto"/>
        <w:jc w:val="center"/>
        <w:rPr>
          <w:rFonts w:hint="default" w:ascii="Times New Roman Regular" w:hAnsi="Times New Roman Regular" w:cs="Times New Roman Regular"/>
          <w:color w:val="auto"/>
          <w:sz w:val="28"/>
          <w:szCs w:val="28"/>
          <w:lang w:val="en-US"/>
        </w:rPr>
      </w:pPr>
      <w:r>
        <w:rPr>
          <w:rFonts w:hint="default" w:ascii="Times New Roman Regular" w:hAnsi="Times New Roman Regular" w:cs="Times New Roman Regular"/>
          <w:color w:val="auto"/>
          <w:sz w:val="28"/>
          <w:szCs w:val="28"/>
        </w:rPr>
        <w:t xml:space="preserve">Submission Date: </w:t>
      </w:r>
      <w:r>
        <w:rPr>
          <w:rFonts w:hint="default" w:ascii="Times New Roman Regular" w:hAnsi="Times New Roman Regular" w:cs="Times New Roman Regular"/>
          <w:color w:val="auto"/>
          <w:sz w:val="28"/>
          <w:szCs w:val="28"/>
          <w:lang w:val="en-US"/>
        </w:rPr>
        <w:t>20 0</w:t>
      </w:r>
      <w:r>
        <w:rPr>
          <w:rFonts w:hint="default" w:ascii="Times New Roman Regular" w:hAnsi="Times New Roman Regular" w:eastAsia="宋体" w:cs="Times New Roman Regular"/>
          <w:color w:val="auto"/>
          <w:sz w:val="28"/>
          <w:szCs w:val="28"/>
          <w:lang w:val="en-US" w:eastAsia="zh-CN"/>
        </w:rPr>
        <w:t>3</w:t>
      </w:r>
      <w:r>
        <w:rPr>
          <w:rFonts w:hint="default" w:ascii="Times New Roman Regular" w:hAnsi="Times New Roman Regular" w:cs="Times New Roman Regular"/>
          <w:color w:val="auto"/>
          <w:sz w:val="28"/>
          <w:szCs w:val="28"/>
          <w:lang w:val="en-US"/>
        </w:rPr>
        <w:t xml:space="preserve"> 2026</w:t>
      </w:r>
    </w:p>
    <w:p w14:paraId="3ECD0C04">
      <w:pPr>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br w:type="page"/>
      </w:r>
      <w:bookmarkStart w:id="8" w:name="_GoBack"/>
      <w:bookmarkEnd w:id="8"/>
    </w:p>
    <w:sdt>
      <w:sdtPr>
        <w:rPr>
          <w:rFonts w:hint="default" w:ascii="Times New Roman Regular" w:hAnsi="Times New Roman Regular" w:eastAsia="宋体" w:cs="Times New Roman Regular"/>
          <w:sz w:val="28"/>
          <w:szCs w:val="28"/>
          <w:lang w:val="en-US" w:eastAsia="en-US" w:bidi="ar-SA"/>
        </w:rPr>
        <w:id w:val="713726868"/>
        <w15:color w:val="DBDBDB"/>
        <w:docPartObj>
          <w:docPartGallery w:val="Table of Contents"/>
          <w:docPartUnique/>
        </w:docPartObj>
      </w:sdtPr>
      <w:sdtEndPr>
        <w:rPr>
          <w:rFonts w:hint="default" w:ascii="Times New Roman Regular" w:hAnsi="Times New Roman Regular" w:cs="Times New Roman Regular" w:eastAsiaTheme="minorEastAsia"/>
          <w:color w:val="auto"/>
          <w:sz w:val="28"/>
          <w:szCs w:val="28"/>
          <w:lang w:val="en-US" w:eastAsia="en-US" w:bidi="ar-SA"/>
        </w:rPr>
      </w:sdtEndPr>
      <w:sdtContent>
        <w:p w14:paraId="5C43B472">
          <w:pPr>
            <w:spacing w:before="0" w:beforeLines="0" w:after="0" w:afterLines="0" w:line="240" w:lineRule="auto"/>
            <w:ind w:left="0" w:leftChars="0" w:right="0" w:rightChars="0" w:firstLine="0" w:firstLineChars="0"/>
            <w:jc w:val="center"/>
            <w:rPr>
              <w:rFonts w:hint="default" w:ascii="Times New Roman Regular" w:hAnsi="Times New Roman Regular" w:eastAsia="宋体" w:cs="Times New Roman Regular"/>
              <w:sz w:val="28"/>
              <w:szCs w:val="28"/>
              <w:lang w:eastAsia="zh"/>
              <w:woUserID w:val="1"/>
            </w:rPr>
          </w:pPr>
          <w:r>
            <w:rPr>
              <w:rFonts w:hint="default" w:ascii="Times New Roman Regular" w:hAnsi="Times New Roman Regular" w:eastAsia="宋体" w:cs="Times New Roman Regular"/>
              <w:sz w:val="28"/>
              <w:szCs w:val="28"/>
              <w:lang w:val="en-US" w:eastAsia="zh" w:bidi="ar-SA"/>
              <w:woUserID w:val="1"/>
            </w:rPr>
            <w:t>contents</w:t>
          </w:r>
        </w:p>
        <w:p w14:paraId="4297704E">
          <w:pPr>
            <w:pStyle w:val="26"/>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color w:val="auto"/>
              <w:sz w:val="28"/>
              <w:szCs w:val="28"/>
            </w:rPr>
            <w:instrText xml:space="preserve">TOC \o "1-9" \h \u </w:instrText>
          </w:r>
          <w:r>
            <w:rPr>
              <w:rFonts w:hint="default" w:ascii="Times New Roman Regular" w:hAnsi="Times New Roman Regular" w:cs="Times New Roman Regular"/>
              <w:color w:val="auto"/>
              <w:sz w:val="28"/>
              <w:szCs w:val="28"/>
            </w:rPr>
            <w:fldChar w:fldCharType="separate"/>
          </w: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_Toc1156649495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Contents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_Toc1156649495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2</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6F9A345C">
          <w:pPr>
            <w:pStyle w:val="26"/>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_Toc1778601675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Acknowledgement</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_Toc1778601675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3</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48A2E233">
          <w:pPr>
            <w:pStyle w:val="26"/>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_Toc1276013152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Abstract</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_Toc1276013152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3</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2FDE3128">
          <w:pPr>
            <w:pStyle w:val="26"/>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_Toc861768763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Introduction</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_Toc861768763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3</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799C5F28">
          <w:pPr>
            <w:pStyle w:val="26"/>
            <w:tabs>
              <w:tab w:val="right" w:leader="dot" w:pos="9298"/>
            </w:tabs>
            <w:spacing w:after="0" w:line="240" w:lineRule="auto"/>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lang w:eastAsia="zh"/>
              <w:woUserID w:val="1"/>
            </w:rPr>
            <w:t>Situation Analysis</w:t>
          </w: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_Toc1799126189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_Toc1799126189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4</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17F681E7">
          <w:pPr>
            <w:pStyle w:val="29"/>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_Toc1872517679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lang w:eastAsia="zh"/>
              <w:woUserID w:val="1"/>
            </w:rPr>
            <w:t>2.</w:t>
          </w:r>
          <w:r>
            <w:rPr>
              <w:rFonts w:hint="default" w:ascii="Times New Roman Regular" w:hAnsi="Times New Roman Regular" w:cs="Times New Roman Regular"/>
              <w:sz w:val="28"/>
              <w:szCs w:val="28"/>
            </w:rPr>
            <w:t>1 PESTEL Analysis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_Toc1872517679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4</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523F90D4">
          <w:pPr>
            <w:pStyle w:val="29"/>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_Toc1332586769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lang w:eastAsia="zh"/>
              <w:woUserID w:val="1"/>
            </w:rPr>
            <w:t>2</w:t>
          </w:r>
          <w:r>
            <w:rPr>
              <w:rFonts w:hint="default" w:ascii="Times New Roman Regular" w:hAnsi="Times New Roman Regular" w:cs="Times New Roman Regular"/>
              <w:sz w:val="28"/>
              <w:szCs w:val="28"/>
            </w:rPr>
            <w:t>.2 Porter’s Five Forces Analysis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_Toc1332586769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5</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607C4F2C">
          <w:pPr>
            <w:pStyle w:val="29"/>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_Toc653365908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lang w:eastAsia="zh"/>
              <w:woUserID w:val="1"/>
            </w:rPr>
            <w:t>2</w:t>
          </w:r>
          <w:r>
            <w:rPr>
              <w:rFonts w:hint="default" w:ascii="Times New Roman Regular" w:hAnsi="Times New Roman Regular" w:cs="Times New Roman Regular"/>
              <w:sz w:val="28"/>
              <w:szCs w:val="28"/>
            </w:rPr>
            <w:t>.3 VRIO Analysis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_Toc653365908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6</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11B22CC2">
          <w:pPr>
            <w:pStyle w:val="29"/>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_Toc539065873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lang w:eastAsia="zh"/>
              <w:woUserID w:val="1"/>
            </w:rPr>
            <w:t>2.</w:t>
          </w:r>
          <w:r>
            <w:rPr>
              <w:rFonts w:hint="default" w:ascii="Times New Roman Regular" w:hAnsi="Times New Roman Regular" w:cs="Times New Roman Regular"/>
              <w:sz w:val="28"/>
              <w:szCs w:val="28"/>
            </w:rPr>
            <w:t>4 SWOT Analysis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_Toc539065873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7</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4546A780">
          <w:pPr>
            <w:pStyle w:val="26"/>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_Toc329441146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Conclusions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_Toc329441146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8</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10306466">
          <w:pPr>
            <w:pStyle w:val="26"/>
            <w:tabs>
              <w:tab w:val="right" w:leader="dot" w:pos="9298"/>
            </w:tabs>
            <w:rPr>
              <w:rFonts w:hint="default" w:ascii="Times New Roman Regular" w:hAnsi="Times New Roman Regular" w:cs="Times New Roman Regular"/>
              <w:sz w:val="28"/>
              <w:szCs w:val="28"/>
            </w:rPr>
          </w:pPr>
          <w:r>
            <w:rPr>
              <w:rFonts w:hint="default" w:ascii="Times New Roman Regular" w:hAnsi="Times New Roman Regular" w:cs="Times New Roman Regular"/>
              <w:color w:val="auto"/>
              <w:sz w:val="28"/>
              <w:szCs w:val="28"/>
            </w:rPr>
            <w:fldChar w:fldCharType="begin"/>
          </w:r>
          <w:r>
            <w:rPr>
              <w:rFonts w:hint="default" w:ascii="Times New Roman Regular" w:hAnsi="Times New Roman Regular" w:cs="Times New Roman Regular"/>
              <w:sz w:val="28"/>
              <w:szCs w:val="28"/>
            </w:rPr>
            <w:instrText xml:space="preserve"> HYPERLINK \l _Toc823515759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References</w:t>
          </w:r>
          <w:r>
            <w:rPr>
              <w:rFonts w:hint="default" w:ascii="Times New Roman Regular" w:hAnsi="Times New Roman Regular" w:cs="Times New Roman Regular"/>
              <w:sz w:val="28"/>
              <w:szCs w:val="28"/>
            </w:rPr>
            <w:tab/>
          </w:r>
          <w:r>
            <w:rPr>
              <w:rFonts w:hint="default" w:ascii="Times New Roman Regular" w:hAnsi="Times New Roman Regular" w:cs="Times New Roman Regular"/>
              <w:sz w:val="28"/>
              <w:szCs w:val="28"/>
            </w:rPr>
            <w:fldChar w:fldCharType="begin"/>
          </w:r>
          <w:r>
            <w:rPr>
              <w:rFonts w:hint="default" w:ascii="Times New Roman Regular" w:hAnsi="Times New Roman Regular" w:cs="Times New Roman Regular"/>
              <w:sz w:val="28"/>
              <w:szCs w:val="28"/>
            </w:rPr>
            <w:instrText xml:space="preserve"> PAGEREF _Toc823515759 \h </w:instrText>
          </w:r>
          <w:r>
            <w:rPr>
              <w:rFonts w:hint="default" w:ascii="Times New Roman Regular" w:hAnsi="Times New Roman Regular" w:cs="Times New Roman Regular"/>
              <w:sz w:val="28"/>
              <w:szCs w:val="28"/>
            </w:rPr>
            <w:fldChar w:fldCharType="separate"/>
          </w:r>
          <w:r>
            <w:rPr>
              <w:rFonts w:hint="default" w:ascii="Times New Roman Regular" w:hAnsi="Times New Roman Regular" w:cs="Times New Roman Regular"/>
              <w:sz w:val="28"/>
              <w:szCs w:val="28"/>
            </w:rPr>
            <w:t>9</w:t>
          </w:r>
          <w:r>
            <w:rPr>
              <w:rFonts w:hint="default" w:ascii="Times New Roman Regular" w:hAnsi="Times New Roman Regular" w:cs="Times New Roman Regular"/>
              <w:sz w:val="28"/>
              <w:szCs w:val="28"/>
            </w:rPr>
            <w:fldChar w:fldCharType="end"/>
          </w:r>
          <w:r>
            <w:rPr>
              <w:rFonts w:hint="default" w:ascii="Times New Roman Regular" w:hAnsi="Times New Roman Regular" w:cs="Times New Roman Regular"/>
              <w:color w:val="auto"/>
              <w:sz w:val="28"/>
              <w:szCs w:val="28"/>
            </w:rPr>
            <w:fldChar w:fldCharType="end"/>
          </w:r>
        </w:p>
        <w:p w14:paraId="22CF4591">
          <w:pPr>
            <w:spacing w:after="120" w:line="276" w:lineRule="auto"/>
            <w:rPr>
              <w:rFonts w:hint="default" w:ascii="Times New Roman Regular" w:hAnsi="Times New Roman Regular" w:cs="Times New Roman Regular" w:eastAsiaTheme="minorEastAsia"/>
              <w:color w:val="auto"/>
              <w:sz w:val="28"/>
              <w:szCs w:val="28"/>
              <w:lang w:val="en-US" w:eastAsia="en-US" w:bidi="ar-SA"/>
            </w:rPr>
          </w:pPr>
          <w:r>
            <w:rPr>
              <w:rFonts w:hint="default" w:ascii="Times New Roman Regular" w:hAnsi="Times New Roman Regular" w:cs="Times New Roman Regular"/>
              <w:color w:val="auto"/>
              <w:sz w:val="28"/>
              <w:szCs w:val="28"/>
            </w:rPr>
            <w:fldChar w:fldCharType="end"/>
          </w:r>
        </w:p>
      </w:sdtContent>
    </w:sdt>
    <w:p w14:paraId="59410213">
      <w:pPr>
        <w:spacing w:after="120" w:line="276" w:lineRule="auto"/>
        <w:rPr>
          <w:rFonts w:hint="default" w:ascii="Times New Roman Regular" w:hAnsi="Times New Roman Regular" w:cs="Times New Roman Regular" w:eastAsiaTheme="minorEastAsia"/>
          <w:color w:val="auto"/>
          <w:sz w:val="28"/>
          <w:szCs w:val="28"/>
          <w:lang w:val="en-US" w:eastAsia="en-US" w:bidi="ar-SA"/>
        </w:rPr>
      </w:pPr>
    </w:p>
    <w:p w14:paraId="0DED329F">
      <w:pPr>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br w:type="page"/>
      </w:r>
    </w:p>
    <w:p w14:paraId="016ED61B">
      <w:pPr>
        <w:pStyle w:val="3"/>
        <w:rPr>
          <w:rFonts w:hint="default" w:ascii="Times New Roman Regular" w:hAnsi="Times New Roman Regular" w:cs="Times New Roman Regular"/>
          <w:color w:val="auto"/>
          <w:sz w:val="28"/>
          <w:szCs w:val="28"/>
        </w:rPr>
      </w:pPr>
      <w:bookmarkStart w:id="0" w:name="_Toc1778601675"/>
      <w:r>
        <w:rPr>
          <w:rFonts w:hint="default" w:ascii="Times New Roman Regular" w:hAnsi="Times New Roman Regular" w:cs="Times New Roman Regular"/>
          <w:color w:val="auto"/>
          <w:sz w:val="28"/>
          <w:szCs w:val="28"/>
        </w:rPr>
        <w:t>Acknowledgement</w:t>
      </w:r>
      <w:bookmarkEnd w:id="0"/>
    </w:p>
    <w:p w14:paraId="2FBFAB6B">
      <w:pPr>
        <w:pStyle w:val="19"/>
        <w:spacing w:after="120" w:line="276" w:lineRule="auto"/>
        <w:rPr>
          <w:rFonts w:hint="default" w:ascii="Times New Roman Regular" w:hAnsi="Times New Roman Regular" w:eastAsia="宋体" w:cs="Times New Roman Regular"/>
          <w:color w:val="auto"/>
          <w:sz w:val="28"/>
          <w:szCs w:val="28"/>
          <w:lang w:val="en-US" w:eastAsia="zh-CN"/>
        </w:rPr>
      </w:pPr>
      <w:r>
        <w:rPr>
          <w:rFonts w:hint="default" w:ascii="Times New Roman Regular" w:hAnsi="Times New Roman Regular" w:cs="Times New Roman Regular"/>
          <w:color w:val="auto"/>
          <w:sz w:val="28"/>
          <w:szCs w:val="28"/>
        </w:rPr>
        <w:t xml:space="preserve">I would like to </w:t>
      </w:r>
      <w:r>
        <w:rPr>
          <w:rFonts w:hint="default" w:ascii="Times New Roman Regular" w:hAnsi="Times New Roman Regular" w:eastAsia="宋体" w:cs="Times New Roman Regular"/>
          <w:color w:val="auto"/>
          <w:sz w:val="28"/>
          <w:szCs w:val="28"/>
          <w:lang w:val="en-US" w:eastAsia="zh-CN"/>
        </w:rPr>
        <w:t>thank to my teacher, the moodle materials, and the date information from various websites, I was able to finish this report.</w:t>
      </w:r>
    </w:p>
    <w:p w14:paraId="6527F840">
      <w:pPr>
        <w:pStyle w:val="3"/>
        <w:rPr>
          <w:rFonts w:hint="default" w:ascii="Times New Roman Regular" w:hAnsi="Times New Roman Regular" w:cs="Times New Roman Regular" w:eastAsiaTheme="majorEastAsia"/>
          <w:color w:val="auto"/>
          <w:sz w:val="28"/>
          <w:szCs w:val="28"/>
          <w:lang w:eastAsia="zh"/>
          <w:woUserID w:val="1"/>
        </w:rPr>
      </w:pPr>
      <w:r>
        <w:rPr>
          <w:rFonts w:hint="default" w:ascii="Times New Roman Regular" w:hAnsi="Times New Roman Regular" w:cs="Times New Roman Regular"/>
          <w:color w:val="auto"/>
          <w:sz w:val="28"/>
          <w:szCs w:val="28"/>
          <w:lang w:eastAsia="zh"/>
          <w:woUserID w:val="1"/>
        </w:rPr>
        <w:t>Executive Summary</w:t>
      </w:r>
    </w:p>
    <w:p w14:paraId="49036DEF">
      <w:pPr>
        <w:rPr>
          <w:rFonts w:hint="default" w:ascii="Times New Roman Regular" w:hAnsi="Times New Roman Regular" w:cs="Times New Roman Regular"/>
          <w:color w:val="auto"/>
          <w:sz w:val="28"/>
          <w:szCs w:val="28"/>
          <w:lang w:val="en-US"/>
        </w:rPr>
      </w:pPr>
      <w:r>
        <w:rPr>
          <w:rFonts w:hint="default" w:ascii="Times New Roman Regular" w:hAnsi="Times New Roman Regular" w:eastAsia="宋体" w:cs="Times New Roman Regular"/>
          <w:color w:val="auto"/>
          <w:sz w:val="28"/>
          <w:szCs w:val="28"/>
          <w:lang w:val="en-US" w:eastAsia="zh-CN"/>
        </w:rPr>
        <w:t>The report will use four models for analysis: PESTEL Porter’s Five Forces, VRIO and SWOT.</w:t>
      </w:r>
      <w:r>
        <w:rPr>
          <w:rFonts w:hint="default" w:ascii="Times New Roman Regular" w:hAnsi="Times New Roman Regular" w:cs="Times New Roman Regular"/>
          <w:color w:val="auto"/>
          <w:sz w:val="28"/>
          <w:szCs w:val="28"/>
        </w:rPr>
        <w:t xml:space="preserve">This report analyzes the British McDonald's Corporation through these four models. The analysis results show that McDonald's still maintains a stable market share in the UK by virtue of its scale advantage, brand recognition, and business model. However, it is currently facing huge competitive pressure. </w:t>
      </w:r>
      <w:r>
        <w:rPr>
          <w:rFonts w:hint="default" w:ascii="Times New Roman Regular" w:hAnsi="Times New Roman Regular" w:cs="Times New Roman Regular"/>
          <w:color w:val="auto"/>
          <w:sz w:val="28"/>
          <w:szCs w:val="28"/>
          <w:lang w:val="en-US"/>
        </w:rPr>
        <w:t>T</w:t>
      </w:r>
      <w:r>
        <w:rPr>
          <w:rFonts w:hint="default" w:ascii="Times New Roman Regular" w:hAnsi="Times New Roman Regular" w:eastAsia="宋体" w:cs="Times New Roman Regular"/>
          <w:color w:val="auto"/>
          <w:sz w:val="28"/>
          <w:szCs w:val="28"/>
          <w:lang w:val="en-US" w:eastAsia="zh-CN"/>
        </w:rPr>
        <w:t xml:space="preserve">he </w:t>
      </w:r>
      <w:r>
        <w:rPr>
          <w:rFonts w:hint="default" w:ascii="Times New Roman Regular" w:hAnsi="Times New Roman Regular" w:eastAsia="宋体" w:cs="Times New Roman Regular"/>
          <w:color w:val="auto"/>
          <w:sz w:val="28"/>
          <w:szCs w:val="28"/>
          <w:lang w:val="en-US" w:eastAsia="zh-CN"/>
        </w:rPr>
        <w:t>UK fast food restaurants</w:t>
      </w:r>
      <w:r>
        <w:rPr>
          <w:rFonts w:hint="default" w:ascii="Times New Roman Regular" w:hAnsi="Times New Roman Regular" w:cs="Times New Roman Regular"/>
          <w:color w:val="auto"/>
          <w:sz w:val="28"/>
          <w:szCs w:val="28"/>
        </w:rPr>
        <w:t xml:space="preserve"> is confronted with multiple problems, such as legal restrictions, rising labor costs, increasing raw material prices, the emergence of various substitutes, and the participation of various online services, which have increased the competitive pressure on McDonald's. In recent years, McDonald's has still had mobile app ordering and a good customer loyalty, which has certain commercial value but is not scarce. Overall, McDonald's is still in a leading position at present, but whether it will remain leading in the future depends on whether it can win the choice of consumers</w:t>
      </w:r>
      <w:r>
        <w:rPr>
          <w:rFonts w:hint="default" w:ascii="Times New Roman Regular" w:hAnsi="Times New Roman Regular" w:cs="Times New Roman Regular"/>
          <w:color w:val="auto"/>
          <w:sz w:val="28"/>
          <w:szCs w:val="28"/>
          <w:lang w:val="en-US"/>
        </w:rPr>
        <w:t xml:space="preserve"> trust.</w:t>
      </w:r>
    </w:p>
    <w:p w14:paraId="65557D3E">
      <w:pPr>
        <w:pStyle w:val="3"/>
        <w:rPr>
          <w:rFonts w:hint="default" w:ascii="Times New Roman Regular" w:hAnsi="Times New Roman Regular" w:cs="Times New Roman Regular"/>
          <w:color w:val="auto"/>
          <w:sz w:val="28"/>
          <w:szCs w:val="28"/>
        </w:rPr>
      </w:pPr>
      <w:bookmarkStart w:id="1" w:name="_Toc861768763"/>
      <w:r>
        <w:rPr>
          <w:rFonts w:hint="default" w:ascii="Times New Roman Regular" w:hAnsi="Times New Roman Regular" w:cs="Times New Roman Regular"/>
          <w:color w:val="auto"/>
          <w:sz w:val="28"/>
          <w:szCs w:val="28"/>
        </w:rPr>
        <w:t>Introduction</w:t>
      </w:r>
      <w:bookmarkEnd w:id="1"/>
    </w:p>
    <w:p w14:paraId="081C4BAD">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As the head of the strategic marketing department of McDonald's UK, this report will analyze McDonald's UK. As a multinational fast food company, McDonald's enjoys extremely high popularity and market scale. According to the data of McDonald's UK and Ireland, there are currently over 1,450 restaurants in the UK and Ireland, serving approximately 40,000 customers daily, and employing over 177,000 people. These figures fully demonstrate McDonald's influence in the UK and Ireland.(McDonald’s UK &amp; Ireland, 2025).</w:t>
      </w:r>
    </w:p>
    <w:p w14:paraId="30C66D33">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This report will employ four models for analysis, namely PESTEL, Porter's Five Forces, VRIO, and SWOT. Firstly, PESTEL will be used to analyze the macro external environment. Secondly, Porter's Five Forces will be utilized to examine industry competition. Then, VRIO will be applied to assess the internal advantages of the enterprise. Finally, SWOT will be used to summarize.</w:t>
      </w:r>
    </w:p>
    <w:p w14:paraId="1AF71D75">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This report critically analyzes McDonald's in the UK from a two-sided perspective. The current market leadership does not guarantee a sustained and stable advantage, especially under the influence of policy and legal changes, rising raw material prices, and shifts in consumer preferences. At present, the core of McDonald's is not whether it remains a dominant competitor, but rather maintaining its lasting influence under the existing advantages. McDonald's 2025 report indicates that it has nearly 210 million active users in 70 markets, demonstrating its significant influence and consumer base in the fast food sector. However, whether it can maintain this in certain aspects depends on the execution plans of its competitors.(McDonald’s Corporation, 2026).</w:t>
      </w:r>
    </w:p>
    <w:p w14:paraId="3864C5E4">
      <w:pPr>
        <w:pStyle w:val="3"/>
        <w:rPr>
          <w:rFonts w:hint="default" w:ascii="Times New Roman Regular" w:hAnsi="Times New Roman Regular" w:cs="Times New Roman Regular"/>
          <w:color w:val="auto"/>
          <w:sz w:val="28"/>
          <w:szCs w:val="28"/>
        </w:rPr>
      </w:pPr>
    </w:p>
    <w:p w14:paraId="234F264A">
      <w:pPr>
        <w:pStyle w:val="3"/>
        <w:rPr>
          <w:rFonts w:hint="default" w:ascii="Times New Roman Regular" w:hAnsi="Times New Roman Regular" w:cs="Times New Roman Regular" w:eastAsiaTheme="majorEastAsia"/>
          <w:color w:val="auto"/>
          <w:sz w:val="28"/>
          <w:szCs w:val="28"/>
          <w:lang w:eastAsia="zh"/>
          <w:woUserID w:val="1"/>
        </w:rPr>
      </w:pPr>
      <w:r>
        <w:rPr>
          <w:rFonts w:hint="default" w:ascii="Times New Roman Regular" w:hAnsi="Times New Roman Regular" w:cs="Times New Roman Regular"/>
          <w:color w:val="auto"/>
          <w:sz w:val="28"/>
          <w:szCs w:val="28"/>
          <w:lang w:eastAsia="zh"/>
          <w:woUserID w:val="1"/>
        </w:rPr>
        <w:t>situation analysis</w:t>
      </w:r>
    </w:p>
    <w:p w14:paraId="0EE3B54D">
      <w:pPr>
        <w:pStyle w:val="4"/>
        <w:rPr>
          <w:rFonts w:hint="default" w:ascii="Times New Roman Regular" w:hAnsi="Times New Roman Regular" w:cs="Times New Roman Regular"/>
          <w:color w:val="auto"/>
          <w:sz w:val="28"/>
          <w:szCs w:val="28"/>
        </w:rPr>
      </w:pPr>
      <w:bookmarkStart w:id="2" w:name="_Toc1872517679"/>
      <w:r>
        <w:rPr>
          <w:rFonts w:hint="default" w:ascii="Times New Roman Regular" w:hAnsi="Times New Roman Regular" w:cs="Times New Roman Regular"/>
          <w:color w:val="auto"/>
          <w:sz w:val="28"/>
          <w:szCs w:val="28"/>
          <w:lang w:eastAsia="zh"/>
          <w:woUserID w:val="1"/>
        </w:rPr>
        <w:t>2.</w:t>
      </w:r>
      <w:r>
        <w:rPr>
          <w:rFonts w:hint="default" w:ascii="Times New Roman Regular" w:hAnsi="Times New Roman Regular" w:cs="Times New Roman Regular"/>
          <w:color w:val="auto"/>
          <w:sz w:val="28"/>
          <w:szCs w:val="28"/>
        </w:rPr>
        <w:t>1 PESTEL Analysis</w:t>
      </w:r>
      <w:bookmarkEnd w:id="2"/>
    </w:p>
    <w:p w14:paraId="752BD72B">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sz w:val="28"/>
          <w:szCs w:val="28"/>
        </w:rPr>
        <w:t>Political factors are important because the UK government is taking a more interventionist approach to food policy and public health. For McDonald’s, this creates continuing pressure around how the brand presents value, how indulgent products are framed, and how closely the business is associated with wider debates about obesity and diet quality.</w:t>
      </w:r>
    </w:p>
    <w:p w14:paraId="63396F52">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sz w:val="28"/>
          <w:szCs w:val="28"/>
        </w:rPr>
        <w:t>Economic conditions remain difficult rather than disastrous. In the three months ending January 2026, the UK economy showed modest growth, but food inflation stayed elevated and labour costs continued to increase. Official data show that food and non-alcoholic beverage prices rose by 4.5% in December 2025 compared with a year earlier, and the National Living Wage for workers aged 21 and above will rise to £12.71 in April 2026 (Office for National Statistics, UK, 2026a; Office for National Statistics, UK, 2026b; UK Government, 2025). This matters because McDonald’s benefits from demand for value, yet its own operating costs are also rising, which makes simple price discounting harder to sustain.</w:t>
      </w:r>
    </w:p>
    <w:p w14:paraId="08DD7C77">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sz w:val="28"/>
          <w:szCs w:val="28"/>
        </w:rPr>
        <w:t>Social factors remain highly relevant to McDonald’s because customer expectations in the UK fast-food market now go beyond food alone. Research shows that customer satisfaction is influenced not only by product quality, but also by tangible aspects of service and the reliability of the overall experience (Nguyen et al., 2018). At the same time, public concern about health and diet continues to shape how large fast-food brands are viewed.</w:t>
      </w:r>
    </w:p>
    <w:p w14:paraId="21D2B343">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sz w:val="28"/>
          <w:szCs w:val="28"/>
        </w:rPr>
        <w:t xml:space="preserve">Technological factors are closely tied to changes in customer behaviour. </w:t>
      </w:r>
      <w:r>
        <w:rPr>
          <w:rFonts w:hint="default" w:ascii="Times New Roman Regular" w:hAnsi="Times New Roman Regular" w:eastAsia="ＭＳ 明朝" w:cs="Times New Roman Regular"/>
          <w:sz w:val="28"/>
          <w:szCs w:val="28"/>
          <w:lang w:bidi="ar-SA"/>
        </w:rPr>
        <w:t>Recent studies indicate that in the realm of online food ordering and delivery, the quality of app services and customer expectations significantly impact customer satisfaction and the likelihood of repeat use.</w:t>
      </w:r>
      <w:r>
        <w:rPr>
          <w:rFonts w:hint="default" w:ascii="Times New Roman Regular" w:hAnsi="Times New Roman Regular" w:cs="Times New Roman Regular"/>
          <w:sz w:val="28"/>
          <w:szCs w:val="28"/>
        </w:rPr>
        <w:t xml:space="preserve"> (Bonfanti et al., 2023; Lin et al., 2024). This helps explain why McDonald’s continues to prioritise digital ordering, delivery and loyalty systems. However, these tools are no longer unique in the sector, so their value depends more on execution than on novelty.</w:t>
      </w:r>
    </w:p>
    <w:p w14:paraId="0013D684">
      <w:pPr>
        <w:pStyle w:val="19"/>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Environmental factors are also becoming more important. McDonald’s reported that by the end of 2024 it had reached 90.93% progress towards sourcing all primary guest packaging from renewable, recycled or certified materials (McDonald’s Corporation, 2025). This suggests visible progress, but it should be treated as part of an ongoing process rather than a finished achievement. Environmental performance now affects reputation, legitimacy and long-term operating costs at the same time.</w:t>
      </w:r>
    </w:p>
    <w:p w14:paraId="4DA62CA1">
      <w:pPr>
        <w:pStyle w:val="19"/>
        <w:spacing w:after="120" w:line="276" w:lineRule="auto"/>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Legal factors are especially significant because regulation now directly affects how large food businesses market and present their products. </w:t>
      </w:r>
      <w:r>
        <w:rPr>
          <w:rFonts w:hint="default" w:ascii="Times New Roman Regular" w:hAnsi="Times New Roman Regular" w:eastAsia="ＭＳ 明朝" w:cs="Times New Roman Regular"/>
          <w:sz w:val="28"/>
          <w:szCs w:val="28"/>
          <w:lang w:bidi="ar-SA"/>
        </w:rPr>
        <w:t>Since April 2022, large food businesses in England have been required to provide calorie labeling, and further restrictions on advertising less healthy food and drink products came into effect in January 2026.</w:t>
      </w:r>
      <w:r>
        <w:rPr>
          <w:rFonts w:hint="default" w:ascii="Times New Roman Regular" w:hAnsi="Times New Roman Regular" w:cs="Times New Roman Regular"/>
          <w:sz w:val="28"/>
          <w:szCs w:val="28"/>
        </w:rPr>
        <w:t xml:space="preserve"> (Department of Health and Social Care, UK, 2021; Department of Health and Social Care, UK, 2024). For McDonald’s, this is not only a compliance issue; it also shapes promotion, product emphasis and brand positioning in a stricter regulatory environment.</w:t>
      </w:r>
    </w:p>
    <w:p w14:paraId="095022C3">
      <w:pPr>
        <w:pStyle w:val="19"/>
        <w:spacing w:after="120" w:line="276" w:lineRule="auto"/>
        <w:rPr>
          <w:rFonts w:hint="default" w:ascii="Times New Roman Regular" w:hAnsi="Times New Roman Regular" w:cs="Times New Roman Regular"/>
          <w:b/>
          <w:color w:val="auto"/>
          <w:sz w:val="28"/>
          <w:szCs w:val="28"/>
        </w:rPr>
      </w:pPr>
    </w:p>
    <w:p w14:paraId="7C5FE568">
      <w:pPr>
        <w:pStyle w:val="19"/>
        <w:spacing w:after="120" w:line="276" w:lineRule="auto"/>
        <w:rPr>
          <w:rFonts w:hint="default" w:ascii="Times New Roman Regular" w:hAnsi="Times New Roman Regular" w:cs="Times New Roman Regular"/>
          <w:b/>
          <w:color w:val="auto"/>
          <w:sz w:val="28"/>
          <w:szCs w:val="28"/>
        </w:rPr>
      </w:pPr>
    </w:p>
    <w:p w14:paraId="2A988F98">
      <w:pPr>
        <w:pStyle w:val="19"/>
        <w:spacing w:after="120" w:line="276" w:lineRule="auto"/>
        <w:rPr>
          <w:rFonts w:hint="default" w:ascii="Times New Roman Regular" w:hAnsi="Times New Roman Regular" w:cs="Times New Roman Regular"/>
          <w:b/>
          <w:color w:val="auto"/>
          <w:sz w:val="28"/>
          <w:szCs w:val="28"/>
        </w:rPr>
      </w:pPr>
    </w:p>
    <w:p w14:paraId="5CF85A19">
      <w:pPr>
        <w:pStyle w:val="19"/>
        <w:spacing w:after="120" w:line="276" w:lineRule="auto"/>
        <w:rPr>
          <w:rFonts w:hint="default" w:ascii="Times New Roman Regular" w:hAnsi="Times New Roman Regular" w:cs="Times New Roman Regular"/>
          <w:b/>
          <w:color w:val="auto"/>
          <w:sz w:val="28"/>
          <w:szCs w:val="28"/>
        </w:rPr>
      </w:pPr>
    </w:p>
    <w:p w14:paraId="299FFA00">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Table 1. McDonald’s UK PESTEL Analysis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65"/>
        <w:gridCol w:w="5683"/>
        <w:gridCol w:w="1950"/>
      </w:tblGrid>
      <w:tr w14:paraId="267E742A">
        <w:trPr>
          <w:jc w:val="center"/>
        </w:trPr>
        <w:tc>
          <w:tcPr>
            <w:tcW w:w="1698" w:type="dxa"/>
            <w:shd w:val="clear" w:color="auto" w:fill="1F4E79"/>
            <w:tcMar>
              <w:top w:w="80" w:type="dxa"/>
              <w:left w:w="100" w:type="dxa"/>
              <w:bottom w:w="80" w:type="dxa"/>
              <w:right w:w="100" w:type="dxa"/>
            </w:tcMar>
            <w:vAlign w:val="center"/>
          </w:tcPr>
          <w:p w14:paraId="2315A476">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Factor</w:t>
            </w:r>
          </w:p>
        </w:tc>
        <w:tc>
          <w:tcPr>
            <w:tcW w:w="5833" w:type="dxa"/>
            <w:shd w:val="clear" w:color="auto" w:fill="1F4E79"/>
            <w:tcMar>
              <w:top w:w="80" w:type="dxa"/>
              <w:left w:w="100" w:type="dxa"/>
              <w:bottom w:w="80" w:type="dxa"/>
              <w:right w:w="100" w:type="dxa"/>
            </w:tcMar>
            <w:vAlign w:val="center"/>
          </w:tcPr>
          <w:p w14:paraId="30813534">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Evidence and implication for McDonald’s UK</w:t>
            </w:r>
          </w:p>
        </w:tc>
        <w:tc>
          <w:tcPr>
            <w:tcW w:w="1967" w:type="dxa"/>
            <w:shd w:val="clear" w:color="auto" w:fill="1F4E79"/>
            <w:tcMar>
              <w:top w:w="80" w:type="dxa"/>
              <w:left w:w="100" w:type="dxa"/>
              <w:bottom w:w="80" w:type="dxa"/>
              <w:right w:w="100" w:type="dxa"/>
            </w:tcMar>
            <w:vAlign w:val="center"/>
          </w:tcPr>
          <w:p w14:paraId="5A5A416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Overall effect</w:t>
            </w:r>
          </w:p>
        </w:tc>
      </w:tr>
      <w:tr w14:paraId="19A95AB1">
        <w:trPr>
          <w:jc w:val="center"/>
        </w:trPr>
        <w:tc>
          <w:tcPr>
            <w:tcW w:w="1698" w:type="dxa"/>
            <w:tcMar>
              <w:top w:w="80" w:type="dxa"/>
              <w:left w:w="100" w:type="dxa"/>
              <w:bottom w:w="80" w:type="dxa"/>
              <w:right w:w="100" w:type="dxa"/>
            </w:tcMar>
            <w:vAlign w:val="center"/>
          </w:tcPr>
          <w:p w14:paraId="1F5D721B">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Political</w:t>
            </w:r>
          </w:p>
        </w:tc>
        <w:tc>
          <w:tcPr>
            <w:tcW w:w="5833" w:type="dxa"/>
            <w:tcMar>
              <w:top w:w="80" w:type="dxa"/>
              <w:left w:w="100" w:type="dxa"/>
              <w:bottom w:w="80" w:type="dxa"/>
              <w:right w:w="100" w:type="dxa"/>
            </w:tcMar>
            <w:vAlign w:val="center"/>
          </w:tcPr>
          <w:p w14:paraId="42F67EF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Greater policy intervention in food and public health increases scrutiny of large chains.</w:t>
            </w:r>
          </w:p>
        </w:tc>
        <w:tc>
          <w:tcPr>
            <w:tcW w:w="1967" w:type="dxa"/>
            <w:tcMar>
              <w:top w:w="80" w:type="dxa"/>
              <w:left w:w="100" w:type="dxa"/>
              <w:bottom w:w="80" w:type="dxa"/>
              <w:right w:w="100" w:type="dxa"/>
            </w:tcMar>
            <w:vAlign w:val="center"/>
          </w:tcPr>
          <w:p w14:paraId="42A9DEA6">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Moderate threat</w:t>
            </w:r>
          </w:p>
        </w:tc>
      </w:tr>
      <w:tr w14:paraId="26FFB269">
        <w:trPr>
          <w:jc w:val="center"/>
        </w:trPr>
        <w:tc>
          <w:tcPr>
            <w:tcW w:w="1698" w:type="dxa"/>
            <w:tcMar>
              <w:top w:w="80" w:type="dxa"/>
              <w:left w:w="100" w:type="dxa"/>
              <w:bottom w:w="80" w:type="dxa"/>
              <w:right w:w="100" w:type="dxa"/>
            </w:tcMar>
            <w:vAlign w:val="center"/>
          </w:tcPr>
          <w:p w14:paraId="59E90E1D">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Economic</w:t>
            </w:r>
          </w:p>
        </w:tc>
        <w:tc>
          <w:tcPr>
            <w:tcW w:w="5833" w:type="dxa"/>
            <w:tcMar>
              <w:top w:w="80" w:type="dxa"/>
              <w:left w:w="100" w:type="dxa"/>
              <w:bottom w:w="80" w:type="dxa"/>
              <w:right w:w="100" w:type="dxa"/>
            </w:tcMar>
            <w:vAlign w:val="center"/>
          </w:tcPr>
          <w:p w14:paraId="0DCFEC68">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Food inflation and higher wages raise costs, although value positioning still appeals to price-conscious consumers.</w:t>
            </w:r>
          </w:p>
        </w:tc>
        <w:tc>
          <w:tcPr>
            <w:tcW w:w="1967" w:type="dxa"/>
            <w:tcMar>
              <w:top w:w="80" w:type="dxa"/>
              <w:left w:w="100" w:type="dxa"/>
              <w:bottom w:w="80" w:type="dxa"/>
              <w:right w:w="100" w:type="dxa"/>
            </w:tcMar>
            <w:vAlign w:val="center"/>
          </w:tcPr>
          <w:p w14:paraId="1E49C7EF">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Mixed</w:t>
            </w:r>
          </w:p>
        </w:tc>
      </w:tr>
      <w:tr w14:paraId="57647F6E">
        <w:trPr>
          <w:jc w:val="center"/>
        </w:trPr>
        <w:tc>
          <w:tcPr>
            <w:tcW w:w="1698" w:type="dxa"/>
            <w:tcMar>
              <w:top w:w="80" w:type="dxa"/>
              <w:left w:w="100" w:type="dxa"/>
              <w:bottom w:w="80" w:type="dxa"/>
              <w:right w:w="100" w:type="dxa"/>
            </w:tcMar>
            <w:vAlign w:val="center"/>
          </w:tcPr>
          <w:p w14:paraId="28F3DBDC">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Social</w:t>
            </w:r>
          </w:p>
        </w:tc>
        <w:tc>
          <w:tcPr>
            <w:tcW w:w="5833" w:type="dxa"/>
            <w:tcMar>
              <w:top w:w="80" w:type="dxa"/>
              <w:left w:w="100" w:type="dxa"/>
              <w:bottom w:w="80" w:type="dxa"/>
              <w:right w:w="100" w:type="dxa"/>
            </w:tcMar>
            <w:vAlign w:val="center"/>
          </w:tcPr>
          <w:p w14:paraId="092E4B2E">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Convenience remains important, but health concerns continue to shape attitudes to fast food.</w:t>
            </w:r>
          </w:p>
        </w:tc>
        <w:tc>
          <w:tcPr>
            <w:tcW w:w="1967" w:type="dxa"/>
            <w:tcMar>
              <w:top w:w="80" w:type="dxa"/>
              <w:left w:w="100" w:type="dxa"/>
              <w:bottom w:w="80" w:type="dxa"/>
              <w:right w:w="100" w:type="dxa"/>
            </w:tcMar>
            <w:vAlign w:val="center"/>
          </w:tcPr>
          <w:p w14:paraId="7F9836D1">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Mixed</w:t>
            </w:r>
          </w:p>
        </w:tc>
      </w:tr>
      <w:tr w14:paraId="06D89FFA">
        <w:trPr>
          <w:jc w:val="center"/>
        </w:trPr>
        <w:tc>
          <w:tcPr>
            <w:tcW w:w="1698" w:type="dxa"/>
            <w:tcMar>
              <w:top w:w="80" w:type="dxa"/>
              <w:left w:w="100" w:type="dxa"/>
              <w:bottom w:w="80" w:type="dxa"/>
              <w:right w:w="100" w:type="dxa"/>
            </w:tcMar>
            <w:vAlign w:val="center"/>
          </w:tcPr>
          <w:p w14:paraId="0D7A3F9B">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Technological</w:t>
            </w:r>
          </w:p>
        </w:tc>
        <w:tc>
          <w:tcPr>
            <w:tcW w:w="5833" w:type="dxa"/>
            <w:tcMar>
              <w:top w:w="80" w:type="dxa"/>
              <w:left w:w="100" w:type="dxa"/>
              <w:bottom w:w="80" w:type="dxa"/>
              <w:right w:w="100" w:type="dxa"/>
            </w:tcMar>
            <w:vAlign w:val="center"/>
          </w:tcPr>
          <w:p w14:paraId="4F7F93A6">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Digital ordering, loyalty and delivery support convenience, but these tools are becoming expected across the sector.</w:t>
            </w:r>
          </w:p>
        </w:tc>
        <w:tc>
          <w:tcPr>
            <w:tcW w:w="1967" w:type="dxa"/>
            <w:tcMar>
              <w:top w:w="80" w:type="dxa"/>
              <w:left w:w="100" w:type="dxa"/>
              <w:bottom w:w="80" w:type="dxa"/>
              <w:right w:w="100" w:type="dxa"/>
            </w:tcMar>
            <w:vAlign w:val="center"/>
          </w:tcPr>
          <w:p w14:paraId="57F8109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Moderate opportunity</w:t>
            </w:r>
          </w:p>
        </w:tc>
      </w:tr>
      <w:tr w14:paraId="08F49D59">
        <w:trPr>
          <w:jc w:val="center"/>
        </w:trPr>
        <w:tc>
          <w:tcPr>
            <w:tcW w:w="1698" w:type="dxa"/>
            <w:tcMar>
              <w:top w:w="80" w:type="dxa"/>
              <w:left w:w="100" w:type="dxa"/>
              <w:bottom w:w="80" w:type="dxa"/>
              <w:right w:w="100" w:type="dxa"/>
            </w:tcMar>
            <w:vAlign w:val="center"/>
          </w:tcPr>
          <w:p w14:paraId="0ACAC041">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Environmental</w:t>
            </w:r>
          </w:p>
        </w:tc>
        <w:tc>
          <w:tcPr>
            <w:tcW w:w="5833" w:type="dxa"/>
            <w:tcMar>
              <w:top w:w="80" w:type="dxa"/>
              <w:left w:w="100" w:type="dxa"/>
              <w:bottom w:w="80" w:type="dxa"/>
              <w:right w:w="100" w:type="dxa"/>
            </w:tcMar>
            <w:vAlign w:val="center"/>
          </w:tcPr>
          <w:p w14:paraId="337DC9D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Packaging and waste expectations are rising; visible progress helps credibility but does not remove operational pressure.</w:t>
            </w:r>
          </w:p>
        </w:tc>
        <w:tc>
          <w:tcPr>
            <w:tcW w:w="1967" w:type="dxa"/>
            <w:tcMar>
              <w:top w:w="80" w:type="dxa"/>
              <w:left w:w="100" w:type="dxa"/>
              <w:bottom w:w="80" w:type="dxa"/>
              <w:right w:w="100" w:type="dxa"/>
            </w:tcMar>
            <w:vAlign w:val="center"/>
          </w:tcPr>
          <w:p w14:paraId="05967672">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Mixed</w:t>
            </w:r>
          </w:p>
        </w:tc>
      </w:tr>
      <w:tr w14:paraId="5094DE22">
        <w:trPr>
          <w:jc w:val="center"/>
        </w:trPr>
        <w:tc>
          <w:tcPr>
            <w:tcW w:w="1698" w:type="dxa"/>
            <w:tcMar>
              <w:top w:w="80" w:type="dxa"/>
              <w:left w:w="100" w:type="dxa"/>
              <w:bottom w:w="80" w:type="dxa"/>
              <w:right w:w="100" w:type="dxa"/>
            </w:tcMar>
            <w:vAlign w:val="center"/>
          </w:tcPr>
          <w:p w14:paraId="7A71C1A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Legal</w:t>
            </w:r>
          </w:p>
        </w:tc>
        <w:tc>
          <w:tcPr>
            <w:tcW w:w="5833" w:type="dxa"/>
            <w:tcMar>
              <w:top w:w="80" w:type="dxa"/>
              <w:left w:w="100" w:type="dxa"/>
              <w:bottom w:w="80" w:type="dxa"/>
              <w:right w:w="100" w:type="dxa"/>
            </w:tcMar>
            <w:vAlign w:val="center"/>
          </w:tcPr>
          <w:p w14:paraId="07F40140">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Calorie label</w:t>
            </w:r>
            <w:r>
              <w:rPr>
                <w:rFonts w:hint="default" w:ascii="Times New Roman Regular" w:hAnsi="Times New Roman Regular" w:eastAsia="宋体" w:cs="Times New Roman Regular"/>
                <w:color w:val="auto"/>
                <w:sz w:val="28"/>
                <w:szCs w:val="28"/>
                <w:lang w:val="en-US" w:eastAsia="zh-CN"/>
              </w:rPr>
              <w:t>ing</w:t>
            </w:r>
            <w:r>
              <w:rPr>
                <w:rFonts w:hint="default" w:ascii="Times New Roman Regular" w:hAnsi="Times New Roman Regular" w:cs="Times New Roman Regular"/>
                <w:color w:val="auto"/>
                <w:sz w:val="28"/>
                <w:szCs w:val="28"/>
              </w:rPr>
              <w:t xml:space="preserve"> and advertising restrictions affect how products are marketed and promoted.</w:t>
            </w:r>
          </w:p>
        </w:tc>
        <w:tc>
          <w:tcPr>
            <w:tcW w:w="1967" w:type="dxa"/>
            <w:tcMar>
              <w:top w:w="80" w:type="dxa"/>
              <w:left w:w="100" w:type="dxa"/>
              <w:bottom w:w="80" w:type="dxa"/>
              <w:right w:w="100" w:type="dxa"/>
            </w:tcMar>
            <w:vAlign w:val="center"/>
          </w:tcPr>
          <w:p w14:paraId="2DE4BE7F">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Moderate to high threat</w:t>
            </w:r>
          </w:p>
        </w:tc>
      </w:tr>
    </w:tbl>
    <w:p w14:paraId="5F640DFD">
      <w:pPr>
        <w:spacing w:before="80" w:after="160" w:line="276" w:lineRule="auto"/>
        <w:rPr>
          <w:rFonts w:hint="default" w:ascii="Times New Roman Regular" w:hAnsi="Times New Roman Regular" w:cs="Times New Roman Regular"/>
          <w:sz w:val="28"/>
          <w:szCs w:val="28"/>
        </w:rPr>
      </w:pPr>
      <w:r>
        <w:rPr>
          <w:rFonts w:hint="default" w:ascii="Times New Roman Regular" w:hAnsi="Times New Roman Regular" w:cs="Times New Roman Regular"/>
          <w:b/>
          <w:sz w:val="28"/>
          <w:szCs w:val="28"/>
        </w:rPr>
        <w:t xml:space="preserve">Model summary. </w:t>
      </w:r>
      <w:r>
        <w:rPr>
          <w:rFonts w:hint="default" w:ascii="Times New Roman Regular" w:hAnsi="Times New Roman Regular" w:cs="Times New Roman Regular"/>
          <w:sz w:val="28"/>
          <w:szCs w:val="28"/>
        </w:rPr>
        <w:t>The PESTEL analysis suggests that McDonald’s UK operates in a market where regulation, cost pressure and changing customer expectations are increasing, but its scale and adaptability still give it more room to respond than many smaller competitors.</w:t>
      </w:r>
    </w:p>
    <w:p w14:paraId="4BC7EB4A">
      <w:pPr>
        <w:pStyle w:val="4"/>
        <w:rPr>
          <w:rFonts w:hint="default" w:ascii="Times New Roman Regular" w:hAnsi="Times New Roman Regular" w:cs="Times New Roman Regular"/>
          <w:color w:val="auto"/>
          <w:sz w:val="28"/>
          <w:szCs w:val="28"/>
        </w:rPr>
      </w:pPr>
      <w:bookmarkStart w:id="3" w:name="_Toc1332586769"/>
      <w:r>
        <w:rPr>
          <w:rFonts w:hint="default" w:ascii="Times New Roman Regular" w:hAnsi="Times New Roman Regular" w:cs="Times New Roman Regular"/>
          <w:color w:val="auto"/>
          <w:sz w:val="28"/>
          <w:szCs w:val="28"/>
          <w:lang w:eastAsia="zh"/>
          <w:woUserID w:val="1"/>
        </w:rPr>
        <w:t>2</w:t>
      </w:r>
      <w:r>
        <w:rPr>
          <w:rFonts w:hint="default" w:ascii="Times New Roman Regular" w:hAnsi="Times New Roman Regular" w:cs="Times New Roman Regular"/>
          <w:color w:val="auto"/>
          <w:sz w:val="28"/>
          <w:szCs w:val="28"/>
        </w:rPr>
        <w:t>.2 Porter’s Five Forces Analysis</w:t>
      </w:r>
      <w:bookmarkEnd w:id="3"/>
    </w:p>
    <w:p w14:paraId="234DF289">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Threat of New Entrants. </w:t>
      </w:r>
      <w:r>
        <w:rPr>
          <w:rFonts w:hint="default" w:ascii="Times New Roman Regular" w:hAnsi="Times New Roman Regular" w:eastAsia="Times New Roman" w:cs="Times New Roman Regular"/>
          <w:sz w:val="28"/>
          <w:szCs w:val="28"/>
        </w:rPr>
        <w:t>The threat of new entrants is moderate rather than high. Opening an individual food outlet is not especially difficult, but building a national fast-food chain is far harder because firms need sites, capital, supply-chain coordination, labour systems and strong brand recognition. McDonald’s benefits from all of these barriers, which helps protect its position in the UK market (Porter, 2008).</w:t>
      </w:r>
    </w:p>
    <w:p w14:paraId="59304758">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Bargaining Power of Suppliers. </w:t>
      </w:r>
      <w:r>
        <w:rPr>
          <w:rFonts w:hint="default" w:ascii="Times New Roman Regular" w:hAnsi="Times New Roman Regular" w:eastAsia="Times New Roman" w:cs="Times New Roman Regular"/>
          <w:sz w:val="28"/>
          <w:szCs w:val="28"/>
        </w:rPr>
        <w:t>Supplier power is best seen as moderate. McDonald’s scale gives it considerable buying leverage, yet it still depends on agricultural inputs, packaging suppliers and logistics partners that are exposed to inflation, regulation and disruption. In practice, this means scale reduces pressure, but it does not eliminate it.</w:t>
      </w:r>
    </w:p>
    <w:p w14:paraId="357A1AA3">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Bargaining Power of Buyers. </w:t>
      </w:r>
      <w:r>
        <w:rPr>
          <w:rFonts w:hint="default" w:ascii="Times New Roman Regular" w:hAnsi="Times New Roman Regular" w:eastAsia="Times New Roman" w:cs="Times New Roman Regular"/>
          <w:sz w:val="28"/>
          <w:szCs w:val="28"/>
        </w:rPr>
        <w:t>Buyer power is high because customers have many alternatives and very low switching costs. Consumers can compare prices, offers and delivery options quickly, especially through apps and digital channels. Loyalty schemes may improve retention, but they do not fundamentally remove buyer choice.</w:t>
      </w:r>
    </w:p>
    <w:p w14:paraId="6A19834F">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Threat of Substitutes. </w:t>
      </w:r>
      <w:r>
        <w:rPr>
          <w:rFonts w:hint="default" w:ascii="Times New Roman Regular" w:hAnsi="Times New Roman Regular" w:eastAsia="Times New Roman" w:cs="Times New Roman Regular"/>
          <w:sz w:val="28"/>
          <w:szCs w:val="28"/>
        </w:rPr>
        <w:t>The threat of substitutes is high</w:t>
      </w:r>
      <w:r>
        <w:rPr>
          <w:rFonts w:hint="default" w:ascii="Times New Roman Regular" w:hAnsi="Times New Roman Regular" w:eastAsia="Times New Roman" w:cs="Times New Roman Regular"/>
          <w:sz w:val="28"/>
          <w:szCs w:val="28"/>
          <w:lang w:val="en-US"/>
        </w:rPr>
        <w:t>er than other aspect</w:t>
      </w:r>
      <w:r>
        <w:rPr>
          <w:rFonts w:hint="default" w:ascii="Times New Roman Regular" w:hAnsi="Times New Roman Regular" w:eastAsia="Times New Roman" w:cs="Times New Roman Regular"/>
          <w:sz w:val="28"/>
          <w:szCs w:val="28"/>
        </w:rPr>
        <w:t>. McDonald’s competes not only with burger chains, but also with fried chicken, pizza delivery, coffee chains, supermarket meal deals and convenience food. This wide substitute set limits pricing freedom and keeps pressure on the company to remain convenient as well as affordable.</w:t>
      </w:r>
    </w:p>
    <w:p w14:paraId="5D0D7EAA">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Competitive Rivalry. </w:t>
      </w:r>
      <w:r>
        <w:rPr>
          <w:rFonts w:hint="default" w:ascii="Times New Roman Regular" w:hAnsi="Times New Roman Regular" w:eastAsia="Times New Roman" w:cs="Times New Roman Regular"/>
          <w:sz w:val="28"/>
          <w:szCs w:val="28"/>
        </w:rPr>
        <w:t>Competitive rivalry in the UK fast-food market is very high. Large brands such as KFC and Domino’s already operate at significant scale, while delivery platforms make competition even more visible. As a result, McDonald’s is competing in a market where price, location, service speed and menu relevance are constantly under pressure (KFC UK &amp; Ireland, 2025; Domino’s Pizza Group, 2025).</w:t>
      </w:r>
    </w:p>
    <w:p w14:paraId="3D924436">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Table 2. McDonald’s UK Porter’s Five Forces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98"/>
        <w:gridCol w:w="1973"/>
        <w:gridCol w:w="4727"/>
      </w:tblGrid>
      <w:tr w14:paraId="39334951">
        <w:trPr>
          <w:jc w:val="center"/>
        </w:trPr>
        <w:tc>
          <w:tcPr>
            <w:tcW w:w="2835" w:type="dxa"/>
            <w:shd w:val="clear" w:color="auto" w:fill="5B9BD5"/>
            <w:tcMar>
              <w:top w:w="80" w:type="dxa"/>
              <w:left w:w="100" w:type="dxa"/>
              <w:bottom w:w="80" w:type="dxa"/>
              <w:right w:w="100" w:type="dxa"/>
            </w:tcMar>
            <w:vAlign w:val="center"/>
          </w:tcPr>
          <w:p w14:paraId="03D5368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Force</w:t>
            </w:r>
          </w:p>
        </w:tc>
        <w:tc>
          <w:tcPr>
            <w:tcW w:w="1984" w:type="dxa"/>
            <w:shd w:val="clear" w:color="auto" w:fill="5B9BD5"/>
            <w:tcMar>
              <w:top w:w="80" w:type="dxa"/>
              <w:left w:w="100" w:type="dxa"/>
              <w:bottom w:w="80" w:type="dxa"/>
              <w:right w:w="100" w:type="dxa"/>
            </w:tcMar>
            <w:vAlign w:val="center"/>
          </w:tcPr>
          <w:p w14:paraId="5916C327">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McDonald’s UK assessment</w:t>
            </w:r>
          </w:p>
        </w:tc>
        <w:tc>
          <w:tcPr>
            <w:tcW w:w="4819" w:type="dxa"/>
            <w:shd w:val="clear" w:color="auto" w:fill="5B9BD5"/>
            <w:tcMar>
              <w:top w:w="80" w:type="dxa"/>
              <w:left w:w="100" w:type="dxa"/>
              <w:bottom w:w="80" w:type="dxa"/>
              <w:right w:w="100" w:type="dxa"/>
            </w:tcMar>
            <w:vAlign w:val="center"/>
          </w:tcPr>
          <w:p w14:paraId="48B57009">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Reasoned judgement</w:t>
            </w:r>
          </w:p>
        </w:tc>
      </w:tr>
      <w:tr w14:paraId="159958AA">
        <w:trPr>
          <w:jc w:val="center"/>
        </w:trPr>
        <w:tc>
          <w:tcPr>
            <w:tcW w:w="2835" w:type="dxa"/>
            <w:tcMar>
              <w:top w:w="80" w:type="dxa"/>
              <w:left w:w="100" w:type="dxa"/>
              <w:bottom w:w="80" w:type="dxa"/>
              <w:right w:w="100" w:type="dxa"/>
            </w:tcMar>
            <w:vAlign w:val="center"/>
          </w:tcPr>
          <w:p w14:paraId="0CBFE449">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Threat of new entrants</w:t>
            </w:r>
          </w:p>
        </w:tc>
        <w:tc>
          <w:tcPr>
            <w:tcW w:w="1984" w:type="dxa"/>
            <w:tcMar>
              <w:top w:w="80" w:type="dxa"/>
              <w:left w:w="100" w:type="dxa"/>
              <w:bottom w:w="80" w:type="dxa"/>
              <w:right w:w="100" w:type="dxa"/>
            </w:tcMar>
            <w:vAlign w:val="center"/>
          </w:tcPr>
          <w:p w14:paraId="20539984">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Medium</w:t>
            </w:r>
          </w:p>
        </w:tc>
        <w:tc>
          <w:tcPr>
            <w:tcW w:w="4819" w:type="dxa"/>
            <w:tcMar>
              <w:top w:w="80" w:type="dxa"/>
              <w:left w:w="100" w:type="dxa"/>
              <w:bottom w:w="80" w:type="dxa"/>
              <w:right w:w="100" w:type="dxa"/>
            </w:tcMar>
            <w:vAlign w:val="center"/>
          </w:tcPr>
          <w:p w14:paraId="0EDD711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Entry is possible, but scaling is hard because of sites, capital, systems, compliance and brand barriers.</w:t>
            </w:r>
          </w:p>
        </w:tc>
      </w:tr>
      <w:tr w14:paraId="45EDFBEF">
        <w:trPr>
          <w:jc w:val="center"/>
        </w:trPr>
        <w:tc>
          <w:tcPr>
            <w:tcW w:w="2835" w:type="dxa"/>
            <w:tcMar>
              <w:top w:w="80" w:type="dxa"/>
              <w:left w:w="100" w:type="dxa"/>
              <w:bottom w:w="80" w:type="dxa"/>
              <w:right w:w="100" w:type="dxa"/>
            </w:tcMar>
            <w:vAlign w:val="center"/>
          </w:tcPr>
          <w:p w14:paraId="723C803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Bargaining power of suppliers</w:t>
            </w:r>
          </w:p>
        </w:tc>
        <w:tc>
          <w:tcPr>
            <w:tcW w:w="1984" w:type="dxa"/>
            <w:tcMar>
              <w:top w:w="80" w:type="dxa"/>
              <w:left w:w="100" w:type="dxa"/>
              <w:bottom w:w="80" w:type="dxa"/>
              <w:right w:w="100" w:type="dxa"/>
            </w:tcMar>
            <w:vAlign w:val="center"/>
          </w:tcPr>
          <w:p w14:paraId="070B5AF7">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Medium</w:t>
            </w:r>
          </w:p>
        </w:tc>
        <w:tc>
          <w:tcPr>
            <w:tcW w:w="4819" w:type="dxa"/>
            <w:tcMar>
              <w:top w:w="80" w:type="dxa"/>
              <w:left w:w="100" w:type="dxa"/>
              <w:bottom w:w="80" w:type="dxa"/>
              <w:right w:w="100" w:type="dxa"/>
            </w:tcMar>
            <w:vAlign w:val="center"/>
          </w:tcPr>
          <w:p w14:paraId="37BDAA97">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McDonald’s scale helps, but food, packaging and logistics remain exposed to external cost pressure.</w:t>
            </w:r>
          </w:p>
        </w:tc>
      </w:tr>
      <w:tr w14:paraId="27DBFCBD">
        <w:trPr>
          <w:jc w:val="center"/>
        </w:trPr>
        <w:tc>
          <w:tcPr>
            <w:tcW w:w="2835" w:type="dxa"/>
            <w:tcMar>
              <w:top w:w="80" w:type="dxa"/>
              <w:left w:w="100" w:type="dxa"/>
              <w:bottom w:w="80" w:type="dxa"/>
              <w:right w:w="100" w:type="dxa"/>
            </w:tcMar>
            <w:vAlign w:val="center"/>
          </w:tcPr>
          <w:p w14:paraId="470E71D9">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Bargaining power of buyers</w:t>
            </w:r>
          </w:p>
        </w:tc>
        <w:tc>
          <w:tcPr>
            <w:tcW w:w="1984" w:type="dxa"/>
            <w:tcMar>
              <w:top w:w="80" w:type="dxa"/>
              <w:left w:w="100" w:type="dxa"/>
              <w:bottom w:w="80" w:type="dxa"/>
              <w:right w:w="100" w:type="dxa"/>
            </w:tcMar>
            <w:vAlign w:val="center"/>
          </w:tcPr>
          <w:p w14:paraId="2FEFF519">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High</w:t>
            </w:r>
          </w:p>
        </w:tc>
        <w:tc>
          <w:tcPr>
            <w:tcW w:w="4819" w:type="dxa"/>
            <w:tcMar>
              <w:top w:w="80" w:type="dxa"/>
              <w:left w:w="100" w:type="dxa"/>
              <w:bottom w:w="80" w:type="dxa"/>
              <w:right w:w="100" w:type="dxa"/>
            </w:tcMar>
            <w:vAlign w:val="center"/>
          </w:tcPr>
          <w:p w14:paraId="591B0AF6">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Switching costs are low and consumers can compare offers quickly.</w:t>
            </w:r>
          </w:p>
        </w:tc>
      </w:tr>
      <w:tr w14:paraId="01B55689">
        <w:trPr>
          <w:jc w:val="center"/>
        </w:trPr>
        <w:tc>
          <w:tcPr>
            <w:tcW w:w="2835" w:type="dxa"/>
            <w:tcMar>
              <w:top w:w="80" w:type="dxa"/>
              <w:left w:w="100" w:type="dxa"/>
              <w:bottom w:w="80" w:type="dxa"/>
              <w:right w:w="100" w:type="dxa"/>
            </w:tcMar>
            <w:vAlign w:val="center"/>
          </w:tcPr>
          <w:p w14:paraId="425C512D">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Threat of substitutes</w:t>
            </w:r>
          </w:p>
        </w:tc>
        <w:tc>
          <w:tcPr>
            <w:tcW w:w="1984" w:type="dxa"/>
            <w:tcMar>
              <w:top w:w="80" w:type="dxa"/>
              <w:left w:w="100" w:type="dxa"/>
              <w:bottom w:w="80" w:type="dxa"/>
              <w:right w:w="100" w:type="dxa"/>
            </w:tcMar>
            <w:vAlign w:val="center"/>
          </w:tcPr>
          <w:p w14:paraId="218025FF">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High</w:t>
            </w:r>
          </w:p>
        </w:tc>
        <w:tc>
          <w:tcPr>
            <w:tcW w:w="4819" w:type="dxa"/>
            <w:tcMar>
              <w:top w:w="80" w:type="dxa"/>
              <w:left w:w="100" w:type="dxa"/>
              <w:bottom w:w="80" w:type="dxa"/>
              <w:right w:w="100" w:type="dxa"/>
            </w:tcMar>
            <w:vAlign w:val="center"/>
          </w:tcPr>
          <w:p w14:paraId="47FFF6CD">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Customers can switch to fried chicken, pizza, coffee chains, supermarkets and delivery-led alternatives.</w:t>
            </w:r>
          </w:p>
        </w:tc>
      </w:tr>
      <w:tr w14:paraId="1A8CA27D">
        <w:trPr>
          <w:jc w:val="center"/>
        </w:trPr>
        <w:tc>
          <w:tcPr>
            <w:tcW w:w="2835" w:type="dxa"/>
            <w:tcMar>
              <w:top w:w="80" w:type="dxa"/>
              <w:left w:w="100" w:type="dxa"/>
              <w:bottom w:w="80" w:type="dxa"/>
              <w:right w:w="100" w:type="dxa"/>
            </w:tcMar>
            <w:vAlign w:val="center"/>
          </w:tcPr>
          <w:p w14:paraId="4EC6A4E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Competitive rivalry</w:t>
            </w:r>
          </w:p>
        </w:tc>
        <w:tc>
          <w:tcPr>
            <w:tcW w:w="1984" w:type="dxa"/>
            <w:tcMar>
              <w:top w:w="80" w:type="dxa"/>
              <w:left w:w="100" w:type="dxa"/>
              <w:bottom w:w="80" w:type="dxa"/>
              <w:right w:w="100" w:type="dxa"/>
            </w:tcMar>
            <w:vAlign w:val="center"/>
          </w:tcPr>
          <w:p w14:paraId="311BEBD8">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Very high</w:t>
            </w:r>
          </w:p>
        </w:tc>
        <w:tc>
          <w:tcPr>
            <w:tcW w:w="4819" w:type="dxa"/>
            <w:tcMar>
              <w:top w:w="80" w:type="dxa"/>
              <w:left w:w="100" w:type="dxa"/>
              <w:bottom w:w="80" w:type="dxa"/>
              <w:right w:w="100" w:type="dxa"/>
            </w:tcMar>
            <w:vAlign w:val="center"/>
          </w:tcPr>
          <w:p w14:paraId="10066C01">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Major chains compete on location, price, digital convenience, product launches and value offers.</w:t>
            </w:r>
          </w:p>
        </w:tc>
      </w:tr>
    </w:tbl>
    <w:p w14:paraId="53AB1395">
      <w:pPr>
        <w:spacing w:before="80" w:after="160" w:line="276" w:lineRule="auto"/>
        <w:rPr>
          <w:rFonts w:hint="default" w:ascii="Times New Roman Regular" w:hAnsi="Times New Roman Regular" w:cs="Times New Roman Regular"/>
          <w:sz w:val="28"/>
          <w:szCs w:val="28"/>
        </w:rPr>
      </w:pPr>
      <w:r>
        <w:rPr>
          <w:rFonts w:hint="default" w:ascii="Times New Roman Regular" w:hAnsi="Times New Roman Regular" w:cs="Times New Roman Regular"/>
          <w:b/>
          <w:sz w:val="28"/>
          <w:szCs w:val="28"/>
        </w:rPr>
        <w:t xml:space="preserve">Model summary. </w:t>
      </w:r>
      <w:r>
        <w:rPr>
          <w:rFonts w:hint="default" w:ascii="Times New Roman Regular" w:hAnsi="Times New Roman Regular" w:cs="Times New Roman Regular"/>
          <w:sz w:val="28"/>
          <w:szCs w:val="28"/>
        </w:rPr>
        <w:t>Porter’s Five Forces shows that the UK fast-food market is structurally difficult, with especially strong pressure from buyers, substitutes and rivalry, so McDonald’s advantage comes less from operating in an attractive industry and more from executing better within it.</w:t>
      </w:r>
    </w:p>
    <w:p w14:paraId="276CADE2">
      <w:pPr>
        <w:pStyle w:val="4"/>
        <w:rPr>
          <w:rFonts w:hint="default" w:ascii="Times New Roman Regular" w:hAnsi="Times New Roman Regular" w:cs="Times New Roman Regular"/>
          <w:color w:val="auto"/>
          <w:sz w:val="28"/>
          <w:szCs w:val="28"/>
        </w:rPr>
      </w:pPr>
      <w:bookmarkStart w:id="4" w:name="_Toc653365908"/>
      <w:r>
        <w:rPr>
          <w:rFonts w:hint="default" w:ascii="Times New Roman Regular" w:hAnsi="Times New Roman Regular" w:cs="Times New Roman Regular"/>
          <w:color w:val="auto"/>
          <w:sz w:val="28"/>
          <w:szCs w:val="28"/>
          <w:lang w:eastAsia="zh"/>
          <w:woUserID w:val="1"/>
        </w:rPr>
        <w:t>2</w:t>
      </w:r>
      <w:r>
        <w:rPr>
          <w:rFonts w:hint="default" w:ascii="Times New Roman Regular" w:hAnsi="Times New Roman Regular" w:cs="Times New Roman Regular"/>
          <w:color w:val="auto"/>
          <w:sz w:val="28"/>
          <w:szCs w:val="28"/>
        </w:rPr>
        <w:t>.3 VRIO Analysis</w:t>
      </w:r>
      <w:bookmarkEnd w:id="4"/>
    </w:p>
    <w:p w14:paraId="05D788B7">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Valuable. </w:t>
      </w:r>
      <w:r>
        <w:rPr>
          <w:rFonts w:hint="default" w:ascii="Times New Roman Regular" w:hAnsi="Times New Roman Regular" w:eastAsia="Times New Roman" w:cs="Times New Roman Regular"/>
          <w:sz w:val="28"/>
          <w:szCs w:val="28"/>
        </w:rPr>
        <w:t>McDonald’s resources are clearly valuable because they help the company attract customers, operate efficiently and defend market share. Its brand recognition, dense restaurant network, franchise structure and digital ecosystem all support convenience and repeat purchase, which are commercially important in the UK fast-food sector.</w:t>
      </w:r>
    </w:p>
    <w:p w14:paraId="23D16463">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Rare. </w:t>
      </w:r>
      <w:r>
        <w:rPr>
          <w:rFonts w:hint="default" w:ascii="Times New Roman Regular" w:hAnsi="Times New Roman Regular" w:eastAsia="Times New Roman" w:cs="Times New Roman Regular"/>
          <w:sz w:val="28"/>
          <w:szCs w:val="28"/>
        </w:rPr>
        <w:t>Some of McDonald’s resources are also rare, especially when scale is taken into account. Many competitors have strong brands or digital tools, but far fewer can combine a nationally recognised brand with such an extensive physical network and mature franchise system. This makes McDonald’s position stronger than that of smaller chains.</w:t>
      </w:r>
    </w:p>
    <w:p w14:paraId="69E8F457">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Inimitable. </w:t>
      </w:r>
      <w:r>
        <w:rPr>
          <w:rFonts w:hint="default" w:ascii="Times New Roman Regular" w:hAnsi="Times New Roman Regular" w:eastAsia="Times New Roman" w:cs="Times New Roman Regular"/>
          <w:sz w:val="28"/>
          <w:szCs w:val="28"/>
        </w:rPr>
        <w:t>A key reason these resources matter is that they are not easy to imitate. Competitors may copy individual products, app functions or promotions, but they cannot quickly reproduce the history, routines, supplier relationships and organisational coordination that support McDonald’s large-scale consistency. That makes imitation possible in parts, but difficult in the full system (Barney, 1991).</w:t>
      </w:r>
    </w:p>
    <w:p w14:paraId="04E8445F">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Organ</w:t>
      </w:r>
      <w:r>
        <w:rPr>
          <w:rFonts w:hint="default" w:ascii="Times New Roman Regular" w:hAnsi="Times New Roman Regular" w:eastAsia="宋体" w:cs="Times New Roman Regular"/>
          <w:b/>
          <w:sz w:val="28"/>
          <w:szCs w:val="28"/>
          <w:lang w:val="en-US" w:eastAsia="zh-CN"/>
        </w:rPr>
        <w:t>ization</w:t>
      </w:r>
      <w:r>
        <w:rPr>
          <w:rFonts w:hint="default" w:ascii="Times New Roman Regular" w:hAnsi="Times New Roman Regular" w:eastAsia="Times New Roman" w:cs="Times New Roman Regular"/>
          <w:b/>
          <w:sz w:val="28"/>
          <w:szCs w:val="28"/>
        </w:rPr>
        <w:t xml:space="preserve"> </w:t>
      </w:r>
      <w:r>
        <w:rPr>
          <w:rFonts w:hint="default" w:ascii="Times New Roman Regular" w:hAnsi="Times New Roman Regular" w:eastAsia="Times New Roman" w:cs="Times New Roman Regular"/>
          <w:sz w:val="28"/>
          <w:szCs w:val="28"/>
        </w:rPr>
        <w:t>McDonald’s is also organised to exploit these resources. The company’s franchise-led operating model, established processes and continued investment in delivery, digital ordering and loyalty suggest that it is structured to turn its resources into performance. Even so, not every capability creates sustained advantage; some, such as app ordering, may only provide temporary advantage because rivals are catching up.</w:t>
      </w:r>
    </w:p>
    <w:p w14:paraId="226C3FEE">
      <w:pPr>
        <w:pageBreakBefore/>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Table 3. McDonald’s UK VRIO Analysis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458"/>
        <w:gridCol w:w="680"/>
        <w:gridCol w:w="869"/>
        <w:gridCol w:w="869"/>
        <w:gridCol w:w="680"/>
        <w:gridCol w:w="2835"/>
      </w:tblGrid>
      <w:tr w14:paraId="7C144742">
        <w:trPr>
          <w:jc w:val="center"/>
        </w:trPr>
        <w:tc>
          <w:tcPr>
            <w:tcW w:w="3458" w:type="dxa"/>
            <w:shd w:val="clear" w:color="auto" w:fill="5B9BD5"/>
            <w:tcMar>
              <w:top w:w="80" w:type="dxa"/>
              <w:left w:w="100" w:type="dxa"/>
              <w:bottom w:w="80" w:type="dxa"/>
              <w:right w:w="100" w:type="dxa"/>
            </w:tcMar>
            <w:vAlign w:val="center"/>
          </w:tcPr>
          <w:p w14:paraId="03C9E6E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Resource / capability</w:t>
            </w:r>
          </w:p>
        </w:tc>
        <w:tc>
          <w:tcPr>
            <w:tcW w:w="680" w:type="dxa"/>
            <w:shd w:val="clear" w:color="auto" w:fill="5B9BD5"/>
            <w:tcMar>
              <w:top w:w="80" w:type="dxa"/>
              <w:left w:w="100" w:type="dxa"/>
              <w:bottom w:w="80" w:type="dxa"/>
              <w:right w:w="100" w:type="dxa"/>
            </w:tcMar>
            <w:vAlign w:val="center"/>
          </w:tcPr>
          <w:p w14:paraId="54A090FD">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V</w:t>
            </w:r>
          </w:p>
        </w:tc>
        <w:tc>
          <w:tcPr>
            <w:tcW w:w="680" w:type="dxa"/>
            <w:shd w:val="clear" w:color="auto" w:fill="5B9BD5"/>
            <w:tcMar>
              <w:top w:w="80" w:type="dxa"/>
              <w:left w:w="100" w:type="dxa"/>
              <w:bottom w:w="80" w:type="dxa"/>
              <w:right w:w="100" w:type="dxa"/>
            </w:tcMar>
            <w:vAlign w:val="center"/>
          </w:tcPr>
          <w:p w14:paraId="76045257">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R</w:t>
            </w:r>
          </w:p>
        </w:tc>
        <w:tc>
          <w:tcPr>
            <w:tcW w:w="680" w:type="dxa"/>
            <w:shd w:val="clear" w:color="auto" w:fill="5B9BD5"/>
            <w:tcMar>
              <w:top w:w="80" w:type="dxa"/>
              <w:left w:w="100" w:type="dxa"/>
              <w:bottom w:w="80" w:type="dxa"/>
              <w:right w:w="100" w:type="dxa"/>
            </w:tcMar>
            <w:vAlign w:val="center"/>
          </w:tcPr>
          <w:p w14:paraId="2DA9EF70">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I</w:t>
            </w:r>
          </w:p>
        </w:tc>
        <w:tc>
          <w:tcPr>
            <w:tcW w:w="680" w:type="dxa"/>
            <w:shd w:val="clear" w:color="auto" w:fill="5B9BD5"/>
            <w:tcMar>
              <w:top w:w="80" w:type="dxa"/>
              <w:left w:w="100" w:type="dxa"/>
              <w:bottom w:w="80" w:type="dxa"/>
              <w:right w:w="100" w:type="dxa"/>
            </w:tcMar>
            <w:vAlign w:val="center"/>
          </w:tcPr>
          <w:p w14:paraId="2F203E4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O</w:t>
            </w:r>
          </w:p>
        </w:tc>
        <w:tc>
          <w:tcPr>
            <w:tcW w:w="2835" w:type="dxa"/>
            <w:shd w:val="clear" w:color="auto" w:fill="5B9BD5"/>
            <w:tcMar>
              <w:top w:w="80" w:type="dxa"/>
              <w:left w:w="100" w:type="dxa"/>
              <w:bottom w:w="80" w:type="dxa"/>
              <w:right w:w="100" w:type="dxa"/>
            </w:tcMar>
            <w:vAlign w:val="center"/>
          </w:tcPr>
          <w:p w14:paraId="633FB098">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Strategic implication</w:t>
            </w:r>
          </w:p>
        </w:tc>
      </w:tr>
      <w:tr w14:paraId="55700A30">
        <w:trPr>
          <w:jc w:val="center"/>
        </w:trPr>
        <w:tc>
          <w:tcPr>
            <w:tcW w:w="3458" w:type="dxa"/>
            <w:shd w:val="clear" w:color="auto" w:fill="auto"/>
            <w:tcMar>
              <w:top w:w="80" w:type="dxa"/>
              <w:left w:w="100" w:type="dxa"/>
              <w:bottom w:w="80" w:type="dxa"/>
              <w:right w:w="100" w:type="dxa"/>
            </w:tcMar>
            <w:vAlign w:val="center"/>
          </w:tcPr>
          <w:p w14:paraId="0FEEA57B">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Brand, network and franchise model</w:t>
            </w:r>
          </w:p>
        </w:tc>
        <w:tc>
          <w:tcPr>
            <w:tcW w:w="680" w:type="dxa"/>
            <w:shd w:val="clear" w:color="auto" w:fill="auto"/>
            <w:tcMar>
              <w:top w:w="80" w:type="dxa"/>
              <w:left w:w="100" w:type="dxa"/>
              <w:bottom w:w="80" w:type="dxa"/>
              <w:right w:w="100" w:type="dxa"/>
            </w:tcMar>
            <w:vAlign w:val="center"/>
          </w:tcPr>
          <w:p w14:paraId="07165C2E">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4FEEFD0F">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6E445C2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00E6D897">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2835" w:type="dxa"/>
            <w:shd w:val="clear" w:color="auto" w:fill="auto"/>
            <w:tcMar>
              <w:top w:w="80" w:type="dxa"/>
              <w:left w:w="100" w:type="dxa"/>
              <w:bottom w:w="80" w:type="dxa"/>
              <w:right w:w="100" w:type="dxa"/>
            </w:tcMar>
            <w:vAlign w:val="center"/>
          </w:tcPr>
          <w:p w14:paraId="6CC08882">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Sustained advantage</w:t>
            </w:r>
          </w:p>
        </w:tc>
      </w:tr>
      <w:tr w14:paraId="6DC9BFFC">
        <w:trPr>
          <w:jc w:val="center"/>
        </w:trPr>
        <w:tc>
          <w:tcPr>
            <w:tcW w:w="3458" w:type="dxa"/>
            <w:shd w:val="clear" w:color="auto" w:fill="auto"/>
            <w:tcMar>
              <w:top w:w="80" w:type="dxa"/>
              <w:left w:w="100" w:type="dxa"/>
              <w:bottom w:w="80" w:type="dxa"/>
              <w:right w:w="100" w:type="dxa"/>
            </w:tcMar>
            <w:vAlign w:val="center"/>
          </w:tcPr>
          <w:p w14:paraId="51EF177B">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Operational consistency and supply-chain coordination</w:t>
            </w:r>
          </w:p>
        </w:tc>
        <w:tc>
          <w:tcPr>
            <w:tcW w:w="680" w:type="dxa"/>
            <w:shd w:val="clear" w:color="auto" w:fill="auto"/>
            <w:tcMar>
              <w:top w:w="80" w:type="dxa"/>
              <w:left w:w="100" w:type="dxa"/>
              <w:bottom w:w="80" w:type="dxa"/>
              <w:right w:w="100" w:type="dxa"/>
            </w:tcMar>
            <w:vAlign w:val="center"/>
          </w:tcPr>
          <w:p w14:paraId="47735F5B">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23688F63">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53DDA2A2">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5DA8E22D">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2835" w:type="dxa"/>
            <w:shd w:val="clear" w:color="auto" w:fill="auto"/>
            <w:tcMar>
              <w:top w:w="80" w:type="dxa"/>
              <w:left w:w="100" w:type="dxa"/>
              <w:bottom w:w="80" w:type="dxa"/>
              <w:right w:w="100" w:type="dxa"/>
            </w:tcMar>
            <w:vAlign w:val="center"/>
          </w:tcPr>
          <w:p w14:paraId="7FBDF85F">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Strong long-term advantage</w:t>
            </w:r>
          </w:p>
        </w:tc>
      </w:tr>
      <w:tr w14:paraId="73DC273E">
        <w:trPr>
          <w:jc w:val="center"/>
        </w:trPr>
        <w:tc>
          <w:tcPr>
            <w:tcW w:w="3458" w:type="dxa"/>
            <w:shd w:val="clear" w:color="auto" w:fill="auto"/>
            <w:tcMar>
              <w:top w:w="80" w:type="dxa"/>
              <w:left w:w="100" w:type="dxa"/>
              <w:bottom w:w="80" w:type="dxa"/>
              <w:right w:w="100" w:type="dxa"/>
            </w:tcMar>
            <w:vAlign w:val="center"/>
          </w:tcPr>
          <w:p w14:paraId="61EB7656">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Digital app, loyalty and delivery</w:t>
            </w:r>
          </w:p>
        </w:tc>
        <w:tc>
          <w:tcPr>
            <w:tcW w:w="680" w:type="dxa"/>
            <w:shd w:val="clear" w:color="auto" w:fill="auto"/>
            <w:tcMar>
              <w:top w:w="80" w:type="dxa"/>
              <w:left w:w="100" w:type="dxa"/>
              <w:bottom w:w="80" w:type="dxa"/>
              <w:right w:w="100" w:type="dxa"/>
            </w:tcMar>
            <w:vAlign w:val="center"/>
          </w:tcPr>
          <w:p w14:paraId="23B5F44E">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2AF1E144">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Partly</w:t>
            </w:r>
          </w:p>
        </w:tc>
        <w:tc>
          <w:tcPr>
            <w:tcW w:w="680" w:type="dxa"/>
            <w:shd w:val="clear" w:color="auto" w:fill="auto"/>
            <w:tcMar>
              <w:top w:w="80" w:type="dxa"/>
              <w:left w:w="100" w:type="dxa"/>
              <w:bottom w:w="80" w:type="dxa"/>
              <w:right w:w="100" w:type="dxa"/>
            </w:tcMar>
            <w:vAlign w:val="center"/>
          </w:tcPr>
          <w:p w14:paraId="4532BA6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Partly</w:t>
            </w:r>
          </w:p>
        </w:tc>
        <w:tc>
          <w:tcPr>
            <w:tcW w:w="680" w:type="dxa"/>
            <w:shd w:val="clear" w:color="auto" w:fill="auto"/>
            <w:tcMar>
              <w:top w:w="80" w:type="dxa"/>
              <w:left w:w="100" w:type="dxa"/>
              <w:bottom w:w="80" w:type="dxa"/>
              <w:right w:w="100" w:type="dxa"/>
            </w:tcMar>
            <w:vAlign w:val="center"/>
          </w:tcPr>
          <w:p w14:paraId="0306E8C0">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2835" w:type="dxa"/>
            <w:shd w:val="clear" w:color="auto" w:fill="auto"/>
            <w:tcMar>
              <w:top w:w="80" w:type="dxa"/>
              <w:left w:w="100" w:type="dxa"/>
              <w:bottom w:w="80" w:type="dxa"/>
              <w:right w:w="100" w:type="dxa"/>
            </w:tcMar>
            <w:vAlign w:val="center"/>
          </w:tcPr>
          <w:p w14:paraId="7AB02767">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Temporary advantage / parity risk</w:t>
            </w:r>
          </w:p>
        </w:tc>
      </w:tr>
      <w:tr w14:paraId="5298B609">
        <w:trPr>
          <w:jc w:val="center"/>
        </w:trPr>
        <w:tc>
          <w:tcPr>
            <w:tcW w:w="3458" w:type="dxa"/>
            <w:shd w:val="clear" w:color="auto" w:fill="auto"/>
            <w:tcMar>
              <w:top w:w="80" w:type="dxa"/>
              <w:left w:w="100" w:type="dxa"/>
              <w:bottom w:w="80" w:type="dxa"/>
              <w:right w:w="100" w:type="dxa"/>
            </w:tcMar>
            <w:vAlign w:val="center"/>
          </w:tcPr>
          <w:p w14:paraId="08310E9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Value positioning</w:t>
            </w:r>
          </w:p>
        </w:tc>
        <w:tc>
          <w:tcPr>
            <w:tcW w:w="680" w:type="dxa"/>
            <w:shd w:val="clear" w:color="auto" w:fill="auto"/>
            <w:tcMar>
              <w:top w:w="80" w:type="dxa"/>
              <w:left w:w="100" w:type="dxa"/>
              <w:bottom w:w="80" w:type="dxa"/>
              <w:right w:w="100" w:type="dxa"/>
            </w:tcMar>
            <w:vAlign w:val="center"/>
          </w:tcPr>
          <w:p w14:paraId="0128E700">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42D539C9">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No</w:t>
            </w:r>
          </w:p>
        </w:tc>
        <w:tc>
          <w:tcPr>
            <w:tcW w:w="680" w:type="dxa"/>
            <w:shd w:val="clear" w:color="auto" w:fill="auto"/>
            <w:tcMar>
              <w:top w:w="80" w:type="dxa"/>
              <w:left w:w="100" w:type="dxa"/>
              <w:bottom w:w="80" w:type="dxa"/>
              <w:right w:w="100" w:type="dxa"/>
            </w:tcMar>
            <w:vAlign w:val="center"/>
          </w:tcPr>
          <w:p w14:paraId="4D7DFF48">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No</w:t>
            </w:r>
          </w:p>
        </w:tc>
        <w:tc>
          <w:tcPr>
            <w:tcW w:w="680" w:type="dxa"/>
            <w:shd w:val="clear" w:color="auto" w:fill="auto"/>
            <w:tcMar>
              <w:top w:w="80" w:type="dxa"/>
              <w:left w:w="100" w:type="dxa"/>
              <w:bottom w:w="80" w:type="dxa"/>
              <w:right w:w="100" w:type="dxa"/>
            </w:tcMar>
            <w:vAlign w:val="center"/>
          </w:tcPr>
          <w:p w14:paraId="69E4E994">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2835" w:type="dxa"/>
            <w:shd w:val="clear" w:color="auto" w:fill="auto"/>
            <w:tcMar>
              <w:top w:w="80" w:type="dxa"/>
              <w:left w:w="100" w:type="dxa"/>
              <w:bottom w:w="80" w:type="dxa"/>
              <w:right w:w="100" w:type="dxa"/>
            </w:tcMar>
            <w:vAlign w:val="center"/>
          </w:tcPr>
          <w:p w14:paraId="32D7F33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Competitive parity</w:t>
            </w:r>
          </w:p>
        </w:tc>
      </w:tr>
      <w:tr w14:paraId="2E70D727">
        <w:trPr>
          <w:jc w:val="center"/>
        </w:trPr>
        <w:tc>
          <w:tcPr>
            <w:tcW w:w="3458" w:type="dxa"/>
            <w:shd w:val="clear" w:color="auto" w:fill="auto"/>
            <w:tcMar>
              <w:top w:w="80" w:type="dxa"/>
              <w:left w:w="100" w:type="dxa"/>
              <w:bottom w:w="80" w:type="dxa"/>
              <w:right w:w="100" w:type="dxa"/>
            </w:tcMar>
            <w:vAlign w:val="center"/>
          </w:tcPr>
          <w:p w14:paraId="2DAE69B5">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Sustainability progress</w:t>
            </w:r>
          </w:p>
        </w:tc>
        <w:tc>
          <w:tcPr>
            <w:tcW w:w="680" w:type="dxa"/>
            <w:shd w:val="clear" w:color="auto" w:fill="auto"/>
            <w:tcMar>
              <w:top w:w="80" w:type="dxa"/>
              <w:left w:w="100" w:type="dxa"/>
              <w:bottom w:w="80" w:type="dxa"/>
              <w:right w:w="100" w:type="dxa"/>
            </w:tcMar>
            <w:vAlign w:val="center"/>
          </w:tcPr>
          <w:p w14:paraId="1854CBE2">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680" w:type="dxa"/>
            <w:shd w:val="clear" w:color="auto" w:fill="auto"/>
            <w:tcMar>
              <w:top w:w="80" w:type="dxa"/>
              <w:left w:w="100" w:type="dxa"/>
              <w:bottom w:w="80" w:type="dxa"/>
              <w:right w:w="100" w:type="dxa"/>
            </w:tcMar>
            <w:vAlign w:val="center"/>
          </w:tcPr>
          <w:p w14:paraId="0F1C250A">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Partly</w:t>
            </w:r>
          </w:p>
        </w:tc>
        <w:tc>
          <w:tcPr>
            <w:tcW w:w="680" w:type="dxa"/>
            <w:shd w:val="clear" w:color="auto" w:fill="auto"/>
            <w:tcMar>
              <w:top w:w="80" w:type="dxa"/>
              <w:left w:w="100" w:type="dxa"/>
              <w:bottom w:w="80" w:type="dxa"/>
              <w:right w:w="100" w:type="dxa"/>
            </w:tcMar>
            <w:vAlign w:val="center"/>
          </w:tcPr>
          <w:p w14:paraId="20021B73">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No</w:t>
            </w:r>
          </w:p>
        </w:tc>
        <w:tc>
          <w:tcPr>
            <w:tcW w:w="680" w:type="dxa"/>
            <w:shd w:val="clear" w:color="auto" w:fill="auto"/>
            <w:tcMar>
              <w:top w:w="80" w:type="dxa"/>
              <w:left w:w="100" w:type="dxa"/>
              <w:bottom w:w="80" w:type="dxa"/>
              <w:right w:w="100" w:type="dxa"/>
            </w:tcMar>
            <w:vAlign w:val="center"/>
          </w:tcPr>
          <w:p w14:paraId="6CB136A8">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Yes</w:t>
            </w:r>
          </w:p>
        </w:tc>
        <w:tc>
          <w:tcPr>
            <w:tcW w:w="2835" w:type="dxa"/>
            <w:shd w:val="clear" w:color="auto" w:fill="auto"/>
            <w:tcMar>
              <w:top w:w="80" w:type="dxa"/>
              <w:left w:w="100" w:type="dxa"/>
              <w:bottom w:w="80" w:type="dxa"/>
              <w:right w:w="100" w:type="dxa"/>
            </w:tcMar>
            <w:vAlign w:val="center"/>
          </w:tcPr>
          <w:p w14:paraId="30FB8BF0">
            <w:pP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Reputation support</w:t>
            </w:r>
          </w:p>
        </w:tc>
      </w:tr>
    </w:tbl>
    <w:p w14:paraId="53192E0A">
      <w:pPr>
        <w:spacing w:before="80" w:after="160" w:line="276" w:lineRule="auto"/>
        <w:rPr>
          <w:rFonts w:hint="default" w:ascii="Times New Roman Regular" w:hAnsi="Times New Roman Regular" w:cs="Times New Roman Regular"/>
          <w:sz w:val="28"/>
          <w:szCs w:val="28"/>
        </w:rPr>
      </w:pPr>
      <w:r>
        <w:rPr>
          <w:rFonts w:hint="default" w:ascii="Times New Roman Regular" w:hAnsi="Times New Roman Regular" w:cs="Times New Roman Regular"/>
          <w:b/>
          <w:sz w:val="28"/>
          <w:szCs w:val="28"/>
        </w:rPr>
        <w:t xml:space="preserve">Model summary. </w:t>
      </w:r>
      <w:r>
        <w:rPr>
          <w:rFonts w:hint="default" w:ascii="Times New Roman Regular" w:hAnsi="Times New Roman Regular" w:cs="Times New Roman Regular"/>
          <w:sz w:val="28"/>
          <w:szCs w:val="28"/>
        </w:rPr>
        <w:t>The VRIO analysis indicates that McDonald’s strongest and most defensible advantages lie in its brand, network and operating system, while digital capability remains important but must be renewed continuously because it is no longer rare by itself.</w:t>
      </w:r>
    </w:p>
    <w:p w14:paraId="5E07E67B">
      <w:pPr>
        <w:pStyle w:val="4"/>
        <w:rPr>
          <w:rFonts w:hint="default" w:ascii="Times New Roman Regular" w:hAnsi="Times New Roman Regular" w:cs="Times New Roman Regular"/>
          <w:color w:val="auto"/>
          <w:sz w:val="28"/>
          <w:szCs w:val="28"/>
        </w:rPr>
      </w:pPr>
      <w:bookmarkStart w:id="5" w:name="_Toc539065873"/>
      <w:r>
        <w:rPr>
          <w:rFonts w:hint="default" w:ascii="Times New Roman Regular" w:hAnsi="Times New Roman Regular" w:cs="Times New Roman Regular"/>
          <w:color w:val="auto"/>
          <w:sz w:val="28"/>
          <w:szCs w:val="28"/>
          <w:lang w:eastAsia="zh"/>
          <w:woUserID w:val="1"/>
        </w:rPr>
        <w:t>2.</w:t>
      </w:r>
      <w:r>
        <w:rPr>
          <w:rFonts w:hint="default" w:ascii="Times New Roman Regular" w:hAnsi="Times New Roman Regular" w:cs="Times New Roman Regular"/>
          <w:color w:val="auto"/>
          <w:sz w:val="28"/>
          <w:szCs w:val="28"/>
        </w:rPr>
        <w:t>4 SWOT Analysis</w:t>
      </w:r>
      <w:bookmarkEnd w:id="5"/>
    </w:p>
    <w:p w14:paraId="0C2BC022">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Strengths. </w:t>
      </w:r>
      <w:r>
        <w:rPr>
          <w:rFonts w:hint="default" w:ascii="Times New Roman Regular" w:hAnsi="Times New Roman Regular" w:eastAsia="Times New Roman" w:cs="Times New Roman Regular"/>
          <w:sz w:val="28"/>
          <w:szCs w:val="28"/>
        </w:rPr>
        <w:t>McDonald’s main strengths lie in its scale, brand familiarity, dense store coverage, franchise model and operational consistency. These factors make the brand easy to access and easy to trust, which is important in a market where convenience often matters as much as product quality.</w:t>
      </w:r>
    </w:p>
    <w:p w14:paraId="2CC455A9">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Weaknesses. </w:t>
      </w:r>
      <w:r>
        <w:rPr>
          <w:rFonts w:hint="default" w:ascii="Times New Roman Regular" w:hAnsi="Times New Roman Regular" w:eastAsia="Times New Roman" w:cs="Times New Roman Regular"/>
          <w:sz w:val="28"/>
          <w:szCs w:val="28"/>
        </w:rPr>
        <w:t>Its weaknesses are equally clear. McDonald’s still carries a strong association with unhealthy fast food, which leaves it exposed in a regulatory climate shaped by obesity concerns and public-health intervention. The business is also labour intensive, so wage inflation remains a meaningful pressure on margins.</w:t>
      </w:r>
    </w:p>
    <w:p w14:paraId="17CBBDB1">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Opportunities. </w:t>
      </w:r>
      <w:r>
        <w:rPr>
          <w:rFonts w:hint="default" w:ascii="Times New Roman Regular" w:hAnsi="Times New Roman Regular" w:eastAsia="Times New Roman" w:cs="Times New Roman Regular"/>
          <w:sz w:val="28"/>
          <w:szCs w:val="28"/>
        </w:rPr>
        <w:t>The company’s main opportunities come from adapting faster than smaller rivals. It can use loyalty data to personalise offers, strengthen less regulation-sensitive menu categories, and turn visible sustainability improvements into a source of consumer reassurance. In a market under policy pressure, speed of adaptation matters.</w:t>
      </w:r>
    </w:p>
    <w:p w14:paraId="6867DF6A">
      <w:pPr>
        <w:pStyle w:val="19"/>
        <w:rPr>
          <w:rFonts w:hint="default" w:ascii="Times New Roman Regular" w:hAnsi="Times New Roman Regular" w:cs="Times New Roman Regular"/>
          <w:sz w:val="28"/>
          <w:szCs w:val="28"/>
        </w:rPr>
      </w:pPr>
      <w:r>
        <w:rPr>
          <w:rFonts w:hint="default" w:ascii="Times New Roman Regular" w:hAnsi="Times New Roman Regular" w:eastAsia="Times New Roman" w:cs="Times New Roman Regular"/>
          <w:b/>
          <w:sz w:val="28"/>
          <w:szCs w:val="28"/>
        </w:rPr>
        <w:t xml:space="preserve">Threats. </w:t>
      </w:r>
      <w:r>
        <w:rPr>
          <w:rFonts w:hint="default" w:ascii="Times New Roman Regular" w:hAnsi="Times New Roman Regular" w:eastAsia="Times New Roman" w:cs="Times New Roman Regular"/>
          <w:sz w:val="28"/>
          <w:szCs w:val="28"/>
        </w:rPr>
        <w:t>The major threats are tighter health regulation, continued cost inflation, strong substitutes and intense rivalry from other established chains. Consumers can also switch quickly on price and convenience, which means McDonald’s cannot rely on brand strength alone to protect its future position.</w:t>
      </w:r>
    </w:p>
    <w:p w14:paraId="41594E39">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Table 4. McDonald’s UK SWOT Matrix</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9"/>
        <w:gridCol w:w="4649"/>
      </w:tblGrid>
      <w:tr w14:paraId="7E3198AD">
        <w:trPr>
          <w:jc w:val="center"/>
        </w:trPr>
        <w:tc>
          <w:tcPr>
            <w:tcW w:w="4649" w:type="dxa"/>
            <w:shd w:val="clear" w:color="auto" w:fill="auto"/>
            <w:tcMar>
              <w:top w:w="90" w:type="dxa"/>
              <w:left w:w="110" w:type="dxa"/>
              <w:bottom w:w="90" w:type="dxa"/>
              <w:right w:w="110" w:type="dxa"/>
            </w:tcMar>
            <w:vAlign w:val="center"/>
          </w:tcPr>
          <w:p w14:paraId="38E94ABE">
            <w:pPr>
              <w:spacing w:before="40" w:after="40" w:line="252" w:lineRule="auto"/>
              <w:jc w:val="cente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Strengths</w:t>
            </w:r>
          </w:p>
        </w:tc>
        <w:tc>
          <w:tcPr>
            <w:tcW w:w="4649" w:type="dxa"/>
            <w:shd w:val="clear" w:color="auto" w:fill="auto"/>
            <w:tcMar>
              <w:top w:w="90" w:type="dxa"/>
              <w:left w:w="110" w:type="dxa"/>
              <w:bottom w:w="90" w:type="dxa"/>
              <w:right w:w="110" w:type="dxa"/>
            </w:tcMar>
            <w:vAlign w:val="center"/>
          </w:tcPr>
          <w:p w14:paraId="77DEC1A3">
            <w:pPr>
              <w:spacing w:before="40" w:after="40" w:line="252" w:lineRule="auto"/>
              <w:jc w:val="center"/>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Weaknesses</w:t>
            </w:r>
          </w:p>
        </w:tc>
      </w:tr>
      <w:tr w14:paraId="5A619B50">
        <w:trPr>
          <w:jc w:val="center"/>
        </w:trPr>
        <w:tc>
          <w:tcPr>
            <w:tcW w:w="4649" w:type="dxa"/>
            <w:shd w:val="clear" w:color="auto" w:fill="auto"/>
            <w:tcMar>
              <w:top w:w="90" w:type="dxa"/>
              <w:left w:w="110" w:type="dxa"/>
              <w:bottom w:w="90" w:type="dxa"/>
              <w:right w:w="110" w:type="dxa"/>
            </w:tcMar>
            <w:vAlign w:val="center"/>
          </w:tcPr>
          <w:p w14:paraId="6D9AD5E6">
            <w:pPr>
              <w:spacing w:before="40" w:after="40" w:line="252" w:lineRule="auto"/>
              <w:rPr>
                <w:rFonts w:hint="default" w:ascii="Times New Roman Regular" w:hAnsi="Times New Roman Regular" w:cs="Times New Roman Regular"/>
                <w:color w:val="auto"/>
                <w:sz w:val="28"/>
                <w:szCs w:val="28"/>
              </w:rPr>
            </w:pPr>
          </w:p>
          <w:p w14:paraId="44880988">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Strong brand recognition and trust</w:t>
            </w:r>
          </w:p>
          <w:p w14:paraId="0EEFA4A1">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Extensive UK and Ireland network</w:t>
            </w:r>
          </w:p>
          <w:p w14:paraId="0FEEA24D">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Franchise-led scale and operational discipline</w:t>
            </w:r>
          </w:p>
          <w:p w14:paraId="777514A0">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Strong convenience proposition across dine-in, takeaway and delivery</w:t>
            </w:r>
          </w:p>
        </w:tc>
        <w:tc>
          <w:tcPr>
            <w:tcW w:w="4649" w:type="dxa"/>
            <w:shd w:val="clear" w:color="auto" w:fill="auto"/>
            <w:tcMar>
              <w:top w:w="90" w:type="dxa"/>
              <w:left w:w="110" w:type="dxa"/>
              <w:bottom w:w="90" w:type="dxa"/>
              <w:right w:w="110" w:type="dxa"/>
            </w:tcMar>
            <w:vAlign w:val="center"/>
          </w:tcPr>
          <w:p w14:paraId="36AE99F5">
            <w:pPr>
              <w:spacing w:before="40" w:after="40" w:line="252" w:lineRule="auto"/>
              <w:rPr>
                <w:rFonts w:hint="default" w:ascii="Times New Roman Regular" w:hAnsi="Times New Roman Regular" w:cs="Times New Roman Regular"/>
                <w:color w:val="auto"/>
                <w:sz w:val="28"/>
                <w:szCs w:val="28"/>
              </w:rPr>
            </w:pPr>
          </w:p>
          <w:p w14:paraId="08FC630D">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Strong association with unhealthy fast food</w:t>
            </w:r>
          </w:p>
          <w:p w14:paraId="06C61148">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Labour-intensive model exposed to wage increases</w:t>
            </w:r>
          </w:p>
          <w:p w14:paraId="63833C54">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Some visible strengths, such as app ordering, are becoming industry norms</w:t>
            </w:r>
          </w:p>
          <w:p w14:paraId="39B77DC8">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Regulatory exposure around menu promotion and health positioning</w:t>
            </w:r>
          </w:p>
        </w:tc>
      </w:tr>
      <w:tr w14:paraId="7CB413C1">
        <w:trPr>
          <w:jc w:val="center"/>
        </w:trPr>
        <w:tc>
          <w:tcPr>
            <w:tcW w:w="4649" w:type="dxa"/>
            <w:shd w:val="clear" w:color="auto" w:fill="auto"/>
            <w:tcMar>
              <w:top w:w="90" w:type="dxa"/>
              <w:left w:w="110" w:type="dxa"/>
              <w:bottom w:w="90" w:type="dxa"/>
              <w:right w:w="110" w:type="dxa"/>
            </w:tcMar>
            <w:vAlign w:val="center"/>
          </w:tcPr>
          <w:p w14:paraId="7B0CCBC1">
            <w:pPr>
              <w:spacing w:before="40" w:after="40" w:line="252" w:lineRule="auto"/>
              <w:rPr>
                <w:rFonts w:hint="default" w:ascii="Times New Roman Regular" w:hAnsi="Times New Roman Regular" w:cs="Times New Roman Regular"/>
                <w:color w:val="auto"/>
                <w:sz w:val="28"/>
                <w:szCs w:val="28"/>
              </w:rPr>
            </w:pPr>
          </w:p>
          <w:p w14:paraId="63307705">
            <w:pPr>
              <w:spacing w:before="40" w:after="40" w:line="252"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Opportunities</w:t>
            </w:r>
          </w:p>
          <w:p w14:paraId="0CDD971D">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Use loyalty data to sharpen personalised offers</w:t>
            </w:r>
          </w:p>
          <w:p w14:paraId="1EF898A3">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Expand categories less exposed to regulation</w:t>
            </w:r>
          </w:p>
          <w:p w14:paraId="66A750A3">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Turn sustainability progress into trust and legitimacy</w:t>
            </w:r>
          </w:p>
          <w:p w14:paraId="2565B76E">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Out-adapt smaller competitors in compliance and execution</w:t>
            </w:r>
          </w:p>
        </w:tc>
        <w:tc>
          <w:tcPr>
            <w:tcW w:w="4649" w:type="dxa"/>
            <w:shd w:val="clear" w:color="auto" w:fill="auto"/>
            <w:tcMar>
              <w:top w:w="90" w:type="dxa"/>
              <w:left w:w="110" w:type="dxa"/>
              <w:bottom w:w="90" w:type="dxa"/>
              <w:right w:w="110" w:type="dxa"/>
            </w:tcMar>
            <w:vAlign w:val="center"/>
          </w:tcPr>
          <w:p w14:paraId="2AF5C826">
            <w:pPr>
              <w:spacing w:before="40" w:after="40" w:line="252" w:lineRule="auto"/>
              <w:rPr>
                <w:rFonts w:hint="default" w:ascii="Times New Roman Regular" w:hAnsi="Times New Roman Regular" w:cs="Times New Roman Regular"/>
                <w:color w:val="auto"/>
                <w:sz w:val="28"/>
                <w:szCs w:val="28"/>
              </w:rPr>
            </w:pPr>
          </w:p>
          <w:p w14:paraId="6502D75E">
            <w:pPr>
              <w:spacing w:before="40" w:after="40" w:line="252"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b/>
                <w:color w:val="auto"/>
                <w:sz w:val="28"/>
                <w:szCs w:val="28"/>
              </w:rPr>
              <w:t>Threats</w:t>
            </w:r>
          </w:p>
          <w:p w14:paraId="7F28D50D">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Further tightening of health and HFSS regulation</w:t>
            </w:r>
          </w:p>
          <w:p w14:paraId="42346CDA">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Persistent food and labour cost pressure</w:t>
            </w:r>
          </w:p>
          <w:p w14:paraId="080CB6A2">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Strong substitutes and intense rivalry</w:t>
            </w:r>
          </w:p>
          <w:p w14:paraId="17A4AB5A">
            <w:pPr>
              <w:pStyle w:val="19"/>
              <w:spacing w:before="40" w:after="40" w:line="252" w:lineRule="auto"/>
              <w:ind w:left="142"/>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 Consumers can switch quickly on price and convenience</w:t>
            </w:r>
          </w:p>
        </w:tc>
      </w:tr>
    </w:tbl>
    <w:p w14:paraId="6F74B8C9">
      <w:pPr>
        <w:spacing w:before="80" w:after="160" w:line="276" w:lineRule="auto"/>
        <w:rPr>
          <w:rFonts w:hint="default" w:ascii="Times New Roman Regular" w:hAnsi="Times New Roman Regular" w:cs="Times New Roman Regular"/>
          <w:sz w:val="28"/>
          <w:szCs w:val="28"/>
        </w:rPr>
      </w:pPr>
      <w:r>
        <w:rPr>
          <w:rFonts w:hint="default" w:ascii="Times New Roman Regular" w:hAnsi="Times New Roman Regular" w:cs="Times New Roman Regular"/>
          <w:b/>
          <w:sz w:val="28"/>
          <w:szCs w:val="28"/>
        </w:rPr>
        <w:t xml:space="preserve">Model summary. </w:t>
      </w:r>
      <w:r>
        <w:rPr>
          <w:rFonts w:hint="default" w:ascii="Times New Roman Regular" w:hAnsi="Times New Roman Regular" w:cs="Times New Roman Regular"/>
          <w:sz w:val="28"/>
          <w:szCs w:val="28"/>
        </w:rPr>
        <w:t>Overall, the SWOT analysis presents McDonald’s as a strong but increasingly defensive market leader whose future performance will depend on how well it protects value, responds to regulation and keeps its convenience proposition relevant.</w:t>
      </w:r>
    </w:p>
    <w:p w14:paraId="118CF3C9">
      <w:pPr>
        <w:pStyle w:val="3"/>
        <w:rPr>
          <w:rFonts w:hint="default" w:ascii="Times New Roman Regular" w:hAnsi="Times New Roman Regular" w:cs="Times New Roman Regular"/>
          <w:color w:val="auto"/>
          <w:sz w:val="28"/>
          <w:szCs w:val="28"/>
        </w:rPr>
      </w:pPr>
      <w:bookmarkStart w:id="6" w:name="_Toc329441146"/>
      <w:r>
        <w:rPr>
          <w:rFonts w:hint="default" w:ascii="Times New Roman Regular" w:hAnsi="Times New Roman Regular" w:cs="Times New Roman Regular"/>
          <w:color w:val="auto"/>
          <w:sz w:val="28"/>
          <w:szCs w:val="28"/>
        </w:rPr>
        <w:t>Conclusions</w:t>
      </w:r>
      <w:bookmarkEnd w:id="6"/>
    </w:p>
    <w:p w14:paraId="00CF73EA">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The analysis in this report suggests that McDonald’s UK remains strongly positioned, but not comfortably so. The external environment is becoming more restrictive and more expensive. Health regulation is tighter, labour costs are rising and buyer power remains high. At the same time, the industry structure is unforgiving. Rivalry is intense, substitutes are plentiful and many of the tools that once appeared innovative, such as app-based ordering and loyalty, are becoming expected across the sector.</w:t>
      </w:r>
    </w:p>
    <w:p w14:paraId="4E93609A">
      <w:pPr>
        <w:pStyle w:val="19"/>
        <w:spacing w:after="120" w:line="276" w:lineRule="auto"/>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McDonald’s still possesses meaningful advantages. Its brand, physical scale, franchise system and operational consistency remain strategically important, and they are more durable than some of the more visible features of contemporary fast-food marketing. However, future success will depend less on sheer size and more on how intelligently the firm uses it. In practical terms, that means defending value without relying too heavily on discounting, using digital tools without overestimating their rarity, and continuing to build legitimacy in a market where health and sustainability expectations are unlikely to weaken. McDonald’s remains strong, but its strength now has to be renewed rather than assumed.</w:t>
      </w:r>
    </w:p>
    <w:p w14:paraId="3A03CE36">
      <w:pPr>
        <w:pStyle w:val="3"/>
        <w:rPr>
          <w:rFonts w:hint="default" w:ascii="Times New Roman Regular" w:hAnsi="Times New Roman Regular" w:cs="Times New Roman Regular"/>
          <w:color w:val="auto"/>
          <w:sz w:val="28"/>
          <w:szCs w:val="28"/>
        </w:rPr>
      </w:pPr>
      <w:bookmarkStart w:id="7" w:name="_Toc823515759"/>
      <w:r>
        <w:rPr>
          <w:rFonts w:hint="default" w:ascii="Times New Roman Regular" w:hAnsi="Times New Roman Regular" w:cs="Times New Roman Regular"/>
          <w:color w:val="auto"/>
          <w:sz w:val="28"/>
          <w:szCs w:val="28"/>
        </w:rPr>
        <w:t>References</w:t>
      </w:r>
      <w:bookmarkEnd w:id="7"/>
    </w:p>
    <w:p w14:paraId="1C29BD0A">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Barney, J.B. (1991) 'Firm resources and sustained competitive advantage', Journal of Management, 17(1), pp. 99–120. doi: 10.1177/014920639101700108.</w:t>
      </w:r>
    </w:p>
    <w:p w14:paraId="7A47FA76">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Bonfanti, A., Rossato, C., Vigolo, V. and Vargas-Sánchez, A. (2023) 'Improving online food ordering and delivery service quality by managing customer expectations: evidence from Italy', British Food Journal, 125(13), pp. 164–182. doi: 10.1108/BFJ-08-2022-0694.</w:t>
      </w:r>
    </w:p>
    <w:p w14:paraId="5181C1FC">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Department of Health and Social Care (2021) Calorie labelling in the out of home sector: implementation guidance. London: GOV.UK.</w:t>
      </w:r>
    </w:p>
    <w:p w14:paraId="1D34650D">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Department of Health and Social Care (2024) Restricting advertising of less healthy food or drink on TV and online: products in scope. London: GOV.UK.</w:t>
      </w:r>
    </w:p>
    <w:p w14:paraId="44A5B5E2">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Domino’s Pizza Group (2025) Preliminary results for the 52 weeks ended 29 December 2024. Milton Keynes: Domino’s Pizza Group.</w:t>
      </w:r>
    </w:p>
    <w:p w14:paraId="7CE446B6">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HM Government (2025) Minimum wage rates for 2026. London: GOV.UK.</w:t>
      </w:r>
    </w:p>
    <w:p w14:paraId="0C6E917E">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KFC UK &amp; Ireland (2025) About KFC. Available at: KFC UK website. Accessed 18 March 2026.</w:t>
      </w:r>
    </w:p>
    <w:p w14:paraId="7669352C">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Lin, P.M.C., Au, W.C.W. and Baum, T. (2024) 'Service quality of online food delivery mobile application: an examination of the spillover effects of mobile app satisfaction', International Journal of Contemporary Hospitality Management, 36(3), pp. 906–926. doi: 10.1108/IJCHM-09-2022-1103.</w:t>
      </w:r>
    </w:p>
    <w:p w14:paraId="30C4FAEC">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McDonald’s Corporation (2025) Purpose &amp; Impact Report 2024–2025. Chicago: McDonald’s Corporation.</w:t>
      </w:r>
    </w:p>
    <w:p w14:paraId="5BA92510">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McDonald’s Corporation (2026) Fourth quarter and full year 2025 results. Chicago: McDonald’s Corporation.</w:t>
      </w:r>
    </w:p>
    <w:p w14:paraId="13148CCB">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McDonald’s UK &amp; Ireland (2025) Corporate information and newsroom materials. Available at: McDonald’s UK &amp; Ireland website. Accessed 18 March 2026.</w:t>
      </w:r>
    </w:p>
    <w:p w14:paraId="7F67C68B">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Nguyen, Q., Nisar, T.M., Knox, D. and Prabhakar, G.P. (2018) 'Understanding customer satisfaction in the UK quick service restaurant industry: the influence of the tangible attributes of perceived service quality', British Food Journal, 120(6), pp. 1207–1222. doi: 10.1108/BFJ-08-2017-0449.</w:t>
      </w:r>
    </w:p>
    <w:p w14:paraId="4BD11F85">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Office for National Statistics (2026a) Consumer price inflation, UK: December 2025. Newport: ONS.</w:t>
      </w:r>
    </w:p>
    <w:p w14:paraId="50F9831D">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Office for National Statistics (2026b) GDP monthly estimate, UK: January 2026. Newport: ONS.</w:t>
      </w:r>
    </w:p>
    <w:p w14:paraId="60E7687B">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Pineda, E., Stockton, J., Scholes, S., Lassale, C. and Mindell, J.S. (2024) 'Food environment and obesity: a systematic review and meta-analysis', BMJ Nutrition, Prevention &amp; Health, 7(1), pp. 204–211. doi: 10.1136/bmjnph-2023-000663.</w:t>
      </w:r>
    </w:p>
    <w:p w14:paraId="20056895">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Porter, M.E. (2008) 'The five competitive forces that shape strategy', Harvard Business Review, 86(1), pp. 78–93.</w:t>
      </w:r>
    </w:p>
    <w:p w14:paraId="46096A11">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Mendocilla, M., Miravitlles Matamoros, P. and Matute, J. (2021) ‘QUICKSERV: a service quality assessment tool for the quick-service restaurant industry’, British Food Journal, 123(13), pp. 241–259. doi: 10.1108/BFJ-12-2020-1108.</w:t>
      </w:r>
    </w:p>
    <w:p w14:paraId="6E5C22DC">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Veas-González, I., Carrión-Bósquez, N.G., Serrano-Malebran, J., Veneros-Alquinta, D., García-Umaña, A. and Campusano-Campusano, M. (2024) ‘Exploring the moderating effect of brand image on the relationship between customer satisfaction and repurchase intentions in the fast-food industry’, British Food Journal, 126, pp. 2714–2731. doi: 10.1108/BFJ-01-2024-0077.</w:t>
      </w:r>
    </w:p>
    <w:p w14:paraId="53F4619E">
      <w:pPr>
        <w:pStyle w:val="19"/>
        <w:spacing w:after="60" w:line="240" w:lineRule="auto"/>
        <w:ind w:left="0" w:hanging="425"/>
        <w:rPr>
          <w:rFonts w:hint="default" w:ascii="Times New Roman Regular" w:hAnsi="Times New Roman Regular" w:cs="Times New Roman Regular"/>
          <w:color w:val="auto"/>
          <w:sz w:val="28"/>
          <w:szCs w:val="28"/>
        </w:rPr>
      </w:pPr>
      <w:r>
        <w:rPr>
          <w:rFonts w:hint="default" w:ascii="Times New Roman Regular" w:hAnsi="Times New Roman Regular" w:cs="Times New Roman Regular"/>
          <w:color w:val="auto"/>
          <w:sz w:val="28"/>
          <w:szCs w:val="28"/>
        </w:rPr>
        <w:t>Foroughi, B., Yadegaridehkordi, E., Iranmanesh, M., Sukcharoen, T., Ghobakhloo, M. and Nilashi, M. (2024) ‘Determinants of continuance intention to use food delivery apps: findings from PLS and fsQCA’, International Journal of Contemporary Hospitality Management, 36(4), pp. 1235–1261. doi: 10.1108/IJCHM-10-2022-1209.</w:t>
      </w:r>
    </w:p>
    <w:p w14:paraId="32C0D293">
      <w:pPr>
        <w:pStyle w:val="19"/>
        <w:spacing w:after="60" w:line="240" w:lineRule="auto"/>
        <w:ind w:left="0" w:hanging="425"/>
        <w:rPr>
          <w:rFonts w:hint="default" w:ascii="Times New Roman Regular" w:hAnsi="Times New Roman Regular" w:eastAsia="宋体" w:cs="Times New Roman Regular"/>
          <w:sz w:val="28"/>
          <w:szCs w:val="28"/>
          <w:woUserID w:val="1"/>
        </w:rPr>
      </w:pPr>
      <w:r>
        <w:rPr>
          <w:rFonts w:hint="default" w:ascii="Times New Roman Regular" w:hAnsi="Times New Roman Regular" w:eastAsia="宋体" w:cs="Times New Roman Regular"/>
          <w:sz w:val="28"/>
          <w:szCs w:val="28"/>
          <w:woUserID w:val="1"/>
        </w:rPr>
        <w:t xml:space="preserve">García Bulle Bueno, B., Horn, A.L., Bell, B.M. </w:t>
      </w:r>
      <w:r>
        <w:rPr>
          <w:rStyle w:val="136"/>
          <w:rFonts w:hint="default" w:ascii="Times New Roman Regular" w:hAnsi="Times New Roman Regular" w:eastAsia="宋体" w:cs="Times New Roman Regular"/>
          <w:sz w:val="28"/>
          <w:szCs w:val="28"/>
          <w:woUserID w:val="1"/>
        </w:rPr>
        <w:t>et al.</w:t>
      </w:r>
      <w:r>
        <w:rPr>
          <w:rFonts w:hint="default" w:ascii="Times New Roman Regular" w:hAnsi="Times New Roman Regular" w:eastAsia="宋体" w:cs="Times New Roman Regular"/>
          <w:sz w:val="28"/>
          <w:szCs w:val="28"/>
          <w:woUserID w:val="1"/>
        </w:rPr>
        <w:t xml:space="preserve"> (2024) ‘Effect of mobile food environments on fast food visits’, </w:t>
      </w:r>
      <w:r>
        <w:rPr>
          <w:rStyle w:val="136"/>
          <w:rFonts w:hint="default" w:ascii="Times New Roman Regular" w:hAnsi="Times New Roman Regular" w:eastAsia="宋体" w:cs="Times New Roman Regular"/>
          <w:sz w:val="28"/>
          <w:szCs w:val="28"/>
          <w:woUserID w:val="1"/>
        </w:rPr>
        <w:t>Nature Communications</w:t>
      </w:r>
      <w:r>
        <w:rPr>
          <w:rFonts w:hint="default" w:ascii="Times New Roman Regular" w:hAnsi="Times New Roman Regular" w:eastAsia="宋体" w:cs="Times New Roman Regular"/>
          <w:sz w:val="28"/>
          <w:szCs w:val="28"/>
          <w:woUserID w:val="1"/>
        </w:rPr>
        <w:t>, 15(1), 2291. doi: 10.1038/s41467-024-46425-2.</w:t>
      </w:r>
    </w:p>
    <w:p w14:paraId="5207D582">
      <w:pPr>
        <w:pStyle w:val="19"/>
        <w:spacing w:after="60" w:line="240" w:lineRule="auto"/>
        <w:ind w:left="0" w:hanging="425"/>
        <w:rPr>
          <w:rFonts w:hint="default" w:ascii="Times New Roman Regular" w:hAnsi="Times New Roman Regular" w:eastAsia="宋体" w:cs="Times New Roman Regular"/>
          <w:sz w:val="28"/>
          <w:szCs w:val="28"/>
          <w:woUserID w:val="1"/>
        </w:rPr>
      </w:pPr>
      <w:r>
        <w:rPr>
          <w:rFonts w:hint="default" w:ascii="Times New Roman Regular" w:hAnsi="Times New Roman Regular" w:eastAsia="宋体" w:cs="Times New Roman Regular"/>
          <w:sz w:val="28"/>
          <w:szCs w:val="28"/>
          <w:woUserID w:val="1"/>
        </w:rPr>
        <w:t>Johnstone, A.M., Lonnie, M. and FIO Food project team (2024) ‘Tackling diet inequalities in the UK food system: is food insecurity driving the obesity epidemic? (The FIO Food project)’, Proceedings of the Nutrition Society, 83(3), pp. 133–141. doi: 10.1017/S0029665123004871.</w:t>
      </w:r>
    </w:p>
    <w:sectPr>
      <w:footerReference r:id="rId5" w:type="default"/>
      <w:pgSz w:w="11906" w:h="16838"/>
      <w:pgMar w:top="1247" w:right="1304" w:bottom="1247" w:left="1304"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Aptos">
    <w:altName w:val="Helvetica Neue"/>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ＭＳ 明朝">
    <w:altName w:val="Hiragino Sans"/>
    <w:panose1 w:val="00000000000000000000"/>
    <w:charset w:val="80"/>
    <w:family w:val="roman"/>
    <w:pitch w:val="default"/>
    <w:sig w:usb0="00000000" w:usb1="00000000" w:usb2="00000010" w:usb3="00000000" w:csb0="00020000" w:csb1="00000000"/>
  </w:font>
  <w:font w:name="Hiragino Sans">
    <w:panose1 w:val="020B0300000000000000"/>
    <w:charset w:val="80"/>
    <w:family w:val="auto"/>
    <w:pitch w:val="default"/>
    <w:sig w:usb0="E00002FF" w:usb1="7AE7FFFF" w:usb2="00000012" w:usb3="00000000" w:csb0="0002000D" w:csb1="00000000"/>
  </w:font>
  <w:font w:name="ＭＳ ゴシック">
    <w:altName w:val="Hiragino Sans"/>
    <w:panose1 w:val="00000000000000000000"/>
    <w:charset w:val="80"/>
    <w:family w:val="modern"/>
    <w:pitch w:val="default"/>
    <w:sig w:usb0="00000000" w:usb1="00000000" w:usb2="00000010" w:usb3="00000000" w:csb0="00020000" w:csb1="00000000"/>
  </w:font>
  <w:font w:name="Courier">
    <w:altName w:val="苹方-简"/>
    <w:panose1 w:val="02000500000000000000"/>
    <w:charset w:val="00"/>
    <w:family w:val="auto"/>
    <w:pitch w:val="default"/>
    <w:sig w:usb0="00000000" w:usb1="0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Cambria">
    <w:altName w:val="苹方-简"/>
    <w:panose1 w:val="02040503050406030204"/>
    <w:charset w:val="00"/>
    <w:family w:val="auto"/>
    <w:pitch w:val="default"/>
    <w:sig w:usb0="00000000" w:usb1="00000000" w:usb2="00000000" w:usb3="00000000" w:csb0="0000019F" w:csb1="00000000"/>
  </w:font>
  <w:font w:name="Times New Roman Regular">
    <w:panose1 w:val="02020503050405090304"/>
    <w:charset w:val="00"/>
    <w:family w:val="auto"/>
    <w:pitch w:val="default"/>
    <w:sig w:usb0="E0000AFF" w:usb1="00007843" w:usb2="00000001" w:usb3="00000000" w:csb0="400001BF" w:csb1="DFF70000"/>
  </w:font>
  <w:font w:name="ＭＳ 明朝">
    <w:altName w:val="Hiragino Sans"/>
    <w:panose1 w:val="00000000000000000000"/>
    <w:charset w:val="00"/>
    <w:family w:val="auto"/>
    <w:pitch w:val="default"/>
    <w:sig w:usb0="00000000" w:usb1="00000000" w:usb2="00000000" w:usb3="00000000" w:csb0="00000000" w:csb1="00000000"/>
  </w:font>
  <w:font w:name="ＭＳ ゴシック">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汉仪中黑KW">
    <w:panose1 w:val="00020600040101010101"/>
    <w:charset w:val="86"/>
    <w:family w:val="auto"/>
    <w:pitch w:val="default"/>
    <w:sig w:usb0="A00002BF" w:usb1="18EF7CFA" w:usb2="00000016"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F167DCD">
    <w:pPr>
      <w:pStyle w:val="24"/>
    </w:pPr>
    <w:r>
      <w:rPr>
        <w:sz w:val="22"/>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431544C">
                          <w:pPr>
                            <w:pStyle w:val="2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6431544C">
                    <w:pPr>
                      <w:pStyle w:val="2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dit="readOnly"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17EFD31D"/>
    <w:rsid w:val="37FF6204"/>
    <w:rsid w:val="3BDE9A6B"/>
    <w:rsid w:val="3DFFB674"/>
    <w:rsid w:val="3FC6C965"/>
    <w:rsid w:val="4FFFD9E5"/>
    <w:rsid w:val="6EFB0888"/>
    <w:rsid w:val="6FDFD4C8"/>
    <w:rsid w:val="795FDA76"/>
    <w:rsid w:val="79FF609B"/>
    <w:rsid w:val="7BF7444E"/>
    <w:rsid w:val="7DF71BE0"/>
    <w:rsid w:val="7E3FD211"/>
    <w:rsid w:val="7F7FC162"/>
    <w:rsid w:val="7F8FEABE"/>
    <w:rsid w:val="7FFCD224"/>
    <w:rsid w:val="8FDD701D"/>
    <w:rsid w:val="9F5F27F2"/>
    <w:rsid w:val="ABBBBB0A"/>
    <w:rsid w:val="BEF75BD4"/>
    <w:rsid w:val="BFFE553F"/>
    <w:rsid w:val="C6E9FA53"/>
    <w:rsid w:val="E5DDF3A3"/>
    <w:rsid w:val="FB8AC9E9"/>
    <w:rsid w:val="FEBB6FF3"/>
    <w:rsid w:val="FFBFB89A"/>
    <w:rsid w:val="FFFE8FE7"/>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qFormat="1"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276" w:lineRule="auto"/>
    </w:pPr>
    <w:rPr>
      <w:rFonts w:ascii="Aptos" w:hAnsi="Aptos" w:eastAsiaTheme="minorEastAsia" w:cstheme="minorBidi"/>
      <w:sz w:val="22"/>
      <w:szCs w:val="22"/>
      <w:lang w:val="en-US" w:eastAsia="en-US" w:bidi="ar-SA"/>
    </w:rPr>
  </w:style>
  <w:style w:type="paragraph" w:styleId="3">
    <w:name w:val="heading 1"/>
    <w:basedOn w:val="1"/>
    <w:next w:val="1"/>
    <w:link w:val="140"/>
    <w:qFormat/>
    <w:uiPriority w:val="9"/>
    <w:pPr>
      <w:keepNext/>
      <w:keepLines/>
      <w:spacing w:before="240" w:after="80"/>
      <w:outlineLvl w:val="0"/>
    </w:pPr>
    <w:rPr>
      <w:rFonts w:asciiTheme="majorHAnsi" w:hAnsiTheme="majorHAnsi" w:eastAsiaTheme="majorEastAsia" w:cstheme="majorBidi"/>
      <w:b/>
      <w:bCs/>
      <w:color w:val="1F4E79"/>
      <w:sz w:val="32"/>
      <w:szCs w:val="28"/>
    </w:rPr>
  </w:style>
  <w:style w:type="paragraph" w:styleId="4">
    <w:name w:val="heading 2"/>
    <w:basedOn w:val="1"/>
    <w:next w:val="1"/>
    <w:link w:val="141"/>
    <w:unhideWhenUsed/>
    <w:qFormat/>
    <w:uiPriority w:val="9"/>
    <w:pPr>
      <w:keepNext/>
      <w:keepLines/>
      <w:spacing w:before="160" w:after="60"/>
      <w:outlineLvl w:val="1"/>
    </w:pPr>
    <w:rPr>
      <w:rFonts w:asciiTheme="majorHAnsi" w:hAnsiTheme="majorHAnsi" w:eastAsiaTheme="majorEastAsia" w:cstheme="majorBidi"/>
      <w:b/>
      <w:bCs/>
      <w:color w:val="2F2F2F"/>
      <w:sz w:val="26"/>
      <w:szCs w:val="26"/>
    </w:rPr>
  </w:style>
  <w:style w:type="paragraph" w:styleId="5">
    <w:name w:val="heading 3"/>
    <w:basedOn w:val="1"/>
    <w:next w:val="1"/>
    <w:link w:val="142"/>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2"/>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3"/>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4"/>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5"/>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6"/>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7"/>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4">
    <w:name w:val="Default Paragraph Font"/>
    <w:semiHidden/>
    <w:unhideWhenUsed/>
    <w:qFormat/>
    <w:uiPriority w:val="1"/>
  </w:style>
  <w:style w:type="table" w:default="1" w:styleId="34">
    <w:name w:val="Normal Table"/>
    <w:semiHidden/>
    <w:unhideWhenUsed/>
    <w:qFormat/>
    <w:uiPriority w:val="99"/>
    <w:tblPr>
      <w:tblCellMar>
        <w:top w:w="0" w:type="dxa"/>
        <w:left w:w="108" w:type="dxa"/>
        <w:bottom w:w="0" w:type="dxa"/>
        <w:right w:w="108" w:type="dxa"/>
      </w:tblCellMar>
    </w:tblPr>
  </w:style>
  <w:style w:type="paragraph" w:styleId="2">
    <w:name w:val="macro"/>
    <w:link w:val="149"/>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qFormat/>
    <w:uiPriority w:val="99"/>
    <w:pPr>
      <w:ind w:left="1080" w:hanging="360"/>
      <w:contextualSpacing/>
    </w:pPr>
  </w:style>
  <w:style w:type="paragraph" w:styleId="13">
    <w:name w:val="List Number 2"/>
    <w:basedOn w:val="1"/>
    <w:unhideWhenUsed/>
    <w:qFormat/>
    <w:uiPriority w:val="99"/>
    <w:pPr>
      <w:numPr>
        <w:ilvl w:val="0"/>
        <w:numId w:val="1"/>
      </w:numPr>
      <w:contextualSpacing/>
    </w:pPr>
  </w:style>
  <w:style w:type="paragraph" w:styleId="14">
    <w:name w:val="List Number"/>
    <w:basedOn w:val="1"/>
    <w:unhideWhenUsed/>
    <w:qFormat/>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qFormat/>
    <w:uiPriority w:val="99"/>
    <w:pPr>
      <w:numPr>
        <w:ilvl w:val="0"/>
        <w:numId w:val="3"/>
      </w:numPr>
      <w:contextualSpacing/>
    </w:pPr>
  </w:style>
  <w:style w:type="paragraph" w:styleId="17">
    <w:name w:val="Body Text 3"/>
    <w:basedOn w:val="1"/>
    <w:link w:val="148"/>
    <w:unhideWhenUsed/>
    <w:qFormat/>
    <w:uiPriority w:val="99"/>
    <w:pPr>
      <w:spacing w:after="120"/>
    </w:pPr>
    <w:rPr>
      <w:sz w:val="16"/>
      <w:szCs w:val="16"/>
    </w:rPr>
  </w:style>
  <w:style w:type="paragraph" w:styleId="18">
    <w:name w:val="List Bullet 3"/>
    <w:basedOn w:val="1"/>
    <w:unhideWhenUsed/>
    <w:qFormat/>
    <w:uiPriority w:val="99"/>
    <w:pPr>
      <w:numPr>
        <w:ilvl w:val="0"/>
        <w:numId w:val="4"/>
      </w:numPr>
      <w:contextualSpacing/>
    </w:pPr>
  </w:style>
  <w:style w:type="paragraph" w:styleId="19">
    <w:name w:val="Body Text"/>
    <w:basedOn w:val="1"/>
    <w:link w:val="146"/>
    <w:unhideWhenUsed/>
    <w:qFormat/>
    <w:uiPriority w:val="99"/>
    <w:pPr>
      <w:spacing w:after="120"/>
    </w:pPr>
    <w:rPr>
      <w:rFonts w:ascii="Aptos" w:hAnsi="Aptos"/>
    </w:rPr>
  </w:style>
  <w:style w:type="paragraph" w:styleId="20">
    <w:name w:val="List Number 3"/>
    <w:basedOn w:val="1"/>
    <w:unhideWhenUsed/>
    <w:qFormat/>
    <w:uiPriority w:val="99"/>
    <w:pPr>
      <w:numPr>
        <w:ilvl w:val="0"/>
        <w:numId w:val="5"/>
      </w:numPr>
      <w:contextualSpacing/>
    </w:pPr>
  </w:style>
  <w:style w:type="paragraph" w:styleId="21">
    <w:name w:val="List 2"/>
    <w:basedOn w:val="1"/>
    <w:unhideWhenUsed/>
    <w:qFormat/>
    <w:uiPriority w:val="99"/>
    <w:pPr>
      <w:ind w:left="720" w:hanging="360"/>
      <w:contextualSpacing/>
    </w:pPr>
  </w:style>
  <w:style w:type="paragraph" w:styleId="22">
    <w:name w:val="List Continue"/>
    <w:basedOn w:val="1"/>
    <w:unhideWhenUsed/>
    <w:qFormat/>
    <w:uiPriority w:val="99"/>
    <w:pPr>
      <w:spacing w:after="120"/>
      <w:ind w:left="360"/>
      <w:contextualSpacing/>
    </w:pPr>
  </w:style>
  <w:style w:type="paragraph" w:styleId="23">
    <w:name w:val="List Bullet 2"/>
    <w:basedOn w:val="1"/>
    <w:unhideWhenUsed/>
    <w:qFormat/>
    <w:uiPriority w:val="99"/>
    <w:pPr>
      <w:numPr>
        <w:ilvl w:val="0"/>
        <w:numId w:val="6"/>
      </w:numPr>
      <w:contextualSpacing/>
    </w:pPr>
  </w:style>
  <w:style w:type="paragraph" w:styleId="24">
    <w:name w:val="footer"/>
    <w:basedOn w:val="1"/>
    <w:link w:val="138"/>
    <w:unhideWhenUsed/>
    <w:qFormat/>
    <w:uiPriority w:val="99"/>
    <w:pPr>
      <w:tabs>
        <w:tab w:val="center" w:pos="4680"/>
        <w:tab w:val="right" w:pos="9360"/>
      </w:tabs>
      <w:spacing w:after="0" w:line="240" w:lineRule="auto"/>
    </w:pPr>
  </w:style>
  <w:style w:type="paragraph" w:styleId="25">
    <w:name w:val="header"/>
    <w:basedOn w:val="1"/>
    <w:link w:val="137"/>
    <w:unhideWhenUsed/>
    <w:qFormat/>
    <w:uiPriority w:val="99"/>
    <w:pPr>
      <w:tabs>
        <w:tab w:val="center" w:pos="4680"/>
        <w:tab w:val="right" w:pos="9360"/>
      </w:tabs>
      <w:spacing w:after="0" w:line="240" w:lineRule="auto"/>
    </w:pPr>
  </w:style>
  <w:style w:type="paragraph" w:styleId="26">
    <w:name w:val="toc 1"/>
    <w:basedOn w:val="1"/>
    <w:next w:val="1"/>
    <w:semiHidden/>
    <w:unhideWhenUsed/>
    <w:qFormat/>
    <w:uiPriority w:val="39"/>
  </w:style>
  <w:style w:type="paragraph" w:styleId="27">
    <w:name w:val="Subtitle"/>
    <w:basedOn w:val="1"/>
    <w:next w:val="1"/>
    <w:link w:val="144"/>
    <w:qFormat/>
    <w:uiPriority w:val="11"/>
    <w:rPr>
      <w:rFonts w:asciiTheme="majorHAnsi" w:hAnsiTheme="majorHAnsi" w:eastAsiaTheme="majorEastAsia" w:cstheme="majorBidi"/>
      <w:i/>
      <w:iCs/>
      <w:color w:val="444444"/>
      <w:spacing w:val="15"/>
      <w:sz w:val="24"/>
      <w:szCs w:val="24"/>
    </w:rPr>
  </w:style>
  <w:style w:type="paragraph" w:styleId="28">
    <w:name w:val="List"/>
    <w:basedOn w:val="1"/>
    <w:unhideWhenUsed/>
    <w:qFormat/>
    <w:uiPriority w:val="99"/>
    <w:pPr>
      <w:ind w:left="360" w:hanging="360"/>
      <w:contextualSpacing/>
    </w:pPr>
  </w:style>
  <w:style w:type="paragraph" w:styleId="29">
    <w:name w:val="toc 2"/>
    <w:basedOn w:val="1"/>
    <w:next w:val="1"/>
    <w:semiHidden/>
    <w:unhideWhenUsed/>
    <w:qFormat/>
    <w:uiPriority w:val="39"/>
    <w:pPr>
      <w:ind w:left="420" w:leftChars="200"/>
    </w:pPr>
  </w:style>
  <w:style w:type="paragraph" w:styleId="30">
    <w:name w:val="Body Text 2"/>
    <w:basedOn w:val="1"/>
    <w:link w:val="147"/>
    <w:unhideWhenUsed/>
    <w:qFormat/>
    <w:uiPriority w:val="99"/>
    <w:pPr>
      <w:spacing w:after="120" w:line="480" w:lineRule="auto"/>
    </w:pPr>
  </w:style>
  <w:style w:type="paragraph" w:styleId="31">
    <w:name w:val="List Continue 2"/>
    <w:basedOn w:val="1"/>
    <w:unhideWhenUsed/>
    <w:qFormat/>
    <w:uiPriority w:val="99"/>
    <w:pPr>
      <w:spacing w:after="120"/>
      <w:ind w:left="720"/>
      <w:contextualSpacing/>
    </w:pPr>
  </w:style>
  <w:style w:type="paragraph" w:styleId="32">
    <w:name w:val="List Continue 3"/>
    <w:basedOn w:val="1"/>
    <w:unhideWhenUsed/>
    <w:qFormat/>
    <w:uiPriority w:val="99"/>
    <w:pPr>
      <w:spacing w:after="120"/>
      <w:ind w:left="1080"/>
      <w:contextualSpacing/>
    </w:pPr>
  </w:style>
  <w:style w:type="paragraph" w:styleId="33">
    <w:name w:val="Title"/>
    <w:basedOn w:val="1"/>
    <w:next w:val="1"/>
    <w:link w:val="14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b/>
      <w:color w:val="1F4E79"/>
      <w:spacing w:val="5"/>
      <w:kern w:val="28"/>
      <w:sz w:val="48"/>
      <w:szCs w:val="52"/>
    </w:rPr>
  </w:style>
  <w:style w:type="table" w:styleId="35">
    <w:name w:val="Table Grid"/>
    <w:basedOn w:val="34"/>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6">
    <w:name w:val="Light Shading"/>
    <w:basedOn w:val="34"/>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7">
    <w:name w:val="Light Shading Accent 1"/>
    <w:basedOn w:val="34"/>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8">
    <w:name w:val="Light Shading Accent 2"/>
    <w:basedOn w:val="34"/>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9">
    <w:name w:val="Light Shading Accent 3"/>
    <w:basedOn w:val="34"/>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0">
    <w:name w:val="Light Shading Accent 4"/>
    <w:basedOn w:val="34"/>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1">
    <w:name w:val="Light Shading Accent 5"/>
    <w:basedOn w:val="34"/>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2">
    <w:name w:val="Light Shading Accent 6"/>
    <w:basedOn w:val="34"/>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3">
    <w:name w:val="Light List"/>
    <w:basedOn w:val="34"/>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4">
    <w:name w:val="Light List Accent 1"/>
    <w:basedOn w:val="34"/>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5">
    <w:name w:val="Light List Accent 2"/>
    <w:basedOn w:val="34"/>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6">
    <w:name w:val="Light List Accent 3"/>
    <w:basedOn w:val="34"/>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7">
    <w:name w:val="Light List Accent 4"/>
    <w:basedOn w:val="34"/>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8">
    <w:name w:val="Light List Accent 5"/>
    <w:basedOn w:val="34"/>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9">
    <w:name w:val="Light List Accent 6"/>
    <w:basedOn w:val="34"/>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0">
    <w:name w:val="Light Grid"/>
    <w:basedOn w:val="34"/>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1">
    <w:name w:val="Light Grid Accent 1"/>
    <w:basedOn w:val="34"/>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2">
    <w:name w:val="Light Grid Accent 2"/>
    <w:basedOn w:val="34"/>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3">
    <w:name w:val="Light Grid Accent 3"/>
    <w:basedOn w:val="34"/>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4">
    <w:name w:val="Light Grid Accent 4"/>
    <w:basedOn w:val="34"/>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5">
    <w:name w:val="Light Grid Accent 5"/>
    <w:basedOn w:val="34"/>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6">
    <w:name w:val="Light Grid Accent 6"/>
    <w:basedOn w:val="34"/>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7">
    <w:name w:val="Medium Shading 1"/>
    <w:basedOn w:val="34"/>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8">
    <w:name w:val="Medium Shading 1 Accent 1"/>
    <w:basedOn w:val="34"/>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9">
    <w:name w:val="Medium Shading 1 Accent 2"/>
    <w:basedOn w:val="34"/>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0">
    <w:name w:val="Medium Shading 1 Accent 3"/>
    <w:basedOn w:val="34"/>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1">
    <w:name w:val="Medium Shading 1 Accent 4"/>
    <w:basedOn w:val="34"/>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2">
    <w:name w:val="Medium Shading 1 Accent 5"/>
    <w:basedOn w:val="34"/>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3">
    <w:name w:val="Medium Shading 1 Accent 6"/>
    <w:basedOn w:val="34"/>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4">
    <w:name w:val="Medium Shading 2"/>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1"/>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2"/>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3"/>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4"/>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5"/>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6"/>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List 1"/>
    <w:basedOn w:val="34"/>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2">
    <w:name w:val="Medium List 1 Accent 1"/>
    <w:basedOn w:val="34"/>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3">
    <w:name w:val="Medium List 1 Accent 2"/>
    <w:basedOn w:val="34"/>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4">
    <w:name w:val="Medium List 1 Accent 3"/>
    <w:basedOn w:val="34"/>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5">
    <w:name w:val="Medium List 1 Accent 4"/>
    <w:basedOn w:val="34"/>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6">
    <w:name w:val="Medium List 1 Accent 5"/>
    <w:basedOn w:val="34"/>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7">
    <w:name w:val="Medium List 1 Accent 6"/>
    <w:basedOn w:val="34"/>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8">
    <w:name w:val="Medium List 2"/>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1"/>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2"/>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3"/>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4"/>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5"/>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6"/>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Grid 1"/>
    <w:basedOn w:val="34"/>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6">
    <w:name w:val="Medium Grid 1 Accent 1"/>
    <w:basedOn w:val="34"/>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7">
    <w:name w:val="Medium Grid 1 Accent 2"/>
    <w:basedOn w:val="34"/>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8">
    <w:name w:val="Medium Grid 1 Accent 3"/>
    <w:basedOn w:val="34"/>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9">
    <w:name w:val="Medium Grid 1 Accent 4"/>
    <w:basedOn w:val="34"/>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0">
    <w:name w:val="Medium Grid 1 Accent 5"/>
    <w:basedOn w:val="34"/>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1">
    <w:name w:val="Medium Grid 1 Accent 6"/>
    <w:basedOn w:val="34"/>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2">
    <w:name w:val="Medium Grid 2"/>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3">
    <w:name w:val="Medium Grid 2 Accent 1"/>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4">
    <w:name w:val="Medium Grid 2 Accent 2"/>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5">
    <w:name w:val="Medium Grid 2 Accent 3"/>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6">
    <w:name w:val="Medium Grid 2 Accent 4"/>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7">
    <w:name w:val="Medium Grid 2 Accent 5"/>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8">
    <w:name w:val="Medium Grid 2 Accent 6"/>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9">
    <w:name w:val="Medium Grid 3"/>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0">
    <w:name w:val="Medium Grid 3 Accent 1"/>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1">
    <w:name w:val="Medium Grid 3 Accent 2"/>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2">
    <w:name w:val="Medium Grid 3 Accent 3"/>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3">
    <w:name w:val="Medium Grid 3 Accent 4"/>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4">
    <w:name w:val="Medium Grid 3 Accent 5"/>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5">
    <w:name w:val="Medium Grid 3 Accent 6"/>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6">
    <w:name w:val="Dark List"/>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7">
    <w:name w:val="Dark List Accent 1"/>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8">
    <w:name w:val="Dark List Accent 2"/>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9">
    <w:name w:val="Dark List Accent 3"/>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0">
    <w:name w:val="Dark List Accent 4"/>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1">
    <w:name w:val="Dark List Accent 5"/>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2">
    <w:name w:val="Dark List Accent 6"/>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3">
    <w:name w:val="Colorful Shading"/>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1"/>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2"/>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3"/>
    <w:basedOn w:val="34"/>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7">
    <w:name w:val="Colorful Shading Accent 4"/>
    <w:basedOn w:val="34"/>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5"/>
    <w:basedOn w:val="34"/>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6"/>
    <w:basedOn w:val="34"/>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List"/>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1">
    <w:name w:val="Colorful List Accent 1"/>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2">
    <w:name w:val="Colorful List Accent 2"/>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3">
    <w:name w:val="Colorful List Accent 3"/>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4">
    <w:name w:val="Colorful List Accent 4"/>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5">
    <w:name w:val="Colorful List Accent 5"/>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6">
    <w:name w:val="Colorful List Accent 6"/>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7">
    <w:name w:val="Colorful Grid"/>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8">
    <w:name w:val="Colorful Grid Accent 1"/>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9">
    <w:name w:val="Colorful Grid Accent 2"/>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0">
    <w:name w:val="Colorful Grid Accent 3"/>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1">
    <w:name w:val="Colorful Grid Accent 4"/>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2">
    <w:name w:val="Colorful Grid Accent 5"/>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3">
    <w:name w:val="Colorful Grid Accent 6"/>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5">
    <w:name w:val="Strong"/>
    <w:basedOn w:val="134"/>
    <w:qFormat/>
    <w:uiPriority w:val="22"/>
    <w:rPr>
      <w:b/>
      <w:bCs/>
    </w:rPr>
  </w:style>
  <w:style w:type="character" w:styleId="136">
    <w:name w:val="Emphasis"/>
    <w:basedOn w:val="134"/>
    <w:qFormat/>
    <w:uiPriority w:val="20"/>
    <w:rPr>
      <w:i/>
      <w:iCs/>
    </w:rPr>
  </w:style>
  <w:style w:type="character" w:customStyle="1" w:styleId="137">
    <w:name w:val="Header Char"/>
    <w:basedOn w:val="134"/>
    <w:link w:val="25"/>
    <w:uiPriority w:val="99"/>
  </w:style>
  <w:style w:type="character" w:customStyle="1" w:styleId="138">
    <w:name w:val="Footer Char"/>
    <w:basedOn w:val="134"/>
    <w:link w:val="24"/>
    <w:uiPriority w:val="99"/>
  </w:style>
  <w:style w:type="paragraph" w:styleId="139">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0">
    <w:name w:val="Heading 1 Char"/>
    <w:basedOn w:val="134"/>
    <w:link w:val="3"/>
    <w:uiPriority w:val="9"/>
    <w:rPr>
      <w:rFonts w:asciiTheme="majorHAnsi" w:hAnsiTheme="majorHAnsi" w:eastAsiaTheme="majorEastAsia" w:cstheme="majorBidi"/>
      <w:b/>
      <w:bCs/>
      <w:color w:val="376092" w:themeColor="accent1" w:themeShade="BF"/>
      <w:sz w:val="28"/>
      <w:szCs w:val="28"/>
    </w:rPr>
  </w:style>
  <w:style w:type="character" w:customStyle="1" w:styleId="141">
    <w:name w:val="Heading 2 Char"/>
    <w:basedOn w:val="134"/>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2">
    <w:name w:val="Heading 3 Char"/>
    <w:basedOn w:val="134"/>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3">
    <w:name w:val="Title Char"/>
    <w:basedOn w:val="134"/>
    <w:link w:val="33"/>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4">
    <w:name w:val="Subtitle Char"/>
    <w:basedOn w:val="134"/>
    <w:link w:val="27"/>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5">
    <w:name w:val="List Paragraph"/>
    <w:basedOn w:val="1"/>
    <w:qFormat/>
    <w:uiPriority w:val="34"/>
    <w:pPr>
      <w:ind w:left="720"/>
      <w:contextualSpacing/>
    </w:pPr>
  </w:style>
  <w:style w:type="character" w:customStyle="1" w:styleId="146">
    <w:name w:val="Body Text Char"/>
    <w:basedOn w:val="134"/>
    <w:link w:val="19"/>
    <w:uiPriority w:val="99"/>
  </w:style>
  <w:style w:type="character" w:customStyle="1" w:styleId="147">
    <w:name w:val="Body Text 2 Char"/>
    <w:basedOn w:val="134"/>
    <w:link w:val="30"/>
    <w:uiPriority w:val="99"/>
  </w:style>
  <w:style w:type="character" w:customStyle="1" w:styleId="148">
    <w:name w:val="Body Text 3 Char"/>
    <w:basedOn w:val="134"/>
    <w:link w:val="17"/>
    <w:uiPriority w:val="99"/>
    <w:rPr>
      <w:sz w:val="16"/>
      <w:szCs w:val="16"/>
    </w:rPr>
  </w:style>
  <w:style w:type="character" w:customStyle="1" w:styleId="149">
    <w:name w:val="Macro Text Char"/>
    <w:basedOn w:val="134"/>
    <w:link w:val="2"/>
    <w:uiPriority w:val="99"/>
    <w:rPr>
      <w:rFonts w:ascii="Courier" w:hAnsi="Courier"/>
      <w:sz w:val="20"/>
      <w:szCs w:val="20"/>
    </w:rPr>
  </w:style>
  <w:style w:type="paragraph" w:styleId="150">
    <w:name w:val="Quote"/>
    <w:basedOn w:val="1"/>
    <w:next w:val="1"/>
    <w:link w:val="151"/>
    <w:qFormat/>
    <w:uiPriority w:val="29"/>
    <w:rPr>
      <w:i/>
      <w:iCs/>
      <w:color w:val="000000" w:themeColor="text1"/>
      <w14:textFill>
        <w14:solidFill>
          <w14:schemeClr w14:val="tx1"/>
        </w14:solidFill>
      </w14:textFill>
    </w:rPr>
  </w:style>
  <w:style w:type="character" w:customStyle="1" w:styleId="151">
    <w:name w:val="Quote Char"/>
    <w:basedOn w:val="134"/>
    <w:link w:val="150"/>
    <w:uiPriority w:val="29"/>
    <w:rPr>
      <w:i/>
      <w:iCs/>
      <w:color w:val="000000" w:themeColor="text1"/>
      <w14:textFill>
        <w14:solidFill>
          <w14:schemeClr w14:val="tx1"/>
        </w14:solidFill>
      </w14:textFill>
    </w:rPr>
  </w:style>
  <w:style w:type="character" w:customStyle="1" w:styleId="152">
    <w:name w:val="Heading 4 Char"/>
    <w:basedOn w:val="134"/>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3">
    <w:name w:val="Heading 5 Char"/>
    <w:basedOn w:val="134"/>
    <w:link w:val="7"/>
    <w:semiHidden/>
    <w:uiPriority w:val="9"/>
    <w:rPr>
      <w:rFonts w:asciiTheme="majorHAnsi" w:hAnsiTheme="majorHAnsi" w:eastAsiaTheme="majorEastAsia" w:cstheme="majorBidi"/>
      <w:color w:val="254061" w:themeColor="accent1" w:themeShade="80"/>
    </w:rPr>
  </w:style>
  <w:style w:type="character" w:customStyle="1" w:styleId="154">
    <w:name w:val="Heading 6 Char"/>
    <w:basedOn w:val="134"/>
    <w:link w:val="8"/>
    <w:semiHidden/>
    <w:uiPriority w:val="9"/>
    <w:rPr>
      <w:rFonts w:asciiTheme="majorHAnsi" w:hAnsiTheme="majorHAnsi" w:eastAsiaTheme="majorEastAsia" w:cstheme="majorBidi"/>
      <w:i/>
      <w:iCs/>
      <w:color w:val="254061" w:themeColor="accent1" w:themeShade="80"/>
    </w:rPr>
  </w:style>
  <w:style w:type="character" w:customStyle="1" w:styleId="155">
    <w:name w:val="Heading 7 Char"/>
    <w:basedOn w:val="134"/>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6">
    <w:name w:val="Heading 8 Char"/>
    <w:basedOn w:val="134"/>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7">
    <w:name w:val="Heading 9 Char"/>
    <w:basedOn w:val="134"/>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8">
    <w:name w:val="Intense Quote"/>
    <w:basedOn w:val="1"/>
    <w:next w:val="1"/>
    <w:link w:val="159"/>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9">
    <w:name w:val="Intense Quote Char"/>
    <w:basedOn w:val="134"/>
    <w:link w:val="158"/>
    <w:uiPriority w:val="30"/>
    <w:rPr>
      <w:b/>
      <w:bCs/>
      <w:i/>
      <w:iCs/>
      <w:color w:val="4F81BD" w:themeColor="accent1"/>
      <w14:textFill>
        <w14:solidFill>
          <w14:schemeClr w14:val="accent1"/>
        </w14:solidFill>
      </w14:textFill>
    </w:rPr>
  </w:style>
  <w:style w:type="character" w:customStyle="1" w:styleId="160">
    <w:name w:val="Subtle Emphasis"/>
    <w:basedOn w:val="134"/>
    <w:qFormat/>
    <w:uiPriority w:val="19"/>
    <w:rPr>
      <w:i/>
      <w:iCs/>
      <w:color w:val="808080" w:themeColor="text1" w:themeTint="80"/>
      <w14:textFill>
        <w14:solidFill>
          <w14:schemeClr w14:val="tx1">
            <w14:lumMod w14:val="50000"/>
            <w14:lumOff w14:val="50000"/>
          </w14:schemeClr>
        </w14:solidFill>
      </w14:textFill>
    </w:rPr>
  </w:style>
  <w:style w:type="character" w:customStyle="1" w:styleId="161">
    <w:name w:val="Intense Emphasis"/>
    <w:basedOn w:val="134"/>
    <w:qFormat/>
    <w:uiPriority w:val="21"/>
    <w:rPr>
      <w:b/>
      <w:bCs/>
      <w:i/>
      <w:iCs/>
      <w:color w:val="4F81BD" w:themeColor="accent1"/>
      <w14:textFill>
        <w14:solidFill>
          <w14:schemeClr w14:val="accent1"/>
        </w14:solidFill>
      </w14:textFill>
    </w:rPr>
  </w:style>
  <w:style w:type="character" w:customStyle="1" w:styleId="162">
    <w:name w:val="Subtle Reference"/>
    <w:basedOn w:val="134"/>
    <w:qFormat/>
    <w:uiPriority w:val="31"/>
    <w:rPr>
      <w:smallCaps/>
      <w:color w:val="C0504D" w:themeColor="accent2"/>
      <w:u w:val="single"/>
      <w14:textFill>
        <w14:solidFill>
          <w14:schemeClr w14:val="accent2"/>
        </w14:solidFill>
      </w14:textFill>
    </w:rPr>
  </w:style>
  <w:style w:type="character" w:customStyle="1" w:styleId="163">
    <w:name w:val="Intense Reference"/>
    <w:basedOn w:val="134"/>
    <w:qFormat/>
    <w:uiPriority w:val="32"/>
    <w:rPr>
      <w:b/>
      <w:bCs/>
      <w:smallCaps/>
      <w:color w:val="C0504D" w:themeColor="accent2"/>
      <w:spacing w:val="5"/>
      <w:u w:val="single"/>
      <w14:textFill>
        <w14:solidFill>
          <w14:schemeClr w14:val="accent2"/>
        </w14:solidFill>
      </w14:textFill>
    </w:rPr>
  </w:style>
  <w:style w:type="character" w:customStyle="1" w:styleId="164">
    <w:name w:val="Book Title"/>
    <w:basedOn w:val="134"/>
    <w:qFormat/>
    <w:uiPriority w:val="33"/>
    <w:rPr>
      <w:b/>
      <w:bCs/>
      <w:smallCaps/>
      <w:spacing w:val="5"/>
    </w:rPr>
  </w:style>
  <w:style w:type="paragraph" w:customStyle="1" w:styleId="165">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http://schemas.openxmlformats.org/officeDocument/2006/bibliography" xmlns:b="http://schemas.openxmlformats.org/officeDocument/2006/bibliography" StyleName="APA" SelectedStyle="/APA.XSL"/>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Pages>12</Pages>
  <Words>0</Words>
  <Characters>0</Characters>
  <Lines>0</Lines>
  <Paragraphs>0</Paragraphs>
  <TotalTime>54</TotalTime>
  <ScaleCrop>false</ScaleCrop>
  <LinksUpToDate>false</LinksUpToDate>
  <CharactersWithSpaces>0</CharactersWithSpaces>
  <Application>WPS Office_12.1.24709.24709_F1E327BC-269C-435d-A152-05C5408002CA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2013-12-25T10:15:00Z</dcterms:created>
  <dc:creator>python-docx</dc:creator>
  <dc:description>generated by python-docx</dc:description>
  <cp:lastModifiedBy>恰似少年时</cp:lastModifiedBy>
  <dcterms:modified xsi:type="dcterms:W3CDTF">2026-03-19T14:28:01Z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2052-12.1.24709.24709</vt:lpwstr>
  </property>
  <property fmtid="{D5CDD505-2E9C-101B-9397-08002B2CF9AE}" pid="3" name="ICV">
    <vt:lpwstr>058ECEFF3D780C13F107BC698074C917_43</vt:lpwstr>
  </property>
</Properties>
</file>