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81A59" w14:textId="081BF1C2" w:rsidR="00512A01" w:rsidRDefault="00512A01">
      <w:r>
        <w:t>St</w:t>
      </w:r>
    </w:p>
    <w:sdt>
      <w:sdtPr>
        <w:id w:val="1437099949"/>
        <w:docPartObj>
          <w:docPartGallery w:val="Cover Pages"/>
          <w:docPartUnique/>
        </w:docPartObj>
      </w:sdtPr>
      <w:sdtEndPr/>
      <w:sdtContent>
        <w:p w14:paraId="05BE2532" w14:textId="760FC1E9" w:rsidR="00E41D99" w:rsidRDefault="00E41D99">
          <w:r>
            <w:rPr>
              <w:noProof/>
            </w:rPr>
            <mc:AlternateContent>
              <mc:Choice Requires="wpg">
                <w:drawing>
                  <wp:anchor distT="0" distB="0" distL="114300" distR="114300" simplePos="0" relativeHeight="251662336" behindDoc="0" locked="0" layoutInCell="1" allowOverlap="1" wp14:anchorId="05BE2668" wp14:editId="05BE266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62A96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05BE2533" w14:textId="558EF171" w:rsidR="00E41D99" w:rsidRDefault="008041BC">
          <w:pPr>
            <w:jc w:val="left"/>
            <w:rPr>
              <w:rFonts w:eastAsiaTheme="majorEastAsia" w:cstheme="majorBidi"/>
              <w:b/>
              <w:color w:val="2F5496" w:themeColor="accent5" w:themeShade="BF"/>
              <w:sz w:val="32"/>
              <w:szCs w:val="32"/>
            </w:rPr>
          </w:pPr>
          <w:r>
            <w:rPr>
              <w:noProof/>
            </w:rPr>
            <mc:AlternateContent>
              <mc:Choice Requires="wps">
                <w:drawing>
                  <wp:anchor distT="0" distB="0" distL="114300" distR="114300" simplePos="0" relativeHeight="251659264" behindDoc="0" locked="0" layoutInCell="1" allowOverlap="1" wp14:anchorId="05BE266A" wp14:editId="4872DC2E">
                    <wp:simplePos x="0" y="0"/>
                    <wp:positionH relativeFrom="page">
                      <wp:posOffset>228600</wp:posOffset>
                    </wp:positionH>
                    <wp:positionV relativeFrom="page">
                      <wp:posOffset>3016250</wp:posOffset>
                    </wp:positionV>
                    <wp:extent cx="5740400" cy="34988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5740400" cy="3498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BE267E" w14:textId="0F9DA6E3" w:rsidR="009B71AD" w:rsidRDefault="00863172">
                                <w:pPr>
                                  <w:jc w:val="right"/>
                                  <w:rPr>
                                    <w:color w:val="5B9BD5" w:themeColor="accent1"/>
                                    <w:sz w:val="64"/>
                                    <w:szCs w:val="64"/>
                                  </w:rPr>
                                </w:pPr>
                                <w:sdt>
                                  <w:sdtPr>
                                    <w:rPr>
                                      <w:caps/>
                                      <w:color w:val="5B9BD5" w:themeColor="accent1"/>
                                      <w:sz w:val="64"/>
                                      <w:szCs w:val="64"/>
                                    </w:rPr>
                                    <w:alias w:val="Title"/>
                                    <w:tag w:val=""/>
                                    <w:id w:val="-106093611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71AD">
                                      <w:rPr>
                                        <w:caps/>
                                        <w:color w:val="5B9BD5" w:themeColor="accent1"/>
                                        <w:sz w:val="64"/>
                                        <w:szCs w:val="64"/>
                                      </w:rPr>
                                      <w:t>ASSIGNMENT 1: hilton hotel</w:t>
                                    </w:r>
                                  </w:sdtContent>
                                </w:sdt>
                              </w:p>
                              <w:sdt>
                                <w:sdtPr>
                                  <w:rPr>
                                    <w:color w:val="404040" w:themeColor="text1" w:themeTint="BF"/>
                                    <w:sz w:val="36"/>
                                    <w:szCs w:val="36"/>
                                  </w:rPr>
                                  <w:alias w:val="Subtitle"/>
                                  <w:tag w:val=""/>
                                  <w:id w:val="1570849912"/>
                                  <w:dataBinding w:prefixMappings="xmlns:ns0='http://purl.org/dc/elements/1.1/' xmlns:ns1='http://schemas.openxmlformats.org/package/2006/metadata/core-properties' " w:xpath="/ns1:coreProperties[1]/ns0:subject[1]" w:storeItemID="{6C3C8BC8-F283-45AE-878A-BAB7291924A1}"/>
                                  <w:text/>
                                </w:sdtPr>
                                <w:sdtEndPr/>
                                <w:sdtContent>
                                  <w:p w14:paraId="05BE267F" w14:textId="77777777" w:rsidR="009B71AD" w:rsidRDefault="009B71AD">
                                    <w:pPr>
                                      <w:jc w:val="right"/>
                                      <w:rPr>
                                        <w:smallCaps/>
                                        <w:color w:val="404040" w:themeColor="text1" w:themeTint="BF"/>
                                        <w:sz w:val="36"/>
                                        <w:szCs w:val="36"/>
                                      </w:rPr>
                                    </w:pPr>
                                    <w:r>
                                      <w:rPr>
                                        <w:color w:val="404040" w:themeColor="text1" w:themeTint="BF"/>
                                        <w:sz w:val="36"/>
                                        <w:szCs w:val="36"/>
                                      </w:rPr>
                                      <w:t>Ratio &amp; Trend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BE266A" id="_x0000_t202" coordsize="21600,21600" o:spt="202" path="m,l,21600r21600,l21600,xe">
                    <v:stroke joinstyle="miter"/>
                    <v:path gradientshapeok="t" o:connecttype="rect"/>
                  </v:shapetype>
                  <v:shape id="Text Box 154" o:spid="_x0000_s1026" type="#_x0000_t202" style="position:absolute;margin-left:18pt;margin-top:237.5pt;width:452pt;height:27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" filled="f" stroked="f" strokeweight=".5pt">
                    <v:textbox inset="126pt,0,54pt,0">
                      <w:txbxContent>
                        <w:p w14:paraId="05BE267E" w14:textId="0F9DA6E3" w:rsidR="009B71AD" w:rsidRDefault="00863172">
                          <w:pPr>
                            <w:jc w:val="right"/>
                            <w:rPr>
                              <w:color w:val="5B9BD5" w:themeColor="accent1"/>
                              <w:sz w:val="64"/>
                              <w:szCs w:val="64"/>
                            </w:rPr>
                          </w:pPr>
                          <w:sdt>
                            <w:sdtPr>
                              <w:rPr>
                                <w:caps/>
                                <w:color w:val="5B9BD5" w:themeColor="accent1"/>
                                <w:sz w:val="64"/>
                                <w:szCs w:val="64"/>
                              </w:rPr>
                              <w:alias w:val="Title"/>
                              <w:tag w:val=""/>
                              <w:id w:val="-106093611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71AD">
                                <w:rPr>
                                  <w:caps/>
                                  <w:color w:val="5B9BD5" w:themeColor="accent1"/>
                                  <w:sz w:val="64"/>
                                  <w:szCs w:val="64"/>
                                </w:rPr>
                                <w:t>ASSIGNMENT 1: hilton hotel</w:t>
                              </w:r>
                            </w:sdtContent>
                          </w:sdt>
                        </w:p>
                        <w:sdt>
                          <w:sdtPr>
                            <w:rPr>
                              <w:color w:val="404040" w:themeColor="text1" w:themeTint="BF"/>
                              <w:sz w:val="36"/>
                              <w:szCs w:val="36"/>
                            </w:rPr>
                            <w:alias w:val="Subtitle"/>
                            <w:tag w:val=""/>
                            <w:id w:val="1570849912"/>
                            <w:dataBinding w:prefixMappings="xmlns:ns0='http://purl.org/dc/elements/1.1/' xmlns:ns1='http://schemas.openxmlformats.org/package/2006/metadata/core-properties' " w:xpath="/ns1:coreProperties[1]/ns0:subject[1]" w:storeItemID="{6C3C8BC8-F283-45AE-878A-BAB7291924A1}"/>
                            <w:text/>
                          </w:sdtPr>
                          <w:sdtEndPr/>
                          <w:sdtContent>
                            <w:p w14:paraId="05BE267F" w14:textId="77777777" w:rsidR="009B71AD" w:rsidRDefault="009B71AD">
                              <w:pPr>
                                <w:jc w:val="right"/>
                                <w:rPr>
                                  <w:smallCaps/>
                                  <w:color w:val="404040" w:themeColor="text1" w:themeTint="BF"/>
                                  <w:sz w:val="36"/>
                                  <w:szCs w:val="36"/>
                                </w:rPr>
                              </w:pPr>
                              <w:r>
                                <w:rPr>
                                  <w:color w:val="404040" w:themeColor="text1" w:themeTint="BF"/>
                                  <w:sz w:val="36"/>
                                  <w:szCs w:val="36"/>
                                </w:rPr>
                                <w:t>Ratio &amp; Trend Analysis</w:t>
                              </w:r>
                            </w:p>
                          </w:sdtContent>
                        </w:sdt>
                      </w:txbxContent>
                    </v:textbox>
                    <w10:wrap type="square" anchorx="page" anchory="page"/>
                  </v:shape>
                </w:pict>
              </mc:Fallback>
            </mc:AlternateContent>
          </w:r>
          <w:r w:rsidR="00E41D99" w:rsidRPr="00972A6C">
            <w:rPr>
              <w:rFonts w:cs="Arial"/>
              <w:noProof/>
            </w:rPr>
            <mc:AlternateContent>
              <mc:Choice Requires="wps">
                <w:drawing>
                  <wp:anchor distT="45720" distB="45720" distL="114300" distR="114300" simplePos="0" relativeHeight="251664384" behindDoc="0" locked="0" layoutInCell="1" allowOverlap="1" wp14:anchorId="05BE266C" wp14:editId="05BE266D">
                    <wp:simplePos x="0" y="0"/>
                    <wp:positionH relativeFrom="margin">
                      <wp:align>right</wp:align>
                    </wp:positionH>
                    <wp:positionV relativeFrom="paragraph">
                      <wp:posOffset>6792595</wp:posOffset>
                    </wp:positionV>
                    <wp:extent cx="3184525" cy="1404620"/>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4525" cy="1404620"/>
                            </a:xfrm>
                            <a:prstGeom prst="rect">
                              <a:avLst/>
                            </a:prstGeom>
                            <a:solidFill>
                              <a:srgbClr val="FFFFFF"/>
                            </a:solidFill>
                            <a:ln w="9525">
                              <a:noFill/>
                              <a:miter lim="800000"/>
                              <a:headEnd/>
                              <a:tailEnd/>
                            </a:ln>
                          </wps:spPr>
                          <wps:txbx>
                            <w:txbxContent>
                              <w:p w14:paraId="05BE2681" w14:textId="755B4995" w:rsidR="009B71AD" w:rsidRDefault="006D0A77" w:rsidP="00E41D99">
                                <w:pPr>
                                  <w:jc w:val="right"/>
                                  <w:rPr>
                                    <w:color w:val="5B9BD5" w:themeColor="accent1"/>
                                  </w:rPr>
                                </w:pPr>
                                <w:r>
                                  <w:rPr>
                                    <w:color w:val="5B9BD5" w:themeColor="accent1"/>
                                  </w:rPr>
                                  <w:t xml:space="preserve">Student </w:t>
                                </w:r>
                                <w:proofErr w:type="gramStart"/>
                                <w:r>
                                  <w:rPr>
                                    <w:color w:val="5B9BD5" w:themeColor="accent1"/>
                                  </w:rPr>
                                  <w:t>Name :</w:t>
                                </w:r>
                                <w:proofErr w:type="gramEnd"/>
                                <w:r>
                                  <w:rPr>
                                    <w:color w:val="5B9BD5" w:themeColor="accent1"/>
                                  </w:rPr>
                                  <w:t xml:space="preserve"> Atikuz Zaman</w:t>
                                </w:r>
                              </w:p>
                              <w:p w14:paraId="33662151" w14:textId="7CD1D607" w:rsidR="006D0A77" w:rsidRDefault="006D0A77" w:rsidP="00E41D99">
                                <w:pPr>
                                  <w:jc w:val="right"/>
                                  <w:rPr>
                                    <w:color w:val="5B9BD5" w:themeColor="accent1"/>
                                  </w:rPr>
                                </w:pPr>
                                <w:r>
                                  <w:rPr>
                                    <w:color w:val="5B9BD5" w:themeColor="accent1"/>
                                  </w:rPr>
                                  <w:t>S</w:t>
                                </w:r>
                                <w:r w:rsidR="00686179">
                                  <w:rPr>
                                    <w:color w:val="5B9BD5" w:themeColor="accent1"/>
                                  </w:rPr>
                                  <w:t>tudent ID: 201</w:t>
                                </w:r>
                                <w:r w:rsidR="007F19DE">
                                  <w:rPr>
                                    <w:color w:val="5B9BD5" w:themeColor="accent1"/>
                                  </w:rPr>
                                  <w:t>9017</w:t>
                                </w:r>
                              </w:p>
                              <w:p w14:paraId="19F05CF7" w14:textId="76805B8A" w:rsidR="007F19DE" w:rsidRDefault="00A5068E" w:rsidP="00E41D99">
                                <w:pPr>
                                  <w:jc w:val="right"/>
                                  <w:rPr>
                                    <w:color w:val="5B9BD5" w:themeColor="accent1"/>
                                  </w:rPr>
                                </w:pPr>
                                <w:r>
                                  <w:rPr>
                                    <w:color w:val="5B9BD5" w:themeColor="accent1"/>
                                  </w:rPr>
                                  <w:t xml:space="preserve">Financial Management for </w:t>
                                </w:r>
                                <w:r w:rsidR="001842C7">
                                  <w:rPr>
                                    <w:color w:val="5B9BD5" w:themeColor="accent1"/>
                                  </w:rPr>
                                  <w:t xml:space="preserve">the </w:t>
                                </w:r>
                                <w:r>
                                  <w:rPr>
                                    <w:color w:val="5B9BD5" w:themeColor="accent1"/>
                                  </w:rPr>
                                  <w:t>Ho</w:t>
                                </w:r>
                                <w:r w:rsidR="001842C7">
                                  <w:rPr>
                                    <w:color w:val="5B9BD5" w:themeColor="accent1"/>
                                  </w:rPr>
                                  <w:t>tel Industry (BMIH5007)</w:t>
                                </w:r>
                              </w:p>
                              <w:p w14:paraId="26D038A2" w14:textId="0D95187B" w:rsidR="001842C7" w:rsidRPr="00365678" w:rsidRDefault="001842C7" w:rsidP="00E41D99">
                                <w:pPr>
                                  <w:jc w:val="right"/>
                                  <w:rPr>
                                    <w:color w:val="5B9BD5" w:themeColor="accent1"/>
                                  </w:rPr>
                                </w:pPr>
                                <w:r>
                                  <w:rPr>
                                    <w:color w:val="5B9BD5" w:themeColor="accent1"/>
                                  </w:rPr>
                                  <w:t>Lecturer</w:t>
                                </w:r>
                                <w:r w:rsidR="00CC3766">
                                  <w:rPr>
                                    <w:color w:val="5B9BD5" w:themeColor="accent1"/>
                                  </w:rPr>
                                  <w:t xml:space="preserve">’s </w:t>
                                </w:r>
                                <w:proofErr w:type="gramStart"/>
                                <w:r w:rsidR="00CC3766">
                                  <w:rPr>
                                    <w:color w:val="5B9BD5" w:themeColor="accent1"/>
                                  </w:rPr>
                                  <w:t>Name :</w:t>
                                </w:r>
                                <w:proofErr w:type="gramEnd"/>
                                <w:r w:rsidR="00863172">
                                  <w:rPr>
                                    <w:color w:val="5B9BD5" w:themeColor="accent1"/>
                                  </w:rPr>
                                  <w:t xml:space="preserve"> Dale Clarke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BE266C" id="Text Box 2" o:spid="_x0000_s1027" type="#_x0000_t202" style="position:absolute;margin-left:199.55pt;margin-top:534.85pt;width:250.75pt;height:110.6pt;z-index:2516643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" stroked="f">
                    <v:textbox style="mso-fit-shape-to-text:t">
                      <w:txbxContent>
                        <w:p w14:paraId="05BE2681" w14:textId="755B4995" w:rsidR="009B71AD" w:rsidRDefault="006D0A77" w:rsidP="00E41D99">
                          <w:pPr>
                            <w:jc w:val="right"/>
                            <w:rPr>
                              <w:color w:val="5B9BD5" w:themeColor="accent1"/>
                            </w:rPr>
                          </w:pPr>
                          <w:r>
                            <w:rPr>
                              <w:color w:val="5B9BD5" w:themeColor="accent1"/>
                            </w:rPr>
                            <w:t xml:space="preserve">Student </w:t>
                          </w:r>
                          <w:proofErr w:type="gramStart"/>
                          <w:r>
                            <w:rPr>
                              <w:color w:val="5B9BD5" w:themeColor="accent1"/>
                            </w:rPr>
                            <w:t>Name :</w:t>
                          </w:r>
                          <w:proofErr w:type="gramEnd"/>
                          <w:r>
                            <w:rPr>
                              <w:color w:val="5B9BD5" w:themeColor="accent1"/>
                            </w:rPr>
                            <w:t xml:space="preserve"> Atikuz Zaman</w:t>
                          </w:r>
                        </w:p>
                        <w:p w14:paraId="33662151" w14:textId="7CD1D607" w:rsidR="006D0A77" w:rsidRDefault="006D0A77" w:rsidP="00E41D99">
                          <w:pPr>
                            <w:jc w:val="right"/>
                            <w:rPr>
                              <w:color w:val="5B9BD5" w:themeColor="accent1"/>
                            </w:rPr>
                          </w:pPr>
                          <w:r>
                            <w:rPr>
                              <w:color w:val="5B9BD5" w:themeColor="accent1"/>
                            </w:rPr>
                            <w:t>S</w:t>
                          </w:r>
                          <w:r w:rsidR="00686179">
                            <w:rPr>
                              <w:color w:val="5B9BD5" w:themeColor="accent1"/>
                            </w:rPr>
                            <w:t>tudent ID: 201</w:t>
                          </w:r>
                          <w:r w:rsidR="007F19DE">
                            <w:rPr>
                              <w:color w:val="5B9BD5" w:themeColor="accent1"/>
                            </w:rPr>
                            <w:t>9017</w:t>
                          </w:r>
                        </w:p>
                        <w:p w14:paraId="19F05CF7" w14:textId="76805B8A" w:rsidR="007F19DE" w:rsidRDefault="00A5068E" w:rsidP="00E41D99">
                          <w:pPr>
                            <w:jc w:val="right"/>
                            <w:rPr>
                              <w:color w:val="5B9BD5" w:themeColor="accent1"/>
                            </w:rPr>
                          </w:pPr>
                          <w:r>
                            <w:rPr>
                              <w:color w:val="5B9BD5" w:themeColor="accent1"/>
                            </w:rPr>
                            <w:t xml:space="preserve">Financial Management for </w:t>
                          </w:r>
                          <w:r w:rsidR="001842C7">
                            <w:rPr>
                              <w:color w:val="5B9BD5" w:themeColor="accent1"/>
                            </w:rPr>
                            <w:t xml:space="preserve">the </w:t>
                          </w:r>
                          <w:r>
                            <w:rPr>
                              <w:color w:val="5B9BD5" w:themeColor="accent1"/>
                            </w:rPr>
                            <w:t>Ho</w:t>
                          </w:r>
                          <w:r w:rsidR="001842C7">
                            <w:rPr>
                              <w:color w:val="5B9BD5" w:themeColor="accent1"/>
                            </w:rPr>
                            <w:t>tel Industry (BMIH5007)</w:t>
                          </w:r>
                        </w:p>
                        <w:p w14:paraId="26D038A2" w14:textId="0D95187B" w:rsidR="001842C7" w:rsidRPr="00365678" w:rsidRDefault="001842C7" w:rsidP="00E41D99">
                          <w:pPr>
                            <w:jc w:val="right"/>
                            <w:rPr>
                              <w:color w:val="5B9BD5" w:themeColor="accent1"/>
                            </w:rPr>
                          </w:pPr>
                          <w:r>
                            <w:rPr>
                              <w:color w:val="5B9BD5" w:themeColor="accent1"/>
                            </w:rPr>
                            <w:t>Lecturer</w:t>
                          </w:r>
                          <w:r w:rsidR="00CC3766">
                            <w:rPr>
                              <w:color w:val="5B9BD5" w:themeColor="accent1"/>
                            </w:rPr>
                            <w:t xml:space="preserve">’s </w:t>
                          </w:r>
                          <w:proofErr w:type="gramStart"/>
                          <w:r w:rsidR="00CC3766">
                            <w:rPr>
                              <w:color w:val="5B9BD5" w:themeColor="accent1"/>
                            </w:rPr>
                            <w:t>Name :</w:t>
                          </w:r>
                          <w:proofErr w:type="gramEnd"/>
                          <w:r w:rsidR="00863172">
                            <w:rPr>
                              <w:color w:val="5B9BD5" w:themeColor="accent1"/>
                            </w:rPr>
                            <w:t xml:space="preserve"> Dale Clarke</w:t>
                          </w:r>
                        </w:p>
                      </w:txbxContent>
                    </v:textbox>
                    <w10:wrap type="square" anchorx="margin"/>
                  </v:shape>
                </w:pict>
              </mc:Fallback>
            </mc:AlternateContent>
          </w:r>
          <w:r w:rsidR="00E41D99">
            <w:br w:type="page"/>
          </w:r>
        </w:p>
      </w:sdtContent>
    </w:sdt>
    <w:p w14:paraId="05BE2534" w14:textId="77777777" w:rsidR="00E41D99" w:rsidRDefault="00E41D99" w:rsidP="00E41D99">
      <w:pPr>
        <w:pStyle w:val="Heading1"/>
      </w:pPr>
      <w:bookmarkStart w:id="0" w:name="_Toc103622106"/>
      <w:bookmarkStart w:id="1" w:name="_Toc103622147"/>
      <w:r>
        <w:lastRenderedPageBreak/>
        <w:t>Executive Summary</w:t>
      </w:r>
      <w:bookmarkEnd w:id="0"/>
      <w:bookmarkEnd w:id="1"/>
    </w:p>
    <w:p w14:paraId="05BE2535" w14:textId="77777777" w:rsidR="00B376A6" w:rsidRDefault="00B376A6" w:rsidP="00EB1B17">
      <w:pPr>
        <w:spacing w:line="360" w:lineRule="auto"/>
        <w:rPr>
          <w:rFonts w:cs="Arial"/>
        </w:rPr>
      </w:pPr>
      <w:r>
        <w:rPr>
          <w:rFonts w:cs="Arial"/>
        </w:rPr>
        <w:t xml:space="preserve">This </w:t>
      </w:r>
      <w:r w:rsidR="007A6DA4">
        <w:rPr>
          <w:rFonts w:cs="Arial"/>
        </w:rPr>
        <w:t xml:space="preserve">report has been prepared for Hilton Worldwide Inc. so that the horizontal ratio analysis can be calculated and </w:t>
      </w:r>
      <w:proofErr w:type="spellStart"/>
      <w:r w:rsidR="007A6DA4">
        <w:rPr>
          <w:rFonts w:cs="Arial"/>
        </w:rPr>
        <w:t>analysed</w:t>
      </w:r>
      <w:proofErr w:type="spellEnd"/>
      <w:r w:rsidR="007A6DA4">
        <w:rPr>
          <w:rFonts w:cs="Arial"/>
        </w:rPr>
        <w:t xml:space="preserve">. Trend charts have been prepared from the data of financial statements for the years 2020 and 2019. </w:t>
      </w:r>
      <w:r w:rsidR="00EB198C">
        <w:rPr>
          <w:rFonts w:cs="Arial"/>
        </w:rPr>
        <w:t>Here, liquidity, profitability and gearing ratios have been calculated.</w:t>
      </w:r>
    </w:p>
    <w:p w14:paraId="05BE2536" w14:textId="77777777" w:rsidR="00884205" w:rsidRDefault="00EB198C" w:rsidP="00EB1B17">
      <w:pPr>
        <w:spacing w:line="360" w:lineRule="auto"/>
        <w:rPr>
          <w:rFonts w:cs="Arial"/>
        </w:rPr>
      </w:pPr>
      <w:r>
        <w:rPr>
          <w:rFonts w:cs="Arial"/>
        </w:rPr>
        <w:t>Firstly, an introduction has been given showing the overall purpose of the report, then the calculations have been done. After that, trend analysis has been done showing year</w:t>
      </w:r>
      <w:r w:rsidR="00935450">
        <w:rPr>
          <w:rFonts w:cs="Arial"/>
        </w:rPr>
        <w:t>-by-</w:t>
      </w:r>
      <w:r>
        <w:rPr>
          <w:rFonts w:cs="Arial"/>
        </w:rPr>
        <w:t>year performance change</w:t>
      </w:r>
      <w:r w:rsidR="006B5C65">
        <w:rPr>
          <w:rFonts w:cs="Arial"/>
        </w:rPr>
        <w:t xml:space="preserve"> in 2020.</w:t>
      </w:r>
      <w:r w:rsidR="00884205">
        <w:rPr>
          <w:rFonts w:cs="Arial"/>
        </w:rPr>
        <w:t xml:space="preserve"> It has been found that, Hilton has been facing issues incurring profitability and is also taking higher debts. Also, the revenue generated is not enough as per the asset level. Despite these issues, the working capital and liquidity level of this company is fair with a good capability of collecting receivables.</w:t>
      </w:r>
    </w:p>
    <w:p w14:paraId="05BE2537" w14:textId="77777777" w:rsidR="00EB198C" w:rsidRDefault="00884205" w:rsidP="00EB1B17">
      <w:pPr>
        <w:spacing w:line="360" w:lineRule="auto"/>
        <w:rPr>
          <w:rFonts w:cs="Arial"/>
        </w:rPr>
      </w:pPr>
      <w:r>
        <w:rPr>
          <w:rFonts w:cs="Arial"/>
        </w:rPr>
        <w:t xml:space="preserve">After that, </w:t>
      </w:r>
      <w:r w:rsidR="001A4D53">
        <w:rPr>
          <w:rFonts w:cs="Arial"/>
        </w:rPr>
        <w:t xml:space="preserve">the importance of ratio analysis and </w:t>
      </w:r>
      <w:r w:rsidR="00935450">
        <w:rPr>
          <w:rFonts w:cs="Arial"/>
        </w:rPr>
        <w:t xml:space="preserve">its </w:t>
      </w:r>
      <w:r w:rsidR="00991DD6">
        <w:rPr>
          <w:rFonts w:cs="Arial"/>
        </w:rPr>
        <w:t xml:space="preserve">possible limitations of them are </w:t>
      </w:r>
      <w:proofErr w:type="spellStart"/>
      <w:r w:rsidR="00991DD6">
        <w:rPr>
          <w:rFonts w:cs="Arial"/>
        </w:rPr>
        <w:t>analysed</w:t>
      </w:r>
      <w:proofErr w:type="spellEnd"/>
      <w:r w:rsidR="00991DD6">
        <w:rPr>
          <w:rFonts w:cs="Arial"/>
        </w:rPr>
        <w:t xml:space="preserve">. Then the conclusion has been drawn showing some suggestions about the measures that Hilton might take to improve their financial performance. </w:t>
      </w:r>
      <w:r>
        <w:rPr>
          <w:rFonts w:cs="Arial"/>
        </w:rPr>
        <w:t xml:space="preserve"> </w:t>
      </w:r>
    </w:p>
    <w:p w14:paraId="05BE2538" w14:textId="77777777" w:rsidR="00805138" w:rsidRPr="00BE3BBE" w:rsidRDefault="00805138">
      <w:pPr>
        <w:jc w:val="left"/>
        <w:rPr>
          <w:rFonts w:cs="Arial"/>
        </w:rPr>
      </w:pPr>
      <w:r w:rsidRPr="00BE3BBE">
        <w:rPr>
          <w:rFonts w:cs="Arial"/>
        </w:rPr>
        <w:br w:type="page"/>
      </w:r>
    </w:p>
    <w:sdt>
      <w:sdtPr>
        <w:rPr>
          <w:rFonts w:ascii="Arial" w:eastAsiaTheme="minorHAnsi" w:hAnsi="Arial" w:cstheme="minorBidi"/>
          <w:color w:val="auto"/>
          <w:sz w:val="24"/>
          <w:szCs w:val="22"/>
        </w:rPr>
        <w:id w:val="456758258"/>
        <w:docPartObj>
          <w:docPartGallery w:val="Table of Contents"/>
          <w:docPartUnique/>
        </w:docPartObj>
      </w:sdtPr>
      <w:sdtEndPr>
        <w:rPr>
          <w:b/>
          <w:bCs/>
          <w:noProof/>
        </w:rPr>
      </w:sdtEndPr>
      <w:sdtContent>
        <w:p w14:paraId="05BE2539" w14:textId="77777777" w:rsidR="006A0CA8" w:rsidRPr="00DC296C" w:rsidRDefault="006A0CA8" w:rsidP="00DC296C">
          <w:pPr>
            <w:pStyle w:val="TOCHeading"/>
            <w:spacing w:line="360" w:lineRule="auto"/>
            <w:jc w:val="center"/>
            <w:rPr>
              <w:rFonts w:ascii="Arial" w:hAnsi="Arial" w:cs="Arial"/>
              <w:b/>
              <w:szCs w:val="24"/>
            </w:rPr>
          </w:pPr>
          <w:r w:rsidRPr="00DC296C">
            <w:rPr>
              <w:rFonts w:ascii="Arial" w:hAnsi="Arial" w:cs="Arial"/>
              <w:b/>
              <w:szCs w:val="24"/>
            </w:rPr>
            <w:t>Table of Contents</w:t>
          </w:r>
        </w:p>
        <w:p w14:paraId="05BE253A" w14:textId="77777777" w:rsidR="00DC296C" w:rsidRPr="00DC296C" w:rsidRDefault="006A0CA8" w:rsidP="00DC296C">
          <w:pPr>
            <w:pStyle w:val="TOC1"/>
            <w:tabs>
              <w:tab w:val="right" w:leader="dot" w:pos="9350"/>
            </w:tabs>
            <w:spacing w:line="360" w:lineRule="auto"/>
            <w:rPr>
              <w:rFonts w:eastAsiaTheme="minorEastAsia" w:cs="Arial"/>
              <w:noProof/>
              <w:szCs w:val="24"/>
            </w:rPr>
          </w:pPr>
          <w:r w:rsidRPr="00DC296C">
            <w:rPr>
              <w:rFonts w:cs="Arial"/>
              <w:szCs w:val="24"/>
            </w:rPr>
            <w:fldChar w:fldCharType="begin"/>
          </w:r>
          <w:r w:rsidRPr="00DC296C">
            <w:rPr>
              <w:rFonts w:cs="Arial"/>
              <w:szCs w:val="24"/>
            </w:rPr>
            <w:instrText xml:space="preserve"> TOC \o "1-3" \h \z \u </w:instrText>
          </w:r>
          <w:r w:rsidRPr="00DC296C">
            <w:rPr>
              <w:rFonts w:cs="Arial"/>
              <w:szCs w:val="24"/>
            </w:rPr>
            <w:fldChar w:fldCharType="separate"/>
          </w:r>
          <w:hyperlink w:anchor="_Toc103622147" w:history="1">
            <w:r w:rsidR="00DC296C" w:rsidRPr="00DC296C">
              <w:rPr>
                <w:rStyle w:val="Hyperlink"/>
                <w:rFonts w:cs="Arial"/>
                <w:noProof/>
                <w:szCs w:val="24"/>
              </w:rPr>
              <w:t>Executive Summary</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_Toc103622147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w:t>
            </w:r>
            <w:r w:rsidR="00DC296C" w:rsidRPr="00DC296C">
              <w:rPr>
                <w:rFonts w:cs="Arial"/>
                <w:noProof/>
                <w:webHidden/>
                <w:szCs w:val="24"/>
              </w:rPr>
              <w:fldChar w:fldCharType="end"/>
            </w:r>
          </w:hyperlink>
        </w:p>
        <w:p w14:paraId="05BE253B"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48" w:history="1">
            <w:r w:rsidR="00DC296C" w:rsidRPr="00DC296C">
              <w:rPr>
                <w:rStyle w:val="Hyperlink"/>
                <w:rFonts w:cs="Arial"/>
                <w:noProof/>
                <w:szCs w:val="24"/>
              </w:rPr>
              <w:t>Introduction</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_Toc103622148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3</w:t>
            </w:r>
            <w:r w:rsidR="00DC296C" w:rsidRPr="00DC296C">
              <w:rPr>
                <w:rFonts w:cs="Arial"/>
                <w:noProof/>
                <w:webHidden/>
                <w:szCs w:val="24"/>
              </w:rPr>
              <w:fldChar w:fldCharType="end"/>
            </w:r>
          </w:hyperlink>
        </w:p>
        <w:p w14:paraId="05BE253C"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49" w:history="1">
            <w:r w:rsidR="00DC296C" w:rsidRPr="00DC296C">
              <w:rPr>
                <w:rStyle w:val="Hyperlink"/>
                <w:rFonts w:cs="Arial"/>
                <w:noProof/>
                <w:szCs w:val="24"/>
              </w:rPr>
              <w:t>Financial Analysis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_Toc103622149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4</w:t>
            </w:r>
            <w:r w:rsidR="00DC296C" w:rsidRPr="00DC296C">
              <w:rPr>
                <w:rFonts w:cs="Arial"/>
                <w:noProof/>
                <w:webHidden/>
                <w:szCs w:val="24"/>
              </w:rPr>
              <w:fldChar w:fldCharType="end"/>
            </w:r>
          </w:hyperlink>
        </w:p>
        <w:p w14:paraId="05BE253D"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0" w:history="1">
            <w:r w:rsidR="00DC296C" w:rsidRPr="00DC296C">
              <w:rPr>
                <w:rStyle w:val="Hyperlink"/>
                <w:rFonts w:cs="Arial"/>
                <w:noProof/>
                <w:szCs w:val="24"/>
              </w:rPr>
              <w:t>Profitability Ratios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_Toc103622150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4</w:t>
            </w:r>
            <w:r w:rsidR="00DC296C" w:rsidRPr="00DC296C">
              <w:rPr>
                <w:rFonts w:cs="Arial"/>
                <w:noProof/>
                <w:webHidden/>
                <w:szCs w:val="24"/>
              </w:rPr>
              <w:fldChar w:fldCharType="end"/>
            </w:r>
          </w:hyperlink>
        </w:p>
        <w:p w14:paraId="05BE253E"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1" w:history="1">
            <w:r w:rsidR="00DC296C" w:rsidRPr="00DC296C">
              <w:rPr>
                <w:rStyle w:val="Hyperlink"/>
                <w:rFonts w:cs="Arial"/>
                <w:noProof/>
                <w:szCs w:val="24"/>
              </w:rPr>
              <w:t>Asset Turnover Ratios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_Toc103622151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5</w:t>
            </w:r>
            <w:r w:rsidR="00DC296C" w:rsidRPr="00DC296C">
              <w:rPr>
                <w:rFonts w:cs="Arial"/>
                <w:noProof/>
                <w:webHidden/>
                <w:szCs w:val="24"/>
              </w:rPr>
              <w:fldChar w:fldCharType="end"/>
            </w:r>
          </w:hyperlink>
        </w:p>
        <w:p w14:paraId="05BE253F"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2" w:history="1">
            <w:r w:rsidR="00DC296C" w:rsidRPr="00DC296C">
              <w:rPr>
                <w:rStyle w:val="Hyperlink"/>
                <w:rFonts w:cs="Arial"/>
                <w:noProof/>
                <w:szCs w:val="24"/>
              </w:rPr>
              <w:t>Liquidity Ratios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_Toc103622152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5</w:t>
            </w:r>
            <w:r w:rsidR="00DC296C" w:rsidRPr="00DC296C">
              <w:rPr>
                <w:rFonts w:cs="Arial"/>
                <w:noProof/>
                <w:webHidden/>
                <w:szCs w:val="24"/>
              </w:rPr>
              <w:fldChar w:fldCharType="end"/>
            </w:r>
          </w:hyperlink>
        </w:p>
        <w:p w14:paraId="05BE2540"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3" w:history="1">
            <w:r w:rsidR="00DC296C" w:rsidRPr="00DC296C">
              <w:rPr>
                <w:rStyle w:val="Hyperlink"/>
                <w:rFonts w:cs="Arial"/>
                <w:noProof/>
                <w:szCs w:val="24"/>
              </w:rPr>
              <w:t>Gearing Ratios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_Toc103622153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6</w:t>
            </w:r>
            <w:r w:rsidR="00DC296C" w:rsidRPr="00DC296C">
              <w:rPr>
                <w:rFonts w:cs="Arial"/>
                <w:noProof/>
                <w:webHidden/>
                <w:szCs w:val="24"/>
              </w:rPr>
              <w:fldChar w:fldCharType="end"/>
            </w:r>
          </w:hyperlink>
        </w:p>
        <w:p w14:paraId="05BE2541"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54" w:history="1">
            <w:r w:rsidR="00DC296C" w:rsidRPr="00DC296C">
              <w:rPr>
                <w:rStyle w:val="Hyperlink"/>
                <w:rFonts w:cs="Arial"/>
                <w:noProof/>
                <w:szCs w:val="24"/>
              </w:rPr>
              <w:t>Financial Analysis Trend</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_Toc103622154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7</w:t>
            </w:r>
            <w:r w:rsidR="00DC296C" w:rsidRPr="00DC296C">
              <w:rPr>
                <w:rFonts w:cs="Arial"/>
                <w:noProof/>
                <w:webHidden/>
                <w:szCs w:val="24"/>
              </w:rPr>
              <w:fldChar w:fldCharType="end"/>
            </w:r>
          </w:hyperlink>
        </w:p>
        <w:p w14:paraId="05BE2542"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5" w:history="1">
            <w:r w:rsidR="00DC296C" w:rsidRPr="00DC296C">
              <w:rPr>
                <w:rStyle w:val="Hyperlink"/>
                <w:rFonts w:cs="Arial"/>
                <w:noProof/>
                <w:szCs w:val="24"/>
              </w:rPr>
              <w:t>Profitability</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_Toc103622155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8</w:t>
            </w:r>
            <w:r w:rsidR="00DC296C" w:rsidRPr="00DC296C">
              <w:rPr>
                <w:rFonts w:cs="Arial"/>
                <w:noProof/>
                <w:webHidden/>
                <w:szCs w:val="24"/>
              </w:rPr>
              <w:fldChar w:fldCharType="end"/>
            </w:r>
          </w:hyperlink>
        </w:p>
        <w:p w14:paraId="05BE2543" w14:textId="77777777" w:rsidR="00DC296C" w:rsidRPr="00DC296C" w:rsidRDefault="00DC296C" w:rsidP="00DC296C">
          <w:pPr>
            <w:pStyle w:val="TOC2"/>
            <w:tabs>
              <w:tab w:val="right" w:leader="dot" w:pos="9350"/>
            </w:tabs>
            <w:spacing w:line="360" w:lineRule="auto"/>
            <w:rPr>
              <w:rFonts w:eastAsiaTheme="minorEastAsia" w:cs="Arial"/>
              <w:noProof/>
              <w:szCs w:val="24"/>
            </w:rPr>
          </w:pPr>
          <w:hyperlink w:anchor="_Toc103622157" w:history="1">
            <w:r w:rsidRPr="00DC296C">
              <w:rPr>
                <w:rStyle w:val="Hyperlink"/>
                <w:rFonts w:cs="Arial"/>
                <w:noProof/>
                <w:szCs w:val="24"/>
              </w:rPr>
              <w:t>Liquidity</w:t>
            </w:r>
            <w:r w:rsidRPr="00DC296C">
              <w:rPr>
                <w:rFonts w:cs="Arial"/>
                <w:noProof/>
                <w:webHidden/>
                <w:szCs w:val="24"/>
              </w:rPr>
              <w:tab/>
            </w:r>
            <w:r w:rsidRPr="00DC296C">
              <w:rPr>
                <w:rFonts w:cs="Arial"/>
                <w:noProof/>
                <w:webHidden/>
                <w:szCs w:val="24"/>
              </w:rPr>
              <w:fldChar w:fldCharType="begin"/>
            </w:r>
            <w:r w:rsidRPr="00DC296C">
              <w:rPr>
                <w:rFonts w:cs="Arial"/>
                <w:noProof/>
                <w:webHidden/>
                <w:szCs w:val="24"/>
              </w:rPr>
              <w:instrText xml:space="preserve"> PAGEREF _Toc103622157 \h </w:instrText>
            </w:r>
            <w:r w:rsidRPr="00DC296C">
              <w:rPr>
                <w:rFonts w:cs="Arial"/>
                <w:noProof/>
                <w:webHidden/>
                <w:szCs w:val="24"/>
              </w:rPr>
            </w:r>
            <w:r w:rsidRPr="00DC296C">
              <w:rPr>
                <w:rFonts w:cs="Arial"/>
                <w:noProof/>
                <w:webHidden/>
                <w:szCs w:val="24"/>
              </w:rPr>
              <w:fldChar w:fldCharType="separate"/>
            </w:r>
            <w:r w:rsidRPr="00DC296C">
              <w:rPr>
                <w:rFonts w:cs="Arial"/>
                <w:noProof/>
                <w:webHidden/>
                <w:szCs w:val="24"/>
              </w:rPr>
              <w:t>9</w:t>
            </w:r>
            <w:r w:rsidRPr="00DC296C">
              <w:rPr>
                <w:rFonts w:cs="Arial"/>
                <w:noProof/>
                <w:webHidden/>
                <w:szCs w:val="24"/>
              </w:rPr>
              <w:fldChar w:fldCharType="end"/>
            </w:r>
          </w:hyperlink>
        </w:p>
        <w:p w14:paraId="05BE2544" w14:textId="77777777" w:rsidR="00DC296C" w:rsidRPr="00DC296C" w:rsidRDefault="00863172" w:rsidP="00DC296C">
          <w:pPr>
            <w:pStyle w:val="TOC2"/>
            <w:tabs>
              <w:tab w:val="right" w:leader="dot" w:pos="9350"/>
            </w:tabs>
            <w:spacing w:line="360" w:lineRule="auto"/>
            <w:rPr>
              <w:rFonts w:eastAsiaTheme="minorEastAsia" w:cs="Arial"/>
              <w:noProof/>
              <w:szCs w:val="24"/>
            </w:rPr>
          </w:pPr>
          <w:hyperlink w:anchor="_Toc103622158" w:history="1">
            <w:r w:rsidR="00DC296C" w:rsidRPr="00DC296C">
              <w:rPr>
                <w:rStyle w:val="Hyperlink"/>
                <w:rFonts w:cs="Arial"/>
                <w:noProof/>
                <w:szCs w:val="24"/>
              </w:rPr>
              <w:t>Gearing</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_Toc103622158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10</w:t>
            </w:r>
            <w:r w:rsidR="00DC296C" w:rsidRPr="00DC296C">
              <w:rPr>
                <w:rFonts w:cs="Arial"/>
                <w:noProof/>
                <w:webHidden/>
                <w:szCs w:val="24"/>
              </w:rPr>
              <w:fldChar w:fldCharType="end"/>
            </w:r>
          </w:hyperlink>
        </w:p>
        <w:p w14:paraId="05BE2545"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59" w:history="1">
            <w:r w:rsidR="00DC296C" w:rsidRPr="00DC296C">
              <w:rPr>
                <w:rStyle w:val="Hyperlink"/>
                <w:rFonts w:cs="Arial"/>
                <w:noProof/>
                <w:szCs w:val="24"/>
              </w:rPr>
              <w:t>Benefits of Ratio Analysis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_Toc103622159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11</w:t>
            </w:r>
            <w:r w:rsidR="00DC296C" w:rsidRPr="00DC296C">
              <w:rPr>
                <w:rFonts w:cs="Arial"/>
                <w:noProof/>
                <w:webHidden/>
                <w:szCs w:val="24"/>
              </w:rPr>
              <w:fldChar w:fldCharType="end"/>
            </w:r>
          </w:hyperlink>
        </w:p>
        <w:p w14:paraId="05BE2546"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60" w:history="1">
            <w:r w:rsidR="00DC296C" w:rsidRPr="00DC296C">
              <w:rPr>
                <w:rStyle w:val="Hyperlink"/>
                <w:rFonts w:cs="Arial"/>
                <w:noProof/>
                <w:szCs w:val="24"/>
              </w:rPr>
              <w:t>Limitations of Ratio Analysis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_Toc103622160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12</w:t>
            </w:r>
            <w:r w:rsidR="00DC296C" w:rsidRPr="00DC296C">
              <w:rPr>
                <w:rFonts w:cs="Arial"/>
                <w:noProof/>
                <w:webHidden/>
                <w:szCs w:val="24"/>
              </w:rPr>
              <w:fldChar w:fldCharType="end"/>
            </w:r>
          </w:hyperlink>
        </w:p>
        <w:p w14:paraId="05BE2547"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61" w:history="1">
            <w:r w:rsidR="00DC296C" w:rsidRPr="00DC296C">
              <w:rPr>
                <w:rStyle w:val="Hyperlink"/>
                <w:rFonts w:cs="Arial"/>
                <w:noProof/>
                <w:szCs w:val="24"/>
              </w:rPr>
              <w:t>Importance of Understanding Ratio Analysis</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_Toc103622161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12</w:t>
            </w:r>
            <w:r w:rsidR="00DC296C" w:rsidRPr="00DC296C">
              <w:rPr>
                <w:rFonts w:cs="Arial"/>
                <w:noProof/>
                <w:webHidden/>
                <w:szCs w:val="24"/>
              </w:rPr>
              <w:fldChar w:fldCharType="end"/>
            </w:r>
          </w:hyperlink>
        </w:p>
        <w:p w14:paraId="05BE2548"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62" w:history="1">
            <w:r w:rsidR="00DC296C" w:rsidRPr="00DC296C">
              <w:rPr>
                <w:rStyle w:val="Hyperlink"/>
                <w:rFonts w:cs="Arial"/>
                <w:noProof/>
                <w:szCs w:val="24"/>
              </w:rPr>
              <w:t>Conclusion</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_Toc103622162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14</w:t>
            </w:r>
            <w:r w:rsidR="00DC296C" w:rsidRPr="00DC296C">
              <w:rPr>
                <w:rFonts w:cs="Arial"/>
                <w:noProof/>
                <w:webHidden/>
                <w:szCs w:val="24"/>
              </w:rPr>
              <w:fldChar w:fldCharType="end"/>
            </w:r>
          </w:hyperlink>
        </w:p>
        <w:p w14:paraId="05BE2549" w14:textId="77777777" w:rsidR="00DC296C" w:rsidRPr="00DC296C" w:rsidRDefault="00863172" w:rsidP="00DC296C">
          <w:pPr>
            <w:pStyle w:val="TOC1"/>
            <w:tabs>
              <w:tab w:val="right" w:leader="dot" w:pos="9350"/>
            </w:tabs>
            <w:spacing w:line="360" w:lineRule="auto"/>
            <w:rPr>
              <w:rFonts w:eastAsiaTheme="minorEastAsia" w:cs="Arial"/>
              <w:noProof/>
              <w:szCs w:val="24"/>
            </w:rPr>
          </w:pPr>
          <w:hyperlink w:anchor="_Toc103622163" w:history="1">
            <w:r w:rsidR="00DC296C" w:rsidRPr="00DC296C">
              <w:rPr>
                <w:rStyle w:val="Hyperlink"/>
                <w:rFonts w:cs="Arial"/>
                <w:noProof/>
                <w:szCs w:val="24"/>
              </w:rPr>
              <w:t>Bibliography</w:t>
            </w:r>
            <w:r w:rsidR="00DC296C" w:rsidRPr="00DC296C">
              <w:rPr>
                <w:rFonts w:cs="Arial"/>
                <w:noProof/>
                <w:webHidden/>
                <w:szCs w:val="24"/>
              </w:rPr>
              <w:tab/>
            </w:r>
            <w:r w:rsidR="00DC296C" w:rsidRPr="00DC296C">
              <w:rPr>
                <w:rFonts w:cs="Arial"/>
                <w:noProof/>
                <w:webHidden/>
                <w:szCs w:val="24"/>
              </w:rPr>
              <w:fldChar w:fldCharType="begin"/>
            </w:r>
            <w:r w:rsidR="00DC296C" w:rsidRPr="00DC296C">
              <w:rPr>
                <w:rFonts w:cs="Arial"/>
                <w:noProof/>
                <w:webHidden/>
                <w:szCs w:val="24"/>
              </w:rPr>
              <w:instrText xml:space="preserve"> PAGEREF _Toc103622163 \h </w:instrText>
            </w:r>
            <w:r w:rsidR="00DC296C" w:rsidRPr="00DC296C">
              <w:rPr>
                <w:rFonts w:cs="Arial"/>
                <w:noProof/>
                <w:webHidden/>
                <w:szCs w:val="24"/>
              </w:rPr>
            </w:r>
            <w:r w:rsidR="00DC296C" w:rsidRPr="00DC296C">
              <w:rPr>
                <w:rFonts w:cs="Arial"/>
                <w:noProof/>
                <w:webHidden/>
                <w:szCs w:val="24"/>
              </w:rPr>
              <w:fldChar w:fldCharType="separate"/>
            </w:r>
            <w:r w:rsidR="00DC296C" w:rsidRPr="00DC296C">
              <w:rPr>
                <w:rFonts w:cs="Arial"/>
                <w:noProof/>
                <w:webHidden/>
                <w:szCs w:val="24"/>
              </w:rPr>
              <w:t>15</w:t>
            </w:r>
            <w:r w:rsidR="00DC296C" w:rsidRPr="00DC296C">
              <w:rPr>
                <w:rFonts w:cs="Arial"/>
                <w:noProof/>
                <w:webHidden/>
                <w:szCs w:val="24"/>
              </w:rPr>
              <w:fldChar w:fldCharType="end"/>
            </w:r>
          </w:hyperlink>
        </w:p>
        <w:p w14:paraId="05BE254A" w14:textId="77777777" w:rsidR="006A0CA8" w:rsidRDefault="006A0CA8" w:rsidP="00DC296C">
          <w:pPr>
            <w:spacing w:line="360" w:lineRule="auto"/>
          </w:pPr>
          <w:r w:rsidRPr="00DC296C">
            <w:rPr>
              <w:rFonts w:cs="Arial"/>
              <w:b/>
              <w:bCs/>
              <w:noProof/>
              <w:szCs w:val="24"/>
            </w:rPr>
            <w:fldChar w:fldCharType="end"/>
          </w:r>
        </w:p>
      </w:sdtContent>
    </w:sdt>
    <w:p w14:paraId="05BE254B" w14:textId="77777777" w:rsidR="00805138" w:rsidRPr="00BE3BBE" w:rsidRDefault="00805138" w:rsidP="00805138">
      <w:pPr>
        <w:spacing w:line="360" w:lineRule="auto"/>
        <w:rPr>
          <w:rFonts w:cs="Arial"/>
        </w:rPr>
      </w:pPr>
    </w:p>
    <w:p w14:paraId="05BE254C" w14:textId="77777777" w:rsidR="00BE5733" w:rsidRPr="00BE3BBE" w:rsidRDefault="00BE5733" w:rsidP="00EB1B17">
      <w:pPr>
        <w:spacing w:line="360" w:lineRule="auto"/>
        <w:rPr>
          <w:rFonts w:cs="Arial"/>
        </w:rPr>
      </w:pPr>
    </w:p>
    <w:p w14:paraId="05BE254D" w14:textId="77777777" w:rsidR="006D5918" w:rsidRPr="00BE3BBE" w:rsidRDefault="006D5918" w:rsidP="006D5918">
      <w:pPr>
        <w:rPr>
          <w:rFonts w:eastAsiaTheme="majorEastAsia" w:cs="Arial"/>
          <w:color w:val="2F5496" w:themeColor="accent5" w:themeShade="BF"/>
          <w:sz w:val="32"/>
          <w:szCs w:val="32"/>
        </w:rPr>
      </w:pPr>
      <w:r w:rsidRPr="00BE3BBE">
        <w:rPr>
          <w:rFonts w:cs="Arial"/>
        </w:rPr>
        <w:br w:type="page"/>
      </w:r>
    </w:p>
    <w:p w14:paraId="05BE254E" w14:textId="77777777" w:rsidR="00206168" w:rsidRPr="00BE3BBE" w:rsidRDefault="00206168" w:rsidP="00652DA8">
      <w:pPr>
        <w:pStyle w:val="Heading1"/>
        <w:rPr>
          <w:rFonts w:cs="Arial"/>
        </w:rPr>
      </w:pPr>
      <w:bookmarkStart w:id="2" w:name="_Toc103622107"/>
      <w:bookmarkStart w:id="3" w:name="_Toc103622148"/>
      <w:r w:rsidRPr="00BE3BBE">
        <w:rPr>
          <w:rFonts w:cs="Arial"/>
        </w:rPr>
        <w:lastRenderedPageBreak/>
        <w:t>Introduction</w:t>
      </w:r>
      <w:bookmarkEnd w:id="2"/>
      <w:bookmarkEnd w:id="3"/>
    </w:p>
    <w:p w14:paraId="05BE254F" w14:textId="77777777" w:rsidR="00206168" w:rsidRDefault="00C519E1" w:rsidP="00206168">
      <w:pPr>
        <w:spacing w:line="360" w:lineRule="auto"/>
        <w:rPr>
          <w:rFonts w:cs="Arial"/>
        </w:rPr>
      </w:pPr>
      <w:r>
        <w:rPr>
          <w:rFonts w:cs="Arial"/>
        </w:rPr>
        <w:t xml:space="preserve">Ratio analysis is the way through which the key information from </w:t>
      </w:r>
      <w:r w:rsidR="00935450">
        <w:rPr>
          <w:rFonts w:cs="Arial"/>
        </w:rPr>
        <w:t xml:space="preserve">the </w:t>
      </w:r>
      <w:r>
        <w:rPr>
          <w:rFonts w:cs="Arial"/>
        </w:rPr>
        <w:t xml:space="preserve">financial statement of a company </w:t>
      </w:r>
      <w:r w:rsidR="00935450">
        <w:rPr>
          <w:rFonts w:cs="Arial"/>
        </w:rPr>
        <w:t>is</w:t>
      </w:r>
      <w:r>
        <w:rPr>
          <w:rFonts w:cs="Arial"/>
        </w:rPr>
        <w:t xml:space="preserve"> gathered to determine the financial soundness of that company</w:t>
      </w:r>
      <w:r w:rsidR="002B43BF">
        <w:rPr>
          <w:rFonts w:cs="Arial"/>
        </w:rPr>
        <w:t xml:space="preserve"> (Herath &amp; </w:t>
      </w:r>
      <w:proofErr w:type="spellStart"/>
      <w:r w:rsidR="002B43BF">
        <w:rPr>
          <w:rFonts w:cs="Arial"/>
        </w:rPr>
        <w:t>Albarqi</w:t>
      </w:r>
      <w:proofErr w:type="spellEnd"/>
      <w:r w:rsidR="002B43BF">
        <w:rPr>
          <w:rFonts w:cs="Arial"/>
        </w:rPr>
        <w:t>, 2017)</w:t>
      </w:r>
      <w:r>
        <w:rPr>
          <w:rFonts w:cs="Arial"/>
        </w:rPr>
        <w:t>. These analyses help to find the trend of profitability, solvency, liquidity and other capabilities</w:t>
      </w:r>
      <w:r w:rsidR="00AB36C3" w:rsidRPr="00BE3BBE">
        <w:rPr>
          <w:rFonts w:cs="Arial"/>
        </w:rPr>
        <w:t>.</w:t>
      </w:r>
      <w:r>
        <w:rPr>
          <w:rFonts w:cs="Arial"/>
        </w:rPr>
        <w:t xml:space="preserve"> Also, the benchmark ratio helps to compare the situation with </w:t>
      </w:r>
      <w:r w:rsidR="00935450">
        <w:rPr>
          <w:rFonts w:cs="Arial"/>
        </w:rPr>
        <w:t xml:space="preserve">a </w:t>
      </w:r>
      <w:r>
        <w:rPr>
          <w:rFonts w:cs="Arial"/>
        </w:rPr>
        <w:t xml:space="preserve">peer company or the </w:t>
      </w:r>
      <w:proofErr w:type="gramStart"/>
      <w:r>
        <w:rPr>
          <w:rFonts w:cs="Arial"/>
        </w:rPr>
        <w:t>industry as a whole</w:t>
      </w:r>
      <w:proofErr w:type="gramEnd"/>
      <w:r w:rsidR="002B43BF">
        <w:rPr>
          <w:rFonts w:cs="Arial"/>
        </w:rPr>
        <w:t xml:space="preserve"> (</w:t>
      </w:r>
      <w:proofErr w:type="spellStart"/>
      <w:r w:rsidR="002B43BF">
        <w:rPr>
          <w:rFonts w:cs="Arial"/>
        </w:rPr>
        <w:t>Kadim</w:t>
      </w:r>
      <w:proofErr w:type="spellEnd"/>
      <w:r w:rsidR="002B43BF">
        <w:rPr>
          <w:rFonts w:cs="Arial"/>
        </w:rPr>
        <w:t xml:space="preserve"> et Al., 2020)</w:t>
      </w:r>
      <w:r>
        <w:rPr>
          <w:rFonts w:cs="Arial"/>
        </w:rPr>
        <w:t xml:space="preserve">. This analysis has been performed based on Hilton worldwide Inc. which is one of the largest hotel chains in the world with hotels across six continents. </w:t>
      </w:r>
      <w:r w:rsidR="00BF7B94">
        <w:rPr>
          <w:rFonts w:cs="Arial"/>
        </w:rPr>
        <w:t xml:space="preserve"> As a major player in </w:t>
      </w:r>
      <w:r w:rsidR="00935450">
        <w:rPr>
          <w:rFonts w:cs="Arial"/>
        </w:rPr>
        <w:t xml:space="preserve">the </w:t>
      </w:r>
      <w:r w:rsidR="00BF7B94">
        <w:rPr>
          <w:rFonts w:cs="Arial"/>
        </w:rPr>
        <w:t xml:space="preserve">hospitality industry, this hotel chain </w:t>
      </w:r>
      <w:proofErr w:type="gramStart"/>
      <w:r w:rsidR="00BF7B94">
        <w:rPr>
          <w:rFonts w:cs="Arial"/>
        </w:rPr>
        <w:t>has to</w:t>
      </w:r>
      <w:proofErr w:type="gramEnd"/>
      <w:r w:rsidR="00BF7B94">
        <w:rPr>
          <w:rFonts w:cs="Arial"/>
        </w:rPr>
        <w:t xml:space="preserve"> face fierce competition due to the nature of </w:t>
      </w:r>
      <w:r w:rsidR="00935450">
        <w:rPr>
          <w:rFonts w:cs="Arial"/>
        </w:rPr>
        <w:t xml:space="preserve">its </w:t>
      </w:r>
      <w:r w:rsidR="00BF7B94">
        <w:rPr>
          <w:rFonts w:cs="Arial"/>
        </w:rPr>
        <w:t xml:space="preserve">business. So, to </w:t>
      </w:r>
      <w:r w:rsidR="0049712B">
        <w:rPr>
          <w:rFonts w:cs="Arial"/>
        </w:rPr>
        <w:t>check the performance</w:t>
      </w:r>
      <w:r w:rsidR="00BF7B94">
        <w:rPr>
          <w:rFonts w:cs="Arial"/>
        </w:rPr>
        <w:t xml:space="preserve">, this study attempts to </w:t>
      </w:r>
      <w:proofErr w:type="spellStart"/>
      <w:r w:rsidR="00BF7B94">
        <w:rPr>
          <w:rFonts w:cs="Arial"/>
        </w:rPr>
        <w:t>analyse</w:t>
      </w:r>
      <w:proofErr w:type="spellEnd"/>
      <w:r w:rsidR="00BF7B94">
        <w:rPr>
          <w:rFonts w:cs="Arial"/>
        </w:rPr>
        <w:t xml:space="preserve"> the short </w:t>
      </w:r>
      <w:proofErr w:type="spellStart"/>
      <w:r w:rsidR="00BF7B94">
        <w:rPr>
          <w:rFonts w:cs="Arial"/>
        </w:rPr>
        <w:t>ad</w:t>
      </w:r>
      <w:proofErr w:type="spellEnd"/>
      <w:r w:rsidR="00BF7B94">
        <w:rPr>
          <w:rFonts w:cs="Arial"/>
        </w:rPr>
        <w:t xml:space="preserve"> long term liability management and profitability management capability of this company for 2020 and 2019. It also has </w:t>
      </w:r>
      <w:proofErr w:type="spellStart"/>
      <w:r w:rsidR="00BF7B94">
        <w:rPr>
          <w:rFonts w:cs="Arial"/>
        </w:rPr>
        <w:t>analysed</w:t>
      </w:r>
      <w:proofErr w:type="spellEnd"/>
      <w:r w:rsidR="00BF7B94">
        <w:rPr>
          <w:rFonts w:cs="Arial"/>
        </w:rPr>
        <w:t xml:space="preserve"> the trend from the historical data along with limitations and scopes of ratio analysis.</w:t>
      </w:r>
    </w:p>
    <w:p w14:paraId="05BE2550" w14:textId="77777777" w:rsidR="007C284C" w:rsidRDefault="007C284C" w:rsidP="00206168">
      <w:pPr>
        <w:spacing w:line="360" w:lineRule="auto"/>
        <w:rPr>
          <w:rFonts w:cs="Arial"/>
        </w:rPr>
      </w:pPr>
    </w:p>
    <w:p w14:paraId="05BE2551" w14:textId="77777777" w:rsidR="007C284C" w:rsidRDefault="007C284C" w:rsidP="00206168">
      <w:pPr>
        <w:spacing w:line="360" w:lineRule="auto"/>
        <w:rPr>
          <w:rFonts w:cs="Arial"/>
        </w:rPr>
      </w:pPr>
    </w:p>
    <w:p w14:paraId="05BE2552" w14:textId="77777777" w:rsidR="007C284C" w:rsidRDefault="007C284C" w:rsidP="00206168">
      <w:pPr>
        <w:spacing w:line="360" w:lineRule="auto"/>
        <w:rPr>
          <w:rFonts w:cs="Arial"/>
        </w:rPr>
      </w:pPr>
    </w:p>
    <w:p w14:paraId="05BE2553" w14:textId="77777777" w:rsidR="007C284C" w:rsidRPr="00BE3BBE" w:rsidRDefault="007C284C" w:rsidP="00206168">
      <w:pPr>
        <w:spacing w:line="360" w:lineRule="auto"/>
        <w:rPr>
          <w:rFonts w:cs="Arial"/>
        </w:rPr>
      </w:pPr>
    </w:p>
    <w:p w14:paraId="05BE2554" w14:textId="77777777" w:rsidR="00206168" w:rsidRPr="00BE3BBE" w:rsidRDefault="00206168" w:rsidP="00652DA8">
      <w:pPr>
        <w:pStyle w:val="Heading1"/>
        <w:rPr>
          <w:rFonts w:cs="Arial"/>
        </w:rPr>
      </w:pPr>
    </w:p>
    <w:p w14:paraId="05BE2555" w14:textId="77777777" w:rsidR="00206168" w:rsidRPr="00BE3BBE" w:rsidRDefault="00206168" w:rsidP="00652DA8">
      <w:pPr>
        <w:pStyle w:val="Heading1"/>
        <w:rPr>
          <w:rFonts w:cs="Arial"/>
        </w:rPr>
      </w:pPr>
    </w:p>
    <w:p w14:paraId="05BE2556" w14:textId="77777777" w:rsidR="00206168" w:rsidRPr="00BE3BBE" w:rsidRDefault="00206168" w:rsidP="00652DA8">
      <w:pPr>
        <w:pStyle w:val="Heading1"/>
        <w:rPr>
          <w:rFonts w:cs="Arial"/>
        </w:rPr>
      </w:pPr>
    </w:p>
    <w:p w14:paraId="05BE2557" w14:textId="77777777" w:rsidR="00842564" w:rsidRPr="00BE3BBE" w:rsidRDefault="00842564" w:rsidP="00652DA8">
      <w:pPr>
        <w:pStyle w:val="Heading1"/>
        <w:rPr>
          <w:rFonts w:cs="Arial"/>
        </w:rPr>
      </w:pPr>
    </w:p>
    <w:p w14:paraId="05BE2558" w14:textId="77777777" w:rsidR="00842564" w:rsidRPr="00BE3BBE" w:rsidRDefault="00842564" w:rsidP="00842564">
      <w:pPr>
        <w:rPr>
          <w:rFonts w:cs="Arial"/>
        </w:rPr>
      </w:pPr>
    </w:p>
    <w:p w14:paraId="05BE2559" w14:textId="77777777" w:rsidR="00652DA8" w:rsidRPr="00BE3BBE" w:rsidRDefault="00652DA8" w:rsidP="00652DA8">
      <w:pPr>
        <w:pStyle w:val="Heading1"/>
        <w:rPr>
          <w:rFonts w:cs="Arial"/>
        </w:rPr>
      </w:pPr>
      <w:bookmarkStart w:id="4" w:name="_Toc103622108"/>
      <w:bookmarkStart w:id="5" w:name="_Toc103622149"/>
      <w:r w:rsidRPr="00BE3BBE">
        <w:rPr>
          <w:rFonts w:cs="Arial"/>
        </w:rPr>
        <w:lastRenderedPageBreak/>
        <w:t>Financial Analysis</w:t>
      </w:r>
      <w:bookmarkEnd w:id="4"/>
      <w:bookmarkEnd w:id="5"/>
    </w:p>
    <w:p w14:paraId="05BE255A" w14:textId="77777777" w:rsidR="008556A0" w:rsidRPr="00BE3BBE" w:rsidRDefault="007C284C" w:rsidP="008556A0">
      <w:pPr>
        <w:jc w:val="center"/>
        <w:rPr>
          <w:rFonts w:cs="Arial"/>
        </w:rPr>
      </w:pPr>
      <w:r>
        <w:rPr>
          <w:rFonts w:cs="Arial"/>
          <w:noProof/>
        </w:rPr>
        <w:drawing>
          <wp:inline distT="0" distB="0" distL="0" distR="0" wp14:anchorId="05BE266E" wp14:editId="05BE266F">
            <wp:extent cx="4447505" cy="252944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atio.png"/>
                    <pic:cNvPicPr/>
                  </pic:nvPicPr>
                  <pic:blipFill>
                    <a:blip r:embed="rId11">
                      <a:extLst>
                        <a:ext uri="{28A0092B-C50C-407E-A947-70E740481C1C}">
                          <a14:useLocalDpi xmlns:a14="http://schemas.microsoft.com/office/drawing/2010/main" val="0"/>
                        </a:ext>
                      </a:extLst>
                    </a:blip>
                    <a:stretch>
                      <a:fillRect/>
                    </a:stretch>
                  </pic:blipFill>
                  <pic:spPr>
                    <a:xfrm>
                      <a:off x="0" y="0"/>
                      <a:ext cx="4489695" cy="2553440"/>
                    </a:xfrm>
                    <a:prstGeom prst="rect">
                      <a:avLst/>
                    </a:prstGeom>
                  </pic:spPr>
                </pic:pic>
              </a:graphicData>
            </a:graphic>
          </wp:inline>
        </w:drawing>
      </w:r>
    </w:p>
    <w:p w14:paraId="05BE255B" w14:textId="77777777" w:rsidR="008556A0" w:rsidRPr="00BE3BBE" w:rsidRDefault="008556A0" w:rsidP="008556A0">
      <w:pPr>
        <w:jc w:val="center"/>
        <w:rPr>
          <w:rFonts w:cs="Arial"/>
        </w:rPr>
      </w:pPr>
      <w:r w:rsidRPr="00BE3BBE">
        <w:rPr>
          <w:rFonts w:cs="Arial"/>
        </w:rPr>
        <w:t>Figure 01: Profitability Ratios</w:t>
      </w:r>
    </w:p>
    <w:p w14:paraId="05BE255C" w14:textId="77777777" w:rsidR="008556A0" w:rsidRDefault="008556A0" w:rsidP="008556A0">
      <w:pPr>
        <w:jc w:val="center"/>
        <w:rPr>
          <w:rFonts w:cs="Arial"/>
        </w:rPr>
      </w:pPr>
      <w:r w:rsidRPr="00BE3BBE">
        <w:rPr>
          <w:rFonts w:cs="Arial"/>
        </w:rPr>
        <w:t>Sources</w:t>
      </w:r>
      <w:r w:rsidRPr="003D5829">
        <w:rPr>
          <w:rFonts w:cs="Arial"/>
        </w:rPr>
        <w:t xml:space="preserve">: </w:t>
      </w:r>
      <w:r w:rsidR="007C284C">
        <w:rPr>
          <w:rFonts w:cs="Arial"/>
        </w:rPr>
        <w:t>KPI Examples Review, 2017</w:t>
      </w:r>
    </w:p>
    <w:p w14:paraId="05BE255D" w14:textId="77777777" w:rsidR="007C284C" w:rsidRPr="00BE3BBE" w:rsidRDefault="007C284C" w:rsidP="007C284C">
      <w:pPr>
        <w:pStyle w:val="Heading2"/>
        <w:rPr>
          <w:rFonts w:cs="Arial"/>
        </w:rPr>
      </w:pPr>
      <w:bookmarkStart w:id="6" w:name="_Toc103622109"/>
      <w:bookmarkStart w:id="7" w:name="_Toc103622150"/>
      <w:r w:rsidRPr="00BE3BBE">
        <w:rPr>
          <w:rFonts w:cs="Arial"/>
        </w:rPr>
        <w:t>Profitability Ratios</w:t>
      </w:r>
      <w:bookmarkEnd w:id="6"/>
      <w:bookmarkEnd w:id="7"/>
    </w:p>
    <w:p w14:paraId="05BE255E" w14:textId="77777777" w:rsidR="00652DA8" w:rsidRPr="00BE3BBE" w:rsidRDefault="00F32371" w:rsidP="00652DA8">
      <w:pPr>
        <w:spacing w:line="360" w:lineRule="auto"/>
        <w:rPr>
          <w:rFonts w:cs="Arial"/>
        </w:rPr>
      </w:pPr>
      <w:r w:rsidRPr="00BE3BBE">
        <w:rPr>
          <w:rFonts w:cs="Arial"/>
        </w:rPr>
        <w:t xml:space="preserve">The profitability ratios of </w:t>
      </w:r>
      <w:r w:rsidR="003164AC">
        <w:rPr>
          <w:rFonts w:cs="Arial"/>
        </w:rPr>
        <w:t xml:space="preserve">Hilton Hotel for </w:t>
      </w:r>
      <w:r w:rsidR="00935450">
        <w:rPr>
          <w:rFonts w:cs="Arial"/>
        </w:rPr>
        <w:t xml:space="preserve">the </w:t>
      </w:r>
      <w:r w:rsidR="003164AC">
        <w:rPr>
          <w:rFonts w:cs="Arial"/>
        </w:rPr>
        <w:t>year 2020 and 2019 are shown here</w:t>
      </w:r>
      <w:r w:rsidRPr="00BE3BBE">
        <w:rPr>
          <w:rFonts w:cs="Arial"/>
        </w:rP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6"/>
        <w:gridCol w:w="2369"/>
        <w:gridCol w:w="2520"/>
        <w:gridCol w:w="2875"/>
      </w:tblGrid>
      <w:tr w:rsidR="00652DA8" w:rsidRPr="00652DA8" w14:paraId="05BE2560" w14:textId="77777777" w:rsidTr="00FE1E7D">
        <w:trPr>
          <w:trHeight w:val="377"/>
        </w:trPr>
        <w:tc>
          <w:tcPr>
            <w:tcW w:w="9350" w:type="dxa"/>
            <w:gridSpan w:val="4"/>
            <w:shd w:val="clear" w:color="auto" w:fill="1F4E79" w:themeFill="accent1" w:themeFillShade="80"/>
            <w:noWrap/>
            <w:vAlign w:val="bottom"/>
            <w:hideMark/>
          </w:tcPr>
          <w:p w14:paraId="05BE255F" w14:textId="77777777" w:rsidR="00652DA8" w:rsidRPr="00652DA8" w:rsidRDefault="00652DA8" w:rsidP="00652DA8">
            <w:pPr>
              <w:spacing w:after="0" w:line="240" w:lineRule="auto"/>
              <w:jc w:val="center"/>
              <w:rPr>
                <w:rFonts w:eastAsia="Times New Roman" w:cs="Arial"/>
                <w:b/>
                <w:bCs/>
                <w:color w:val="FFFFFF"/>
                <w:szCs w:val="24"/>
              </w:rPr>
            </w:pPr>
            <w:r w:rsidRPr="00652DA8">
              <w:rPr>
                <w:rFonts w:eastAsia="Times New Roman" w:cs="Arial"/>
                <w:b/>
                <w:bCs/>
                <w:color w:val="FFFFFF"/>
                <w:szCs w:val="24"/>
              </w:rPr>
              <w:t>Profitability Ratios</w:t>
            </w:r>
            <w:r w:rsidR="00DF540E">
              <w:rPr>
                <w:rFonts w:eastAsia="Times New Roman" w:cs="Arial"/>
                <w:b/>
                <w:bCs/>
                <w:color w:val="FFFFFF"/>
                <w:szCs w:val="24"/>
              </w:rPr>
              <w:t xml:space="preserve"> (</w:t>
            </w:r>
            <w:r w:rsidR="00B76D6E">
              <w:rPr>
                <w:rFonts w:eastAsia="Times New Roman" w:cs="Arial"/>
                <w:b/>
                <w:bCs/>
                <w:color w:val="FFFFFF"/>
                <w:szCs w:val="24"/>
              </w:rPr>
              <w:t xml:space="preserve">amounts in </w:t>
            </w:r>
            <w:r w:rsidR="00DF540E">
              <w:rPr>
                <w:rFonts w:eastAsia="Times New Roman" w:cs="Arial"/>
                <w:b/>
                <w:bCs/>
                <w:color w:val="FFFFFF"/>
                <w:szCs w:val="24"/>
              </w:rPr>
              <w:t>’000 USD)</w:t>
            </w:r>
          </w:p>
        </w:tc>
      </w:tr>
      <w:tr w:rsidR="00481DF5" w:rsidRPr="00BE3BBE" w14:paraId="05BE2565" w14:textId="77777777" w:rsidTr="004D2401">
        <w:trPr>
          <w:trHeight w:val="269"/>
        </w:trPr>
        <w:tc>
          <w:tcPr>
            <w:tcW w:w="1586" w:type="dxa"/>
            <w:shd w:val="clear" w:color="auto" w:fill="auto"/>
            <w:noWrap/>
            <w:vAlign w:val="bottom"/>
            <w:hideMark/>
          </w:tcPr>
          <w:p w14:paraId="05BE2561" w14:textId="77777777" w:rsidR="00652DA8" w:rsidRPr="00652DA8" w:rsidRDefault="00481DF5" w:rsidP="00481DF5">
            <w:pPr>
              <w:spacing w:after="0" w:line="240" w:lineRule="auto"/>
              <w:jc w:val="center"/>
              <w:rPr>
                <w:rFonts w:eastAsia="Times New Roman" w:cs="Arial"/>
                <w:b/>
                <w:color w:val="000000"/>
                <w:szCs w:val="24"/>
              </w:rPr>
            </w:pPr>
            <w:r w:rsidRPr="00BE3BBE">
              <w:rPr>
                <w:rFonts w:eastAsia="Times New Roman" w:cs="Arial"/>
                <w:b/>
                <w:color w:val="000000"/>
                <w:szCs w:val="24"/>
              </w:rPr>
              <w:t>Name</w:t>
            </w:r>
          </w:p>
        </w:tc>
        <w:tc>
          <w:tcPr>
            <w:tcW w:w="2369" w:type="dxa"/>
            <w:shd w:val="clear" w:color="auto" w:fill="auto"/>
            <w:noWrap/>
            <w:vAlign w:val="bottom"/>
            <w:hideMark/>
          </w:tcPr>
          <w:p w14:paraId="05BE2562" w14:textId="77777777" w:rsidR="00652DA8" w:rsidRPr="00652DA8" w:rsidRDefault="00481DF5" w:rsidP="00481DF5">
            <w:pPr>
              <w:spacing w:after="0" w:line="240" w:lineRule="auto"/>
              <w:jc w:val="center"/>
              <w:rPr>
                <w:rFonts w:eastAsia="Times New Roman" w:cs="Arial"/>
                <w:b/>
                <w:color w:val="000000"/>
                <w:szCs w:val="24"/>
              </w:rPr>
            </w:pPr>
            <w:r w:rsidRPr="00BE3BBE">
              <w:rPr>
                <w:rFonts w:eastAsia="Times New Roman" w:cs="Arial"/>
                <w:b/>
                <w:color w:val="000000"/>
                <w:szCs w:val="24"/>
              </w:rPr>
              <w:t>Formula</w:t>
            </w:r>
          </w:p>
        </w:tc>
        <w:tc>
          <w:tcPr>
            <w:tcW w:w="2520" w:type="dxa"/>
            <w:shd w:val="clear" w:color="auto" w:fill="auto"/>
            <w:noWrap/>
            <w:vAlign w:val="bottom"/>
            <w:hideMark/>
          </w:tcPr>
          <w:p w14:paraId="05BE2563" w14:textId="77777777" w:rsidR="00652DA8" w:rsidRPr="00652DA8" w:rsidRDefault="00652DA8" w:rsidP="00C43E32">
            <w:pPr>
              <w:spacing w:after="0" w:line="240" w:lineRule="auto"/>
              <w:jc w:val="center"/>
              <w:rPr>
                <w:rFonts w:eastAsia="Times New Roman" w:cs="Arial"/>
                <w:b/>
                <w:bCs/>
                <w:color w:val="000000"/>
                <w:szCs w:val="24"/>
              </w:rPr>
            </w:pPr>
            <w:r w:rsidRPr="00652DA8">
              <w:rPr>
                <w:rFonts w:eastAsia="Times New Roman" w:cs="Arial"/>
                <w:b/>
                <w:bCs/>
                <w:color w:val="000000"/>
                <w:szCs w:val="24"/>
              </w:rPr>
              <w:t>20</w:t>
            </w:r>
            <w:r w:rsidR="00C43E32">
              <w:rPr>
                <w:rFonts w:eastAsia="Times New Roman" w:cs="Arial"/>
                <w:b/>
                <w:bCs/>
                <w:color w:val="000000"/>
                <w:szCs w:val="24"/>
              </w:rPr>
              <w:t>20</w:t>
            </w:r>
          </w:p>
        </w:tc>
        <w:tc>
          <w:tcPr>
            <w:tcW w:w="2875" w:type="dxa"/>
            <w:shd w:val="clear" w:color="auto" w:fill="auto"/>
            <w:noWrap/>
            <w:vAlign w:val="bottom"/>
            <w:hideMark/>
          </w:tcPr>
          <w:p w14:paraId="05BE2564" w14:textId="77777777" w:rsidR="00652DA8" w:rsidRPr="00652DA8" w:rsidRDefault="00652DA8" w:rsidP="00481DF5">
            <w:pPr>
              <w:spacing w:after="0" w:line="240" w:lineRule="auto"/>
              <w:jc w:val="center"/>
              <w:rPr>
                <w:rFonts w:eastAsia="Times New Roman" w:cs="Arial"/>
                <w:b/>
                <w:bCs/>
                <w:color w:val="000000"/>
                <w:szCs w:val="24"/>
              </w:rPr>
            </w:pPr>
            <w:r w:rsidRPr="00652DA8">
              <w:rPr>
                <w:rFonts w:eastAsia="Times New Roman" w:cs="Arial"/>
                <w:b/>
                <w:bCs/>
                <w:color w:val="000000"/>
                <w:szCs w:val="24"/>
              </w:rPr>
              <w:t>2</w:t>
            </w:r>
            <w:r w:rsidR="00C43E32">
              <w:rPr>
                <w:rFonts w:eastAsia="Times New Roman" w:cs="Arial"/>
                <w:b/>
                <w:bCs/>
                <w:color w:val="000000"/>
                <w:szCs w:val="24"/>
              </w:rPr>
              <w:t>019</w:t>
            </w:r>
          </w:p>
        </w:tc>
      </w:tr>
      <w:tr w:rsidR="00481DF5" w:rsidRPr="00BE3BBE" w14:paraId="05BE256C" w14:textId="77777777" w:rsidTr="004D2401">
        <w:trPr>
          <w:trHeight w:val="638"/>
        </w:trPr>
        <w:tc>
          <w:tcPr>
            <w:tcW w:w="1586" w:type="dxa"/>
            <w:shd w:val="clear" w:color="auto" w:fill="auto"/>
            <w:noWrap/>
            <w:vAlign w:val="bottom"/>
            <w:hideMark/>
          </w:tcPr>
          <w:p w14:paraId="05BE2566" w14:textId="77777777" w:rsidR="00652DA8" w:rsidRPr="00CE5B5D" w:rsidRDefault="00652DA8" w:rsidP="00652DA8">
            <w:pPr>
              <w:spacing w:after="0" w:line="240" w:lineRule="auto"/>
              <w:jc w:val="left"/>
              <w:rPr>
                <w:rFonts w:eastAsia="Times New Roman" w:cs="Arial"/>
                <w:i/>
                <w:color w:val="000000"/>
                <w:szCs w:val="24"/>
              </w:rPr>
            </w:pPr>
            <w:r w:rsidRPr="00CE5B5D">
              <w:rPr>
                <w:rFonts w:eastAsia="Times New Roman" w:cs="Arial"/>
                <w:i/>
                <w:color w:val="000000"/>
                <w:szCs w:val="24"/>
              </w:rPr>
              <w:t>Gross Profit Margin</w:t>
            </w:r>
          </w:p>
        </w:tc>
        <w:tc>
          <w:tcPr>
            <w:tcW w:w="2369" w:type="dxa"/>
            <w:shd w:val="clear" w:color="auto" w:fill="auto"/>
            <w:noWrap/>
            <w:vAlign w:val="bottom"/>
            <w:hideMark/>
          </w:tcPr>
          <w:p w14:paraId="05BE2567" w14:textId="77777777" w:rsidR="00652DA8" w:rsidRPr="00652DA8" w:rsidRDefault="00652DA8" w:rsidP="00652DA8">
            <w:pPr>
              <w:spacing w:after="0" w:line="240" w:lineRule="auto"/>
              <w:jc w:val="left"/>
              <w:rPr>
                <w:rFonts w:eastAsia="Times New Roman" w:cs="Arial"/>
                <w:color w:val="000000"/>
                <w:szCs w:val="24"/>
              </w:rPr>
            </w:pPr>
            <w:r w:rsidRPr="00652DA8">
              <w:rPr>
                <w:rFonts w:eastAsia="Times New Roman" w:cs="Arial"/>
                <w:color w:val="000000"/>
                <w:szCs w:val="24"/>
              </w:rPr>
              <w:t>Gross Profit/Sales</w:t>
            </w:r>
          </w:p>
        </w:tc>
        <w:tc>
          <w:tcPr>
            <w:tcW w:w="2520" w:type="dxa"/>
            <w:shd w:val="clear" w:color="auto" w:fill="auto"/>
            <w:noWrap/>
            <w:vAlign w:val="bottom"/>
            <w:hideMark/>
          </w:tcPr>
          <w:p w14:paraId="05BE2568" w14:textId="77777777" w:rsidR="00AD1F5B" w:rsidRPr="00BE3BBE" w:rsidRDefault="00AD1F5B" w:rsidP="00AD1F5B">
            <w:pPr>
              <w:spacing w:after="0" w:line="240" w:lineRule="auto"/>
              <w:jc w:val="left"/>
              <w:rPr>
                <w:rFonts w:eastAsia="Times New Roman" w:cs="Arial"/>
                <w:color w:val="000000"/>
                <w:szCs w:val="24"/>
              </w:rPr>
            </w:pPr>
            <w:r w:rsidRPr="00BE3BBE">
              <w:rPr>
                <w:rFonts w:eastAsia="Times New Roman" w:cs="Arial"/>
                <w:color w:val="000000"/>
                <w:szCs w:val="24"/>
              </w:rPr>
              <w:t>=(</w:t>
            </w:r>
            <w:r w:rsidR="00022921">
              <w:rPr>
                <w:rFonts w:cs="Arial"/>
              </w:rPr>
              <w:t>583</w:t>
            </w:r>
            <w:r w:rsidRPr="00BE3BBE">
              <w:rPr>
                <w:rFonts w:eastAsia="Times New Roman" w:cs="Arial"/>
                <w:color w:val="000000"/>
                <w:szCs w:val="24"/>
              </w:rPr>
              <w:t>/</w:t>
            </w:r>
            <w:r w:rsidR="00022921">
              <w:rPr>
                <w:rFonts w:cs="Arial"/>
              </w:rPr>
              <w:t>4,307</w:t>
            </w:r>
            <w:r w:rsidRPr="00BE3BBE">
              <w:rPr>
                <w:rFonts w:eastAsia="Times New Roman" w:cs="Arial"/>
                <w:color w:val="000000"/>
                <w:szCs w:val="24"/>
              </w:rPr>
              <w:t>)</w:t>
            </w:r>
            <w:r w:rsidRPr="00BE3BBE">
              <w:rPr>
                <w:rFonts w:cs="Arial"/>
              </w:rPr>
              <w:t xml:space="preserve"> x 100          </w:t>
            </w:r>
          </w:p>
          <w:p w14:paraId="05BE2569" w14:textId="77777777" w:rsidR="00652DA8" w:rsidRPr="00652DA8" w:rsidRDefault="00AD1F5B" w:rsidP="00B25DC2">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13.54</w:t>
            </w:r>
            <w:r w:rsidR="00652DA8" w:rsidRPr="00652DA8">
              <w:rPr>
                <w:rFonts w:eastAsia="Times New Roman" w:cs="Arial"/>
                <w:color w:val="000000"/>
                <w:szCs w:val="24"/>
              </w:rPr>
              <w:t>%</w:t>
            </w:r>
          </w:p>
        </w:tc>
        <w:tc>
          <w:tcPr>
            <w:tcW w:w="2875" w:type="dxa"/>
            <w:shd w:val="clear" w:color="auto" w:fill="auto"/>
            <w:noWrap/>
            <w:vAlign w:val="bottom"/>
            <w:hideMark/>
          </w:tcPr>
          <w:p w14:paraId="05BE256A" w14:textId="77777777" w:rsidR="00AD1F5B" w:rsidRPr="00BE3BBE" w:rsidRDefault="00AD1F5B" w:rsidP="00AD1F5B">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2,435/9,452</w:t>
            </w:r>
            <w:r w:rsidRPr="00BE3BBE">
              <w:rPr>
                <w:rFonts w:eastAsia="Times New Roman" w:cs="Arial"/>
                <w:color w:val="000000"/>
                <w:szCs w:val="24"/>
              </w:rPr>
              <w:t>)</w:t>
            </w:r>
            <w:r w:rsidRPr="00BE3BBE">
              <w:rPr>
                <w:rFonts w:cs="Arial"/>
              </w:rPr>
              <w:t xml:space="preserve"> x 100          </w:t>
            </w:r>
          </w:p>
          <w:p w14:paraId="05BE256B" w14:textId="77777777" w:rsidR="00652DA8" w:rsidRPr="00652DA8" w:rsidRDefault="00AD1F5B" w:rsidP="00B25DC2">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25.76</w:t>
            </w:r>
            <w:r w:rsidR="00652DA8" w:rsidRPr="00652DA8">
              <w:rPr>
                <w:rFonts w:eastAsia="Times New Roman" w:cs="Arial"/>
                <w:color w:val="000000"/>
                <w:szCs w:val="24"/>
              </w:rPr>
              <w:t>%</w:t>
            </w:r>
          </w:p>
        </w:tc>
      </w:tr>
      <w:tr w:rsidR="00481DF5" w:rsidRPr="00BE3BBE" w14:paraId="05BE2573" w14:textId="77777777" w:rsidTr="004D2401">
        <w:trPr>
          <w:trHeight w:val="692"/>
        </w:trPr>
        <w:tc>
          <w:tcPr>
            <w:tcW w:w="1586" w:type="dxa"/>
            <w:shd w:val="clear" w:color="auto" w:fill="auto"/>
            <w:noWrap/>
            <w:vAlign w:val="bottom"/>
            <w:hideMark/>
          </w:tcPr>
          <w:p w14:paraId="05BE256D" w14:textId="77777777" w:rsidR="00652DA8" w:rsidRPr="00CE5B5D" w:rsidRDefault="00652DA8" w:rsidP="00652DA8">
            <w:pPr>
              <w:spacing w:after="0" w:line="240" w:lineRule="auto"/>
              <w:jc w:val="left"/>
              <w:rPr>
                <w:rFonts w:eastAsia="Times New Roman" w:cs="Arial"/>
                <w:i/>
                <w:color w:val="000000"/>
                <w:szCs w:val="24"/>
              </w:rPr>
            </w:pPr>
            <w:r w:rsidRPr="00CE5B5D">
              <w:rPr>
                <w:rFonts w:eastAsia="Times New Roman" w:cs="Arial"/>
                <w:i/>
                <w:color w:val="000000"/>
                <w:szCs w:val="24"/>
              </w:rPr>
              <w:t>Net Profit Margin</w:t>
            </w:r>
          </w:p>
        </w:tc>
        <w:tc>
          <w:tcPr>
            <w:tcW w:w="2369" w:type="dxa"/>
            <w:shd w:val="clear" w:color="auto" w:fill="auto"/>
            <w:noWrap/>
            <w:vAlign w:val="bottom"/>
            <w:hideMark/>
          </w:tcPr>
          <w:p w14:paraId="05BE256E" w14:textId="77777777" w:rsidR="00652DA8" w:rsidRPr="00652DA8" w:rsidRDefault="00652DA8" w:rsidP="00652DA8">
            <w:pPr>
              <w:spacing w:after="0" w:line="240" w:lineRule="auto"/>
              <w:jc w:val="left"/>
              <w:rPr>
                <w:rFonts w:eastAsia="Times New Roman" w:cs="Arial"/>
                <w:color w:val="000000"/>
                <w:szCs w:val="24"/>
              </w:rPr>
            </w:pPr>
            <w:r w:rsidRPr="00652DA8">
              <w:rPr>
                <w:rFonts w:eastAsia="Times New Roman" w:cs="Arial"/>
                <w:color w:val="000000"/>
                <w:szCs w:val="24"/>
              </w:rPr>
              <w:t>Net Profit/Sales</w:t>
            </w:r>
          </w:p>
        </w:tc>
        <w:tc>
          <w:tcPr>
            <w:tcW w:w="2520" w:type="dxa"/>
            <w:shd w:val="clear" w:color="auto" w:fill="auto"/>
            <w:noWrap/>
            <w:vAlign w:val="bottom"/>
            <w:hideMark/>
          </w:tcPr>
          <w:p w14:paraId="05BE256F" w14:textId="77777777" w:rsidR="00AD1F5B" w:rsidRPr="00BE3BBE" w:rsidRDefault="00AD1F5B" w:rsidP="00AD1F5B">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-715</w:t>
            </w:r>
            <w:r w:rsidRPr="00BE3BBE">
              <w:rPr>
                <w:rFonts w:eastAsia="Times New Roman" w:cs="Arial"/>
                <w:color w:val="000000"/>
                <w:szCs w:val="24"/>
              </w:rPr>
              <w:t>/</w:t>
            </w:r>
            <w:r w:rsidR="00B25DC2">
              <w:rPr>
                <w:rFonts w:eastAsia="Times New Roman" w:cs="Arial"/>
                <w:color w:val="000000"/>
                <w:szCs w:val="24"/>
              </w:rPr>
              <w:t>4,307</w:t>
            </w:r>
            <w:r w:rsidRPr="00BE3BBE">
              <w:rPr>
                <w:rFonts w:eastAsia="Times New Roman" w:cs="Arial"/>
                <w:color w:val="000000"/>
                <w:szCs w:val="24"/>
              </w:rPr>
              <w:t>)</w:t>
            </w:r>
            <w:r w:rsidRPr="00BE3BBE">
              <w:rPr>
                <w:rFonts w:cs="Arial"/>
              </w:rPr>
              <w:t xml:space="preserve"> x 100          </w:t>
            </w:r>
          </w:p>
          <w:p w14:paraId="05BE2570" w14:textId="77777777" w:rsidR="00652DA8" w:rsidRPr="00652DA8" w:rsidRDefault="00AD1F5B" w:rsidP="00B25DC2">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-16.60</w:t>
            </w:r>
            <w:r w:rsidR="00652DA8" w:rsidRPr="00652DA8">
              <w:rPr>
                <w:rFonts w:eastAsia="Times New Roman" w:cs="Arial"/>
                <w:color w:val="000000"/>
                <w:szCs w:val="24"/>
              </w:rPr>
              <w:t>%</w:t>
            </w:r>
          </w:p>
        </w:tc>
        <w:tc>
          <w:tcPr>
            <w:tcW w:w="2875" w:type="dxa"/>
            <w:shd w:val="clear" w:color="auto" w:fill="auto"/>
            <w:noWrap/>
            <w:vAlign w:val="bottom"/>
            <w:hideMark/>
          </w:tcPr>
          <w:p w14:paraId="05BE2571" w14:textId="77777777" w:rsidR="00AD1F5B" w:rsidRPr="00BE3BBE" w:rsidRDefault="00AD1F5B" w:rsidP="00AD1F5B">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881/9,452</w:t>
            </w:r>
            <w:r w:rsidRPr="00BE3BBE">
              <w:rPr>
                <w:rFonts w:eastAsia="Times New Roman" w:cs="Arial"/>
                <w:color w:val="000000"/>
                <w:szCs w:val="24"/>
              </w:rPr>
              <w:t>)</w:t>
            </w:r>
            <w:r w:rsidRPr="00BE3BBE">
              <w:rPr>
                <w:rFonts w:cs="Arial"/>
              </w:rPr>
              <w:t xml:space="preserve"> x 100          </w:t>
            </w:r>
          </w:p>
          <w:p w14:paraId="05BE2572" w14:textId="77777777" w:rsidR="00652DA8" w:rsidRPr="00652DA8" w:rsidRDefault="00AD1F5B" w:rsidP="00B25DC2">
            <w:pPr>
              <w:spacing w:after="0" w:line="240" w:lineRule="auto"/>
              <w:jc w:val="left"/>
              <w:rPr>
                <w:rFonts w:eastAsia="Times New Roman" w:cs="Arial"/>
                <w:color w:val="000000"/>
                <w:szCs w:val="24"/>
              </w:rPr>
            </w:pPr>
            <w:r w:rsidRPr="00BE3BBE">
              <w:rPr>
                <w:rFonts w:eastAsia="Times New Roman" w:cs="Arial"/>
                <w:color w:val="000000"/>
                <w:szCs w:val="24"/>
              </w:rPr>
              <w:t>=</w:t>
            </w:r>
            <w:r w:rsidR="00B25DC2">
              <w:rPr>
                <w:rFonts w:eastAsia="Times New Roman" w:cs="Arial"/>
                <w:color w:val="000000"/>
                <w:szCs w:val="24"/>
              </w:rPr>
              <w:t>9.32</w:t>
            </w:r>
            <w:r w:rsidR="00652DA8" w:rsidRPr="00652DA8">
              <w:rPr>
                <w:rFonts w:eastAsia="Times New Roman" w:cs="Arial"/>
                <w:color w:val="000000"/>
                <w:szCs w:val="24"/>
              </w:rPr>
              <w:t>%</w:t>
            </w:r>
          </w:p>
        </w:tc>
      </w:tr>
      <w:tr w:rsidR="00481DF5" w:rsidRPr="00BE3BBE" w14:paraId="05BE257A" w14:textId="77777777" w:rsidTr="004D2401">
        <w:trPr>
          <w:trHeight w:val="998"/>
        </w:trPr>
        <w:tc>
          <w:tcPr>
            <w:tcW w:w="1586" w:type="dxa"/>
            <w:shd w:val="clear" w:color="auto" w:fill="auto"/>
            <w:noWrap/>
            <w:vAlign w:val="bottom"/>
            <w:hideMark/>
          </w:tcPr>
          <w:p w14:paraId="05BE2574" w14:textId="77777777" w:rsidR="00652DA8" w:rsidRPr="00CE5B5D" w:rsidRDefault="00652DA8" w:rsidP="00652DA8">
            <w:pPr>
              <w:spacing w:after="0" w:line="240" w:lineRule="auto"/>
              <w:jc w:val="left"/>
              <w:rPr>
                <w:rFonts w:eastAsia="Times New Roman" w:cs="Arial"/>
                <w:i/>
                <w:color w:val="000000"/>
                <w:szCs w:val="24"/>
              </w:rPr>
            </w:pPr>
            <w:r w:rsidRPr="00CE5B5D">
              <w:rPr>
                <w:rFonts w:eastAsia="Times New Roman" w:cs="Arial"/>
                <w:i/>
                <w:color w:val="000000"/>
                <w:szCs w:val="24"/>
              </w:rPr>
              <w:t>ROCE</w:t>
            </w:r>
          </w:p>
        </w:tc>
        <w:tc>
          <w:tcPr>
            <w:tcW w:w="2369" w:type="dxa"/>
            <w:shd w:val="clear" w:color="auto" w:fill="auto"/>
            <w:noWrap/>
            <w:vAlign w:val="bottom"/>
            <w:hideMark/>
          </w:tcPr>
          <w:p w14:paraId="05BE2575" w14:textId="77777777" w:rsidR="00652DA8" w:rsidRPr="00652DA8" w:rsidRDefault="00652DA8" w:rsidP="00652DA8">
            <w:pPr>
              <w:spacing w:after="0" w:line="240" w:lineRule="auto"/>
              <w:jc w:val="left"/>
              <w:rPr>
                <w:rFonts w:eastAsia="Times New Roman" w:cs="Arial"/>
                <w:color w:val="000000"/>
                <w:szCs w:val="24"/>
              </w:rPr>
            </w:pPr>
            <w:r w:rsidRPr="00652DA8">
              <w:rPr>
                <w:rFonts w:eastAsia="Times New Roman" w:cs="Arial"/>
                <w:color w:val="000000"/>
                <w:szCs w:val="24"/>
              </w:rPr>
              <w:t>Profit Before interest/Total Asset less Current Liabilities</w:t>
            </w:r>
          </w:p>
        </w:tc>
        <w:tc>
          <w:tcPr>
            <w:tcW w:w="2520" w:type="dxa"/>
            <w:shd w:val="clear" w:color="auto" w:fill="auto"/>
            <w:noWrap/>
            <w:vAlign w:val="bottom"/>
            <w:hideMark/>
          </w:tcPr>
          <w:p w14:paraId="05BE2576" w14:textId="77777777" w:rsidR="00A31AB2" w:rsidRPr="00BE3BBE" w:rsidRDefault="00A31AB2" w:rsidP="00A31AB2">
            <w:pPr>
              <w:spacing w:after="0" w:line="240" w:lineRule="auto"/>
              <w:jc w:val="left"/>
              <w:rPr>
                <w:rFonts w:eastAsia="Times New Roman" w:cs="Arial"/>
                <w:color w:val="000000"/>
                <w:szCs w:val="24"/>
              </w:rPr>
            </w:pPr>
            <w:r w:rsidRPr="00BE3BBE">
              <w:rPr>
                <w:rFonts w:eastAsia="Times New Roman" w:cs="Arial"/>
                <w:color w:val="000000"/>
                <w:szCs w:val="24"/>
              </w:rPr>
              <w:t>=(</w:t>
            </w:r>
            <w:r w:rsidR="007139B6">
              <w:rPr>
                <w:rFonts w:eastAsia="Times New Roman" w:cs="Arial"/>
                <w:color w:val="000000"/>
                <w:szCs w:val="24"/>
              </w:rPr>
              <w:t>-495</w:t>
            </w:r>
            <w:r w:rsidRPr="00BE3BBE">
              <w:rPr>
                <w:rFonts w:eastAsia="Times New Roman" w:cs="Arial"/>
                <w:color w:val="000000"/>
                <w:szCs w:val="24"/>
              </w:rPr>
              <w:t>/</w:t>
            </w:r>
            <w:r w:rsidR="007139B6">
              <w:rPr>
                <w:rFonts w:eastAsia="Times New Roman" w:cs="Arial"/>
                <w:color w:val="000000"/>
                <w:szCs w:val="24"/>
              </w:rPr>
              <w:t>14,324</w:t>
            </w:r>
            <w:r w:rsidRPr="00BE3BBE">
              <w:rPr>
                <w:rFonts w:eastAsia="Times New Roman" w:cs="Arial"/>
                <w:color w:val="000000"/>
                <w:szCs w:val="24"/>
              </w:rPr>
              <w:t>)</w:t>
            </w:r>
            <w:r w:rsidRPr="00BE3BBE">
              <w:rPr>
                <w:rFonts w:cs="Arial"/>
              </w:rPr>
              <w:t xml:space="preserve"> x 100          </w:t>
            </w:r>
          </w:p>
          <w:p w14:paraId="05BE2577" w14:textId="77777777" w:rsidR="00652DA8" w:rsidRPr="00652DA8" w:rsidRDefault="00A31AB2" w:rsidP="007139B6">
            <w:pPr>
              <w:spacing w:after="0" w:line="240" w:lineRule="auto"/>
              <w:jc w:val="left"/>
              <w:rPr>
                <w:rFonts w:eastAsia="Times New Roman" w:cs="Arial"/>
                <w:color w:val="000000"/>
                <w:szCs w:val="24"/>
              </w:rPr>
            </w:pPr>
            <w:r w:rsidRPr="00BE3BBE">
              <w:rPr>
                <w:rFonts w:eastAsia="Times New Roman" w:cs="Arial"/>
                <w:color w:val="000000"/>
                <w:szCs w:val="24"/>
              </w:rPr>
              <w:t>=</w:t>
            </w:r>
            <w:r w:rsidR="007139B6">
              <w:rPr>
                <w:rFonts w:eastAsia="Times New Roman" w:cs="Arial"/>
                <w:color w:val="000000"/>
                <w:szCs w:val="24"/>
              </w:rPr>
              <w:t>-3.46</w:t>
            </w:r>
            <w:r w:rsidR="00652DA8" w:rsidRPr="00652DA8">
              <w:rPr>
                <w:rFonts w:eastAsia="Times New Roman" w:cs="Arial"/>
                <w:color w:val="000000"/>
                <w:szCs w:val="24"/>
              </w:rPr>
              <w:t>%</w:t>
            </w:r>
          </w:p>
        </w:tc>
        <w:tc>
          <w:tcPr>
            <w:tcW w:w="2875" w:type="dxa"/>
            <w:shd w:val="clear" w:color="auto" w:fill="auto"/>
            <w:noWrap/>
            <w:vAlign w:val="bottom"/>
            <w:hideMark/>
          </w:tcPr>
          <w:p w14:paraId="05BE2578" w14:textId="77777777" w:rsidR="00A31AB2" w:rsidRPr="00BE3BBE" w:rsidRDefault="00A31AB2" w:rsidP="00A31AB2">
            <w:pPr>
              <w:spacing w:after="0" w:line="240" w:lineRule="auto"/>
              <w:jc w:val="left"/>
              <w:rPr>
                <w:rFonts w:eastAsia="Times New Roman" w:cs="Arial"/>
                <w:color w:val="000000"/>
                <w:szCs w:val="24"/>
              </w:rPr>
            </w:pPr>
            <w:r w:rsidRPr="00BE3BBE">
              <w:rPr>
                <w:rFonts w:eastAsia="Times New Roman" w:cs="Arial"/>
                <w:color w:val="000000"/>
                <w:szCs w:val="24"/>
              </w:rPr>
              <w:t>=(</w:t>
            </w:r>
            <w:r w:rsidR="007139B6">
              <w:rPr>
                <w:rFonts w:eastAsia="Times New Roman" w:cs="Arial"/>
                <w:color w:val="000000"/>
                <w:szCs w:val="24"/>
              </w:rPr>
              <w:t>1,65812,086</w:t>
            </w:r>
            <w:r w:rsidRPr="00BE3BBE">
              <w:rPr>
                <w:rFonts w:eastAsia="Times New Roman" w:cs="Arial"/>
                <w:color w:val="000000"/>
                <w:szCs w:val="24"/>
              </w:rPr>
              <w:t>)</w:t>
            </w:r>
            <w:r w:rsidRPr="00BE3BBE">
              <w:rPr>
                <w:rFonts w:cs="Arial"/>
              </w:rPr>
              <w:t xml:space="preserve"> x 100          </w:t>
            </w:r>
          </w:p>
          <w:p w14:paraId="05BE2579" w14:textId="77777777" w:rsidR="00652DA8" w:rsidRPr="00652DA8" w:rsidRDefault="00A31AB2" w:rsidP="007139B6">
            <w:pPr>
              <w:spacing w:after="0" w:line="240" w:lineRule="auto"/>
              <w:jc w:val="left"/>
              <w:rPr>
                <w:rFonts w:eastAsia="Times New Roman" w:cs="Arial"/>
                <w:color w:val="000000"/>
                <w:szCs w:val="24"/>
              </w:rPr>
            </w:pPr>
            <w:r w:rsidRPr="00BE3BBE">
              <w:rPr>
                <w:rFonts w:eastAsia="Times New Roman" w:cs="Arial"/>
                <w:color w:val="000000"/>
                <w:szCs w:val="24"/>
              </w:rPr>
              <w:t>=</w:t>
            </w:r>
            <w:r w:rsidR="007139B6">
              <w:rPr>
                <w:rFonts w:eastAsia="Times New Roman" w:cs="Arial"/>
                <w:color w:val="000000"/>
                <w:szCs w:val="24"/>
              </w:rPr>
              <w:t>13.72</w:t>
            </w:r>
            <w:r w:rsidR="00652DA8" w:rsidRPr="00652DA8">
              <w:rPr>
                <w:rFonts w:eastAsia="Times New Roman" w:cs="Arial"/>
                <w:color w:val="000000"/>
                <w:szCs w:val="24"/>
              </w:rPr>
              <w:t>%</w:t>
            </w:r>
          </w:p>
        </w:tc>
      </w:tr>
    </w:tbl>
    <w:p w14:paraId="05BE257B" w14:textId="77777777" w:rsidR="00F9376F" w:rsidRPr="00BE3BBE" w:rsidRDefault="00F9376F" w:rsidP="00F9376F">
      <w:pPr>
        <w:jc w:val="center"/>
        <w:rPr>
          <w:rFonts w:cs="Arial"/>
        </w:rPr>
      </w:pPr>
      <w:r w:rsidRPr="00BE3BBE">
        <w:rPr>
          <w:rFonts w:cs="Arial"/>
        </w:rPr>
        <w:t>Table 01: Profitability Ratios</w:t>
      </w:r>
    </w:p>
    <w:p w14:paraId="05BE257C" w14:textId="77777777" w:rsidR="00F9376F" w:rsidRPr="00BE3BBE" w:rsidRDefault="00F9376F" w:rsidP="00F9376F">
      <w:pPr>
        <w:jc w:val="center"/>
        <w:rPr>
          <w:rFonts w:cs="Arial"/>
        </w:rPr>
      </w:pPr>
      <w:r w:rsidRPr="00BE3BBE">
        <w:rPr>
          <w:rFonts w:cs="Arial"/>
        </w:rPr>
        <w:t xml:space="preserve">Source: </w:t>
      </w:r>
      <w:r w:rsidR="00FE1E7D">
        <w:rPr>
          <w:rFonts w:cs="Arial"/>
        </w:rPr>
        <w:t>Own</w:t>
      </w:r>
      <w:r w:rsidRPr="00BE3BBE">
        <w:rPr>
          <w:rFonts w:cs="Arial"/>
        </w:rPr>
        <w:t xml:space="preserve"> Calculation</w:t>
      </w:r>
    </w:p>
    <w:p w14:paraId="05BE257D" w14:textId="77777777" w:rsidR="00F32371" w:rsidRPr="00BE3BBE" w:rsidRDefault="00C43E32" w:rsidP="00652DA8">
      <w:pPr>
        <w:spacing w:line="360" w:lineRule="auto"/>
        <w:rPr>
          <w:rFonts w:cs="Arial"/>
        </w:rPr>
      </w:pPr>
      <w:r>
        <w:rPr>
          <w:rFonts w:cs="Arial"/>
        </w:rPr>
        <w:t>The calculated</w:t>
      </w:r>
      <w:r w:rsidR="00F32371" w:rsidRPr="00BE3BBE">
        <w:rPr>
          <w:rFonts w:cs="Arial"/>
        </w:rPr>
        <w:t xml:space="preserve"> ratios are </w:t>
      </w:r>
      <w:r>
        <w:rPr>
          <w:rFonts w:cs="Arial"/>
        </w:rPr>
        <w:t>below</w:t>
      </w:r>
      <w:r w:rsidR="00F32371" w:rsidRPr="00BE3BBE">
        <w:rPr>
          <w:rFonts w:cs="Arial"/>
        </w:rPr>
        <w:t xml:space="preserve"> the benchmark ratios</w:t>
      </w:r>
      <w:r w:rsidR="00802F44" w:rsidRPr="00BE3BBE">
        <w:rPr>
          <w:rFonts w:cs="Arial"/>
        </w:rPr>
        <w:t xml:space="preserve"> </w:t>
      </w:r>
      <w:r>
        <w:rPr>
          <w:rFonts w:cs="Arial"/>
        </w:rPr>
        <w:t>(25%-40%)</w:t>
      </w:r>
      <w:r w:rsidR="00A63AAE">
        <w:rPr>
          <w:rFonts w:cs="Arial"/>
        </w:rPr>
        <w:t xml:space="preserve">. </w:t>
      </w:r>
      <w:r>
        <w:rPr>
          <w:rFonts w:cs="Arial"/>
        </w:rPr>
        <w:t>In fact</w:t>
      </w:r>
      <w:r w:rsidR="00935450">
        <w:rPr>
          <w:rFonts w:cs="Arial"/>
        </w:rPr>
        <w:t>,</w:t>
      </w:r>
      <w:r>
        <w:rPr>
          <w:rFonts w:cs="Arial"/>
        </w:rPr>
        <w:t xml:space="preserve"> in </w:t>
      </w:r>
      <w:r w:rsidR="006B7F03">
        <w:rPr>
          <w:rFonts w:cs="Arial"/>
        </w:rPr>
        <w:t>2020, net prof</w:t>
      </w:r>
      <w:r w:rsidR="00057670">
        <w:rPr>
          <w:rFonts w:cs="Arial"/>
        </w:rPr>
        <w:t>i</w:t>
      </w:r>
      <w:r w:rsidR="006B7F03">
        <w:rPr>
          <w:rFonts w:cs="Arial"/>
        </w:rPr>
        <w:t xml:space="preserve">t was negative, which led to negative NPM and ROCE. It means that, the company has </w:t>
      </w:r>
      <w:r w:rsidR="00935450">
        <w:rPr>
          <w:rFonts w:cs="Arial"/>
        </w:rPr>
        <w:t xml:space="preserve">a </w:t>
      </w:r>
      <w:r w:rsidR="006B7F03">
        <w:rPr>
          <w:rFonts w:cs="Arial"/>
        </w:rPr>
        <w:t>low capability to generate enough profit.</w:t>
      </w:r>
    </w:p>
    <w:p w14:paraId="05BE257E" w14:textId="77777777" w:rsidR="0058010D" w:rsidRPr="00BE3BBE" w:rsidRDefault="0058010D" w:rsidP="0058010D">
      <w:pPr>
        <w:pStyle w:val="Heading2"/>
        <w:rPr>
          <w:rFonts w:cs="Arial"/>
        </w:rPr>
      </w:pPr>
      <w:bookmarkStart w:id="8" w:name="_Toc103622110"/>
      <w:bookmarkStart w:id="9" w:name="_Toc103622151"/>
      <w:r w:rsidRPr="00BE3BBE">
        <w:rPr>
          <w:rFonts w:cs="Arial"/>
        </w:rPr>
        <w:lastRenderedPageBreak/>
        <w:t>Asset Turnover Ratios</w:t>
      </w:r>
      <w:bookmarkEnd w:id="8"/>
      <w:bookmarkEnd w:id="9"/>
    </w:p>
    <w:p w14:paraId="05BE257F" w14:textId="77777777" w:rsidR="0058010D" w:rsidRPr="00BE3BBE" w:rsidRDefault="00A63AAE" w:rsidP="00652DA8">
      <w:pPr>
        <w:spacing w:line="360" w:lineRule="auto"/>
        <w:rPr>
          <w:rFonts w:cs="Arial"/>
        </w:rPr>
      </w:pPr>
      <w:r>
        <w:rPr>
          <w:rFonts w:cs="Arial"/>
        </w:rPr>
        <w:t xml:space="preserve">The capabilities of a company to incur revenues from assets </w:t>
      </w:r>
      <w:r w:rsidR="00935450">
        <w:rPr>
          <w:rFonts w:cs="Arial"/>
        </w:rPr>
        <w:t>are</w:t>
      </w:r>
      <w:r w:rsidR="00576A85">
        <w:rPr>
          <w:rFonts w:cs="Arial"/>
        </w:rPr>
        <w:t xml:space="preserve"> shown through these ratios</w:t>
      </w:r>
      <w:r w:rsidR="003266B4">
        <w:rPr>
          <w:rFonts w:cs="Arial"/>
        </w:rPr>
        <w:t xml:space="preserve"> </w:t>
      </w:r>
      <w:r w:rsidR="00A129AF">
        <w:rPr>
          <w:rFonts w:cs="Arial"/>
        </w:rPr>
        <w:t>(</w:t>
      </w:r>
      <w:proofErr w:type="spellStart"/>
      <w:r w:rsidR="00A129AF">
        <w:rPr>
          <w:rFonts w:cs="Arial"/>
        </w:rPr>
        <w:t>Patin</w:t>
      </w:r>
      <w:proofErr w:type="spellEnd"/>
      <w:r w:rsidR="00A129AF">
        <w:rPr>
          <w:rFonts w:cs="Arial"/>
        </w:rPr>
        <w:t xml:space="preserve"> et. Al., 2020)</w:t>
      </w:r>
      <w:r w:rsidR="00950BAC" w:rsidRPr="00BE3BBE">
        <w:rPr>
          <w:rFonts w:cs="Arial"/>
        </w:rPr>
        <w:t xml:space="preserve">. </w:t>
      </w:r>
      <w:r w:rsidR="003266B4">
        <w:rPr>
          <w:rFonts w:cs="Arial"/>
        </w:rPr>
        <w:t>The calculations for asset turnover ratios are here:</w:t>
      </w:r>
    </w:p>
    <w:tbl>
      <w:tblPr>
        <w:tblW w:w="94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32"/>
        <w:gridCol w:w="3274"/>
        <w:gridCol w:w="2091"/>
        <w:gridCol w:w="2451"/>
      </w:tblGrid>
      <w:tr w:rsidR="0058010D" w:rsidRPr="00652DA8" w14:paraId="05BE2581" w14:textId="77777777" w:rsidTr="00B76D6E">
        <w:trPr>
          <w:trHeight w:val="261"/>
        </w:trPr>
        <w:tc>
          <w:tcPr>
            <w:tcW w:w="9448" w:type="dxa"/>
            <w:gridSpan w:val="4"/>
            <w:shd w:val="clear" w:color="auto" w:fill="1F4E79" w:themeFill="accent1" w:themeFillShade="80"/>
            <w:noWrap/>
            <w:vAlign w:val="bottom"/>
            <w:hideMark/>
          </w:tcPr>
          <w:p w14:paraId="05BE2580" w14:textId="77777777" w:rsidR="0058010D" w:rsidRPr="00652DA8" w:rsidRDefault="0058010D" w:rsidP="00A129AF">
            <w:pPr>
              <w:spacing w:after="0" w:line="240" w:lineRule="auto"/>
              <w:jc w:val="center"/>
              <w:rPr>
                <w:rFonts w:eastAsia="Times New Roman" w:cs="Arial"/>
                <w:b/>
                <w:bCs/>
                <w:color w:val="FFFFFF"/>
                <w:szCs w:val="24"/>
              </w:rPr>
            </w:pPr>
            <w:r w:rsidRPr="00BE3BBE">
              <w:rPr>
                <w:rFonts w:eastAsia="Times New Roman" w:cs="Arial"/>
                <w:b/>
                <w:bCs/>
                <w:color w:val="FFFFFF"/>
                <w:szCs w:val="24"/>
              </w:rPr>
              <w:t>Asset Turnover</w:t>
            </w:r>
            <w:r w:rsidRPr="00652DA8">
              <w:rPr>
                <w:rFonts w:eastAsia="Times New Roman" w:cs="Arial"/>
                <w:b/>
                <w:bCs/>
                <w:color w:val="FFFFFF"/>
                <w:szCs w:val="24"/>
              </w:rPr>
              <w:t xml:space="preserve"> Ratios</w:t>
            </w:r>
            <w:r w:rsidR="00B76D6E">
              <w:rPr>
                <w:rFonts w:eastAsia="Times New Roman" w:cs="Arial"/>
                <w:b/>
                <w:bCs/>
                <w:color w:val="FFFFFF"/>
                <w:szCs w:val="24"/>
              </w:rPr>
              <w:t xml:space="preserve"> (amounts in ’000 USD)</w:t>
            </w:r>
          </w:p>
        </w:tc>
      </w:tr>
      <w:tr w:rsidR="00842564" w:rsidRPr="00BE3BBE" w14:paraId="05BE2586" w14:textId="77777777" w:rsidTr="00842564">
        <w:trPr>
          <w:trHeight w:val="261"/>
        </w:trPr>
        <w:tc>
          <w:tcPr>
            <w:tcW w:w="1632" w:type="dxa"/>
            <w:shd w:val="clear" w:color="auto" w:fill="auto"/>
            <w:noWrap/>
            <w:vAlign w:val="bottom"/>
            <w:hideMark/>
          </w:tcPr>
          <w:p w14:paraId="05BE2582" w14:textId="77777777" w:rsidR="0058010D" w:rsidRPr="00652DA8" w:rsidRDefault="0058010D"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Name</w:t>
            </w:r>
          </w:p>
        </w:tc>
        <w:tc>
          <w:tcPr>
            <w:tcW w:w="3274" w:type="dxa"/>
            <w:shd w:val="clear" w:color="auto" w:fill="auto"/>
            <w:noWrap/>
            <w:vAlign w:val="bottom"/>
            <w:hideMark/>
          </w:tcPr>
          <w:p w14:paraId="05BE2583" w14:textId="77777777" w:rsidR="0058010D" w:rsidRPr="00652DA8" w:rsidRDefault="0058010D"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Formula</w:t>
            </w:r>
          </w:p>
        </w:tc>
        <w:tc>
          <w:tcPr>
            <w:tcW w:w="2091" w:type="dxa"/>
            <w:shd w:val="clear" w:color="auto" w:fill="auto"/>
            <w:noWrap/>
            <w:vAlign w:val="bottom"/>
            <w:hideMark/>
          </w:tcPr>
          <w:p w14:paraId="05BE2584" w14:textId="77777777" w:rsidR="0058010D"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2020</w:t>
            </w:r>
          </w:p>
        </w:tc>
        <w:tc>
          <w:tcPr>
            <w:tcW w:w="2450" w:type="dxa"/>
            <w:shd w:val="clear" w:color="auto" w:fill="auto"/>
            <w:noWrap/>
            <w:vAlign w:val="bottom"/>
            <w:hideMark/>
          </w:tcPr>
          <w:p w14:paraId="05BE2585" w14:textId="77777777" w:rsidR="0058010D"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2019</w:t>
            </w:r>
          </w:p>
        </w:tc>
      </w:tr>
      <w:tr w:rsidR="00842564" w:rsidRPr="00BE3BBE" w14:paraId="05BE258D" w14:textId="77777777" w:rsidTr="00842564">
        <w:trPr>
          <w:trHeight w:val="1110"/>
        </w:trPr>
        <w:tc>
          <w:tcPr>
            <w:tcW w:w="1632" w:type="dxa"/>
            <w:shd w:val="clear" w:color="auto" w:fill="auto"/>
            <w:noWrap/>
            <w:vAlign w:val="bottom"/>
            <w:hideMark/>
          </w:tcPr>
          <w:p w14:paraId="05BE2587" w14:textId="77777777" w:rsidR="0058010D" w:rsidRPr="00D736F6" w:rsidRDefault="0058010D" w:rsidP="0058010D">
            <w:pPr>
              <w:jc w:val="left"/>
              <w:rPr>
                <w:rFonts w:cs="Arial"/>
                <w:i/>
                <w:color w:val="000000"/>
              </w:rPr>
            </w:pPr>
            <w:r w:rsidRPr="00D736F6">
              <w:rPr>
                <w:rFonts w:cs="Arial"/>
                <w:i/>
                <w:color w:val="000000"/>
              </w:rPr>
              <w:t>Total Assets Turnover</w:t>
            </w:r>
          </w:p>
        </w:tc>
        <w:tc>
          <w:tcPr>
            <w:tcW w:w="3274" w:type="dxa"/>
            <w:shd w:val="clear" w:color="auto" w:fill="auto"/>
            <w:noWrap/>
            <w:vAlign w:val="bottom"/>
            <w:hideMark/>
          </w:tcPr>
          <w:p w14:paraId="05BE2588" w14:textId="77777777" w:rsidR="0058010D" w:rsidRPr="00BE3BBE" w:rsidRDefault="0058010D" w:rsidP="0058010D">
            <w:pPr>
              <w:rPr>
                <w:rFonts w:cs="Arial"/>
                <w:color w:val="000000"/>
              </w:rPr>
            </w:pPr>
            <w:r w:rsidRPr="00BE3BBE">
              <w:rPr>
                <w:rFonts w:cs="Arial"/>
                <w:color w:val="000000"/>
              </w:rPr>
              <w:t>Sales Turnover/Total Assets less Current Liabilities</w:t>
            </w:r>
          </w:p>
        </w:tc>
        <w:tc>
          <w:tcPr>
            <w:tcW w:w="2091" w:type="dxa"/>
            <w:shd w:val="clear" w:color="auto" w:fill="auto"/>
            <w:noWrap/>
            <w:vAlign w:val="bottom"/>
            <w:hideMark/>
          </w:tcPr>
          <w:p w14:paraId="05BE2589" w14:textId="77777777" w:rsidR="0058010D" w:rsidRPr="00BE3BBE" w:rsidRDefault="0058010D" w:rsidP="0058010D">
            <w:pPr>
              <w:spacing w:after="0" w:line="240" w:lineRule="auto"/>
              <w:jc w:val="left"/>
              <w:rPr>
                <w:rFonts w:eastAsia="Times New Roman" w:cs="Arial"/>
                <w:color w:val="000000"/>
                <w:szCs w:val="24"/>
              </w:rPr>
            </w:pPr>
            <w:r w:rsidRPr="00BE3BBE">
              <w:rPr>
                <w:rFonts w:eastAsia="Times New Roman" w:cs="Arial"/>
                <w:color w:val="000000"/>
                <w:szCs w:val="24"/>
              </w:rPr>
              <w:t>=</w:t>
            </w:r>
            <w:r w:rsidR="004D2401">
              <w:rPr>
                <w:rFonts w:eastAsia="Times New Roman" w:cs="Arial"/>
                <w:color w:val="000000"/>
                <w:szCs w:val="24"/>
              </w:rPr>
              <w:t>4,307/14,324</w:t>
            </w:r>
            <w:r w:rsidRPr="00BE3BBE">
              <w:rPr>
                <w:rFonts w:cs="Arial"/>
              </w:rPr>
              <w:t xml:space="preserve"> </w:t>
            </w:r>
          </w:p>
          <w:p w14:paraId="05BE258A" w14:textId="77777777" w:rsidR="0058010D" w:rsidRPr="00652DA8" w:rsidRDefault="004D2401" w:rsidP="0058010D">
            <w:pPr>
              <w:spacing w:after="0" w:line="240" w:lineRule="auto"/>
              <w:jc w:val="left"/>
              <w:rPr>
                <w:rFonts w:eastAsia="Times New Roman" w:cs="Arial"/>
                <w:color w:val="000000"/>
                <w:szCs w:val="24"/>
              </w:rPr>
            </w:pPr>
            <w:r>
              <w:rPr>
                <w:rFonts w:eastAsia="Times New Roman" w:cs="Arial"/>
                <w:color w:val="000000"/>
                <w:szCs w:val="24"/>
              </w:rPr>
              <w:t>=0.30</w:t>
            </w:r>
            <w:r w:rsidR="0058010D" w:rsidRPr="00BE3BBE">
              <w:rPr>
                <w:rFonts w:eastAsia="Times New Roman" w:cs="Arial"/>
                <w:color w:val="000000"/>
                <w:szCs w:val="24"/>
              </w:rPr>
              <w:t xml:space="preserve"> times</w:t>
            </w:r>
          </w:p>
        </w:tc>
        <w:tc>
          <w:tcPr>
            <w:tcW w:w="2450" w:type="dxa"/>
            <w:shd w:val="clear" w:color="auto" w:fill="auto"/>
            <w:noWrap/>
            <w:vAlign w:val="bottom"/>
            <w:hideMark/>
          </w:tcPr>
          <w:p w14:paraId="05BE258B" w14:textId="77777777" w:rsidR="0058010D" w:rsidRPr="00BE3BBE" w:rsidRDefault="004D2401" w:rsidP="0058010D">
            <w:pPr>
              <w:spacing w:after="0" w:line="240" w:lineRule="auto"/>
              <w:jc w:val="left"/>
              <w:rPr>
                <w:rFonts w:eastAsia="Times New Roman" w:cs="Arial"/>
                <w:color w:val="000000"/>
                <w:szCs w:val="24"/>
              </w:rPr>
            </w:pPr>
            <w:r>
              <w:rPr>
                <w:rFonts w:eastAsia="Times New Roman" w:cs="Arial"/>
                <w:color w:val="000000"/>
                <w:szCs w:val="24"/>
              </w:rPr>
              <w:t>=9,452/12,086</w:t>
            </w:r>
          </w:p>
          <w:p w14:paraId="05BE258C" w14:textId="77777777" w:rsidR="0058010D" w:rsidRPr="00652DA8" w:rsidRDefault="004D2401" w:rsidP="0058010D">
            <w:pPr>
              <w:spacing w:after="0" w:line="240" w:lineRule="auto"/>
              <w:jc w:val="left"/>
              <w:rPr>
                <w:rFonts w:eastAsia="Times New Roman" w:cs="Arial"/>
                <w:color w:val="000000"/>
                <w:szCs w:val="24"/>
              </w:rPr>
            </w:pPr>
            <w:r>
              <w:rPr>
                <w:rFonts w:eastAsia="Times New Roman" w:cs="Arial"/>
                <w:color w:val="000000"/>
                <w:szCs w:val="24"/>
              </w:rPr>
              <w:t>=0.78</w:t>
            </w:r>
            <w:r w:rsidR="0058010D" w:rsidRPr="00BE3BBE">
              <w:rPr>
                <w:rFonts w:eastAsia="Times New Roman" w:cs="Arial"/>
                <w:color w:val="000000"/>
                <w:szCs w:val="24"/>
              </w:rPr>
              <w:t xml:space="preserve"> times</w:t>
            </w:r>
          </w:p>
        </w:tc>
      </w:tr>
      <w:tr w:rsidR="00842564" w:rsidRPr="00BE3BBE" w14:paraId="05BE2594" w14:textId="77777777" w:rsidTr="00842564">
        <w:trPr>
          <w:trHeight w:val="777"/>
        </w:trPr>
        <w:tc>
          <w:tcPr>
            <w:tcW w:w="1632" w:type="dxa"/>
            <w:shd w:val="clear" w:color="auto" w:fill="auto"/>
            <w:noWrap/>
            <w:vAlign w:val="bottom"/>
            <w:hideMark/>
          </w:tcPr>
          <w:p w14:paraId="05BE258E" w14:textId="77777777" w:rsidR="00507F3E" w:rsidRPr="00D736F6" w:rsidRDefault="00507F3E" w:rsidP="00507F3E">
            <w:pPr>
              <w:rPr>
                <w:rFonts w:cs="Arial"/>
                <w:i/>
                <w:color w:val="000000"/>
              </w:rPr>
            </w:pPr>
            <w:r w:rsidRPr="00D736F6">
              <w:rPr>
                <w:rFonts w:cs="Arial"/>
                <w:i/>
                <w:color w:val="000000"/>
              </w:rPr>
              <w:t>Fixed Assets Turnover</w:t>
            </w:r>
          </w:p>
        </w:tc>
        <w:tc>
          <w:tcPr>
            <w:tcW w:w="3274" w:type="dxa"/>
            <w:shd w:val="clear" w:color="auto" w:fill="auto"/>
            <w:noWrap/>
            <w:vAlign w:val="bottom"/>
            <w:hideMark/>
          </w:tcPr>
          <w:p w14:paraId="05BE258F" w14:textId="77777777" w:rsidR="00507F3E" w:rsidRPr="00BE3BBE" w:rsidRDefault="00507F3E" w:rsidP="00507F3E">
            <w:pPr>
              <w:rPr>
                <w:rFonts w:cs="Arial"/>
                <w:color w:val="000000"/>
              </w:rPr>
            </w:pPr>
            <w:r w:rsidRPr="00BE3BBE">
              <w:rPr>
                <w:rFonts w:cs="Arial"/>
                <w:color w:val="000000"/>
              </w:rPr>
              <w:t xml:space="preserve">Sales Turnover/Fixed Assets </w:t>
            </w:r>
          </w:p>
        </w:tc>
        <w:tc>
          <w:tcPr>
            <w:tcW w:w="2091" w:type="dxa"/>
            <w:shd w:val="clear" w:color="auto" w:fill="auto"/>
            <w:noWrap/>
            <w:vAlign w:val="bottom"/>
            <w:hideMark/>
          </w:tcPr>
          <w:p w14:paraId="05BE2590" w14:textId="77777777" w:rsidR="00507F3E" w:rsidRPr="00BE3BBE" w:rsidRDefault="004D2401" w:rsidP="00507F3E">
            <w:pPr>
              <w:spacing w:after="0" w:line="240" w:lineRule="auto"/>
              <w:jc w:val="left"/>
              <w:rPr>
                <w:rFonts w:eastAsia="Times New Roman" w:cs="Arial"/>
                <w:color w:val="000000"/>
                <w:szCs w:val="24"/>
              </w:rPr>
            </w:pPr>
            <w:r>
              <w:rPr>
                <w:rFonts w:eastAsia="Times New Roman" w:cs="Arial"/>
                <w:color w:val="000000"/>
                <w:szCs w:val="24"/>
              </w:rPr>
              <w:t>=4,307/15,810</w:t>
            </w:r>
          </w:p>
          <w:p w14:paraId="05BE2591" w14:textId="77777777" w:rsidR="00507F3E" w:rsidRPr="00652DA8" w:rsidRDefault="00507F3E" w:rsidP="004D2401">
            <w:pPr>
              <w:spacing w:after="0" w:line="240" w:lineRule="auto"/>
              <w:jc w:val="left"/>
              <w:rPr>
                <w:rFonts w:eastAsia="Times New Roman" w:cs="Arial"/>
                <w:color w:val="000000"/>
                <w:szCs w:val="24"/>
              </w:rPr>
            </w:pPr>
            <w:r w:rsidRPr="00BE3BBE">
              <w:rPr>
                <w:rFonts w:eastAsia="Times New Roman" w:cs="Arial"/>
                <w:color w:val="000000"/>
                <w:szCs w:val="24"/>
              </w:rPr>
              <w:t>=</w:t>
            </w:r>
            <w:r w:rsidR="004D2401">
              <w:rPr>
                <w:rFonts w:eastAsia="Times New Roman" w:cs="Arial"/>
                <w:color w:val="000000"/>
                <w:szCs w:val="24"/>
              </w:rPr>
              <w:t>0.27</w:t>
            </w:r>
            <w:r w:rsidRPr="00BE3BBE">
              <w:rPr>
                <w:rFonts w:eastAsia="Times New Roman" w:cs="Arial"/>
                <w:color w:val="000000"/>
                <w:szCs w:val="24"/>
              </w:rPr>
              <w:t xml:space="preserve"> times</w:t>
            </w:r>
          </w:p>
        </w:tc>
        <w:tc>
          <w:tcPr>
            <w:tcW w:w="2450" w:type="dxa"/>
            <w:shd w:val="clear" w:color="auto" w:fill="auto"/>
            <w:noWrap/>
            <w:vAlign w:val="bottom"/>
            <w:hideMark/>
          </w:tcPr>
          <w:p w14:paraId="05BE2592" w14:textId="77777777" w:rsidR="00507F3E" w:rsidRPr="00BE3BBE" w:rsidRDefault="00507F3E" w:rsidP="00507F3E">
            <w:pPr>
              <w:spacing w:after="0" w:line="240" w:lineRule="auto"/>
              <w:jc w:val="left"/>
              <w:rPr>
                <w:rFonts w:eastAsia="Times New Roman" w:cs="Arial"/>
                <w:color w:val="000000"/>
                <w:szCs w:val="24"/>
              </w:rPr>
            </w:pPr>
            <w:r w:rsidRPr="00BE3BBE">
              <w:rPr>
                <w:rFonts w:eastAsia="Times New Roman" w:cs="Arial"/>
                <w:color w:val="000000"/>
                <w:szCs w:val="24"/>
              </w:rPr>
              <w:t>=</w:t>
            </w:r>
            <w:r w:rsidR="004D2401">
              <w:rPr>
                <w:rFonts w:eastAsia="Times New Roman" w:cs="Arial"/>
                <w:color w:val="000000"/>
                <w:szCs w:val="24"/>
              </w:rPr>
              <w:t>9,452</w:t>
            </w:r>
            <w:r w:rsidRPr="00BE3BBE">
              <w:rPr>
                <w:rFonts w:eastAsia="Times New Roman" w:cs="Arial"/>
                <w:color w:val="000000"/>
                <w:szCs w:val="24"/>
              </w:rPr>
              <w:t>/</w:t>
            </w:r>
            <w:r w:rsidR="004D2401">
              <w:rPr>
                <w:rFonts w:eastAsia="Times New Roman" w:cs="Arial"/>
                <w:color w:val="000000"/>
                <w:szCs w:val="24"/>
              </w:rPr>
              <w:t>12,086</w:t>
            </w:r>
          </w:p>
          <w:p w14:paraId="05BE2593" w14:textId="77777777" w:rsidR="00507F3E" w:rsidRPr="00652DA8" w:rsidRDefault="00507F3E" w:rsidP="004D2401">
            <w:pPr>
              <w:spacing w:after="0" w:line="240" w:lineRule="auto"/>
              <w:jc w:val="left"/>
              <w:rPr>
                <w:rFonts w:eastAsia="Times New Roman" w:cs="Arial"/>
                <w:color w:val="000000"/>
                <w:szCs w:val="24"/>
              </w:rPr>
            </w:pPr>
            <w:r w:rsidRPr="00BE3BBE">
              <w:rPr>
                <w:rFonts w:eastAsia="Times New Roman" w:cs="Arial"/>
                <w:color w:val="000000"/>
                <w:szCs w:val="24"/>
              </w:rPr>
              <w:t>=</w:t>
            </w:r>
            <w:r w:rsidR="004D2401">
              <w:rPr>
                <w:rFonts w:eastAsia="Times New Roman" w:cs="Arial"/>
                <w:color w:val="000000"/>
                <w:szCs w:val="24"/>
              </w:rPr>
              <w:t>0.78</w:t>
            </w:r>
            <w:r w:rsidRPr="00BE3BBE">
              <w:rPr>
                <w:rFonts w:eastAsia="Times New Roman" w:cs="Arial"/>
                <w:color w:val="000000"/>
                <w:szCs w:val="24"/>
              </w:rPr>
              <w:t xml:space="preserve"> times</w:t>
            </w:r>
          </w:p>
        </w:tc>
      </w:tr>
      <w:tr w:rsidR="00842564" w:rsidRPr="00BE3BBE" w14:paraId="05BE259B" w14:textId="77777777" w:rsidTr="00842564">
        <w:trPr>
          <w:trHeight w:val="830"/>
        </w:trPr>
        <w:tc>
          <w:tcPr>
            <w:tcW w:w="1632" w:type="dxa"/>
            <w:shd w:val="clear" w:color="auto" w:fill="auto"/>
            <w:noWrap/>
            <w:vAlign w:val="bottom"/>
            <w:hideMark/>
          </w:tcPr>
          <w:p w14:paraId="05BE2595" w14:textId="77777777" w:rsidR="0058010D" w:rsidRPr="00D736F6" w:rsidRDefault="0058010D" w:rsidP="0058010D">
            <w:pPr>
              <w:rPr>
                <w:rFonts w:cs="Arial"/>
                <w:i/>
                <w:color w:val="000000"/>
              </w:rPr>
            </w:pPr>
            <w:r w:rsidRPr="00D736F6">
              <w:rPr>
                <w:rFonts w:cs="Arial"/>
                <w:i/>
                <w:color w:val="000000"/>
              </w:rPr>
              <w:t>Working Capital Turnover</w:t>
            </w:r>
          </w:p>
        </w:tc>
        <w:tc>
          <w:tcPr>
            <w:tcW w:w="3274" w:type="dxa"/>
            <w:shd w:val="clear" w:color="auto" w:fill="auto"/>
            <w:noWrap/>
            <w:vAlign w:val="bottom"/>
            <w:hideMark/>
          </w:tcPr>
          <w:p w14:paraId="05BE2596" w14:textId="77777777" w:rsidR="0058010D" w:rsidRPr="00BE3BBE" w:rsidRDefault="0058010D" w:rsidP="0058010D">
            <w:pPr>
              <w:rPr>
                <w:rFonts w:cs="Arial"/>
                <w:color w:val="000000"/>
              </w:rPr>
            </w:pPr>
            <w:r w:rsidRPr="00BE3BBE">
              <w:rPr>
                <w:rFonts w:cs="Arial"/>
                <w:color w:val="000000"/>
              </w:rPr>
              <w:t>Sales Turnover/Net Current Assets</w:t>
            </w:r>
          </w:p>
        </w:tc>
        <w:tc>
          <w:tcPr>
            <w:tcW w:w="2091" w:type="dxa"/>
            <w:shd w:val="clear" w:color="auto" w:fill="auto"/>
            <w:noWrap/>
            <w:vAlign w:val="bottom"/>
            <w:hideMark/>
          </w:tcPr>
          <w:p w14:paraId="05BE2597" w14:textId="77777777" w:rsidR="004017FE" w:rsidRPr="00BE3BBE" w:rsidRDefault="004017FE" w:rsidP="004017FE">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4,307/1,771</w:t>
            </w:r>
            <w:r w:rsidRPr="00BE3BBE">
              <w:rPr>
                <w:rFonts w:cs="Arial"/>
              </w:rPr>
              <w:t xml:space="preserve"> </w:t>
            </w:r>
          </w:p>
          <w:p w14:paraId="05BE2598" w14:textId="77777777" w:rsidR="0058010D" w:rsidRPr="00652DA8" w:rsidRDefault="004017FE" w:rsidP="00B707B2">
            <w:pPr>
              <w:spacing w:after="0" w:line="240" w:lineRule="auto"/>
              <w:jc w:val="left"/>
              <w:rPr>
                <w:rFonts w:eastAsia="Times New Roman" w:cs="Arial"/>
                <w:color w:val="000000"/>
                <w:szCs w:val="24"/>
              </w:rPr>
            </w:pPr>
            <w:r>
              <w:rPr>
                <w:rFonts w:eastAsia="Times New Roman" w:cs="Arial"/>
                <w:color w:val="000000"/>
                <w:szCs w:val="24"/>
              </w:rPr>
              <w:t>=</w:t>
            </w:r>
            <w:r w:rsidR="00B707B2">
              <w:rPr>
                <w:rFonts w:eastAsia="Times New Roman" w:cs="Arial"/>
                <w:color w:val="000000"/>
                <w:szCs w:val="24"/>
              </w:rPr>
              <w:t xml:space="preserve">2.43 </w:t>
            </w:r>
            <w:r w:rsidRPr="00BE3BBE">
              <w:rPr>
                <w:rFonts w:eastAsia="Times New Roman" w:cs="Arial"/>
                <w:color w:val="000000"/>
                <w:szCs w:val="24"/>
              </w:rPr>
              <w:t>times</w:t>
            </w:r>
          </w:p>
        </w:tc>
        <w:tc>
          <w:tcPr>
            <w:tcW w:w="2450" w:type="dxa"/>
            <w:shd w:val="clear" w:color="auto" w:fill="auto"/>
            <w:noWrap/>
            <w:vAlign w:val="bottom"/>
            <w:hideMark/>
          </w:tcPr>
          <w:p w14:paraId="05BE2599" w14:textId="77777777" w:rsidR="004017FE" w:rsidRPr="00BE3BBE" w:rsidRDefault="004017FE" w:rsidP="004017FE">
            <w:pPr>
              <w:spacing w:after="0" w:line="240" w:lineRule="auto"/>
              <w:jc w:val="left"/>
              <w:rPr>
                <w:rFonts w:eastAsia="Times New Roman" w:cs="Arial"/>
                <w:color w:val="000000"/>
                <w:szCs w:val="24"/>
              </w:rPr>
            </w:pPr>
            <w:r>
              <w:rPr>
                <w:rFonts w:eastAsia="Times New Roman" w:cs="Arial"/>
                <w:color w:val="000000"/>
                <w:szCs w:val="24"/>
              </w:rPr>
              <w:t>=9,452/-778</w:t>
            </w:r>
          </w:p>
          <w:p w14:paraId="05BE259A" w14:textId="77777777" w:rsidR="0058010D" w:rsidRPr="00652DA8" w:rsidRDefault="004017FE" w:rsidP="00B707B2">
            <w:pPr>
              <w:spacing w:after="0" w:line="240" w:lineRule="auto"/>
              <w:jc w:val="left"/>
              <w:rPr>
                <w:rFonts w:eastAsia="Times New Roman" w:cs="Arial"/>
                <w:color w:val="000000"/>
                <w:szCs w:val="24"/>
              </w:rPr>
            </w:pPr>
            <w:r>
              <w:rPr>
                <w:rFonts w:eastAsia="Times New Roman" w:cs="Arial"/>
                <w:color w:val="000000"/>
                <w:szCs w:val="24"/>
              </w:rPr>
              <w:t>=</w:t>
            </w:r>
            <w:r w:rsidR="00B707B2">
              <w:rPr>
                <w:rFonts w:eastAsia="Times New Roman" w:cs="Arial"/>
                <w:color w:val="000000"/>
                <w:szCs w:val="24"/>
              </w:rPr>
              <w:t>-12.15</w:t>
            </w:r>
            <w:r w:rsidRPr="00BE3BBE">
              <w:rPr>
                <w:rFonts w:eastAsia="Times New Roman" w:cs="Arial"/>
                <w:color w:val="000000"/>
                <w:szCs w:val="24"/>
              </w:rPr>
              <w:t xml:space="preserve"> times</w:t>
            </w:r>
          </w:p>
        </w:tc>
      </w:tr>
    </w:tbl>
    <w:p w14:paraId="05BE259C" w14:textId="77777777" w:rsidR="00F9376F" w:rsidRPr="00BE3BBE" w:rsidRDefault="00F9376F" w:rsidP="00F9376F">
      <w:pPr>
        <w:jc w:val="center"/>
        <w:rPr>
          <w:rFonts w:cs="Arial"/>
        </w:rPr>
      </w:pPr>
      <w:r w:rsidRPr="00BE3BBE">
        <w:rPr>
          <w:rFonts w:cs="Arial"/>
        </w:rPr>
        <w:t>Table 02: Asset Turnover Ratios</w:t>
      </w:r>
    </w:p>
    <w:p w14:paraId="05BE259D" w14:textId="77777777" w:rsidR="00F32371" w:rsidRPr="00BE3BBE" w:rsidRDefault="00F9376F" w:rsidP="00F9376F">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59E" w14:textId="77777777" w:rsidR="003266B4" w:rsidRDefault="003266B4" w:rsidP="00652DA8">
      <w:pPr>
        <w:spacing w:line="360" w:lineRule="auto"/>
        <w:rPr>
          <w:rFonts w:cs="Arial"/>
        </w:rPr>
      </w:pPr>
      <w:r>
        <w:rPr>
          <w:rFonts w:cs="Arial"/>
        </w:rPr>
        <w:t>Total asset and fixed asset turnover, both are lower than the industry benchmark (1). Again, in terms of working capital turnover</w:t>
      </w:r>
      <w:r w:rsidR="00935450">
        <w:rPr>
          <w:rFonts w:cs="Arial"/>
        </w:rPr>
        <w:t>,</w:t>
      </w:r>
      <w:r>
        <w:rPr>
          <w:rFonts w:cs="Arial"/>
        </w:rPr>
        <w:t xml:space="preserve"> it is higher. It means that, the sales </w:t>
      </w:r>
      <w:r w:rsidR="00935450">
        <w:rPr>
          <w:rFonts w:cs="Arial"/>
        </w:rPr>
        <w:t>are</w:t>
      </w:r>
      <w:r>
        <w:rPr>
          <w:rFonts w:cs="Arial"/>
        </w:rPr>
        <w:t xml:space="preserve"> at a good amount in respect to working capital.</w:t>
      </w:r>
    </w:p>
    <w:p w14:paraId="05BE259F" w14:textId="77777777" w:rsidR="00652DA8" w:rsidRPr="00BE3BBE" w:rsidRDefault="00652DA8" w:rsidP="00652DA8">
      <w:pPr>
        <w:pStyle w:val="Heading2"/>
        <w:rPr>
          <w:rFonts w:cs="Arial"/>
        </w:rPr>
      </w:pPr>
      <w:bookmarkStart w:id="10" w:name="_Toc103622111"/>
      <w:bookmarkStart w:id="11" w:name="_Toc103622152"/>
      <w:r w:rsidRPr="00BE3BBE">
        <w:rPr>
          <w:rFonts w:cs="Arial"/>
        </w:rPr>
        <w:t>Liquidity Ratios</w:t>
      </w:r>
      <w:bookmarkEnd w:id="10"/>
      <w:bookmarkEnd w:id="11"/>
    </w:p>
    <w:p w14:paraId="05BE25A0" w14:textId="77777777" w:rsidR="007D4898" w:rsidRPr="00BE3BBE" w:rsidRDefault="00BA2B76" w:rsidP="00652DA8">
      <w:pPr>
        <w:spacing w:line="360" w:lineRule="auto"/>
        <w:rPr>
          <w:rFonts w:cs="Arial"/>
        </w:rPr>
      </w:pPr>
      <w:r>
        <w:rPr>
          <w:rFonts w:cs="Arial"/>
        </w:rPr>
        <w:t xml:space="preserve">Liquidity ratios are calculated to </w:t>
      </w:r>
      <w:proofErr w:type="spellStart"/>
      <w:r>
        <w:rPr>
          <w:rFonts w:cs="Arial"/>
        </w:rPr>
        <w:t>analyse</w:t>
      </w:r>
      <w:proofErr w:type="spellEnd"/>
      <w:r>
        <w:rPr>
          <w:rFonts w:cs="Arial"/>
        </w:rPr>
        <w:t xml:space="preserve"> the ability to pay short-term debts. The more liquidity a company holds, the more easily it can make </w:t>
      </w:r>
      <w:r w:rsidR="00935450">
        <w:rPr>
          <w:rFonts w:cs="Arial"/>
        </w:rPr>
        <w:t>flows of cash</w:t>
      </w:r>
      <w:r>
        <w:rPr>
          <w:rFonts w:cs="Arial"/>
        </w:rPr>
        <w:t xml:space="preserve"> from these assets while they </w:t>
      </w:r>
      <w:r w:rsidR="00935450">
        <w:rPr>
          <w:rFonts w:cs="Arial"/>
        </w:rPr>
        <w:t>need</w:t>
      </w:r>
      <w:r>
        <w:rPr>
          <w:rFonts w:cs="Arial"/>
        </w:rPr>
        <w:t xml:space="preserve"> funding quickly</w:t>
      </w:r>
      <w:r w:rsidR="00F70A6D">
        <w:rPr>
          <w:rFonts w:cs="Arial"/>
        </w:rPr>
        <w:t xml:space="preserve"> (</w:t>
      </w:r>
      <w:proofErr w:type="spellStart"/>
      <w:r w:rsidR="00F70A6D">
        <w:rPr>
          <w:rFonts w:cs="Arial"/>
        </w:rPr>
        <w:t>Madhushanka</w:t>
      </w:r>
      <w:proofErr w:type="spellEnd"/>
      <w:r w:rsidR="00F70A6D">
        <w:rPr>
          <w:rFonts w:cs="Arial"/>
        </w:rPr>
        <w:t xml:space="preserve"> &amp; </w:t>
      </w:r>
      <w:proofErr w:type="spellStart"/>
      <w:r w:rsidR="00F70A6D">
        <w:rPr>
          <w:rFonts w:cs="Arial"/>
        </w:rPr>
        <w:t>Jathurika</w:t>
      </w:r>
      <w:proofErr w:type="spellEnd"/>
      <w:r w:rsidR="00F70A6D">
        <w:rPr>
          <w:rFonts w:cs="Arial"/>
        </w:rPr>
        <w:t>)</w:t>
      </w:r>
      <w:r>
        <w:rPr>
          <w:rFonts w:cs="Arial"/>
        </w:rPr>
        <w:t>.</w:t>
      </w:r>
    </w:p>
    <w:p w14:paraId="05BE25A1" w14:textId="77777777" w:rsidR="00652DA8" w:rsidRPr="00BE3BBE" w:rsidRDefault="00652DA8" w:rsidP="00652DA8">
      <w:pPr>
        <w:spacing w:line="360" w:lineRule="auto"/>
        <w:rPr>
          <w:rFonts w:cs="Arial"/>
          <w:b/>
        </w:rPr>
      </w:pPr>
      <w:r w:rsidRPr="00BE3BBE">
        <w:rPr>
          <w:rFonts w:cs="Arial"/>
          <w:b/>
        </w:rPr>
        <w:t>Current Ratio and Quick Ratio</w:t>
      </w:r>
    </w:p>
    <w:p w14:paraId="05BE25A2" w14:textId="77777777" w:rsidR="00652DA8" w:rsidRPr="00BE3BBE" w:rsidRDefault="00652DA8" w:rsidP="00652DA8">
      <w:pPr>
        <w:spacing w:line="360" w:lineRule="auto"/>
        <w:rPr>
          <w:rFonts w:cs="Arial"/>
        </w:rPr>
      </w:pPr>
      <w:r w:rsidRPr="00BE3BBE">
        <w:rPr>
          <w:rFonts w:cs="Arial"/>
        </w:rPr>
        <w:t xml:space="preserve">The </w:t>
      </w:r>
      <w:r w:rsidR="00D826BC">
        <w:rPr>
          <w:rFonts w:cs="Arial"/>
        </w:rPr>
        <w:t xml:space="preserve">horizontal ratio </w:t>
      </w:r>
      <w:r w:rsidRPr="00BE3BBE">
        <w:rPr>
          <w:rFonts w:cs="Arial"/>
        </w:rPr>
        <w:t>calculations for</w:t>
      </w:r>
      <w:r w:rsidR="00311851" w:rsidRPr="00BE3BBE">
        <w:rPr>
          <w:rFonts w:cs="Arial"/>
        </w:rPr>
        <w:t xml:space="preserve"> </w:t>
      </w:r>
      <w:r w:rsidR="00D826BC">
        <w:rPr>
          <w:rFonts w:cs="Arial"/>
        </w:rPr>
        <w:t>2020 &amp; 2019</w:t>
      </w:r>
      <w:r w:rsidR="00311851" w:rsidRPr="00BE3BBE">
        <w:rPr>
          <w:rFonts w:cs="Arial"/>
        </w:rPr>
        <w:t xml:space="preserve"> are shown below:</w:t>
      </w:r>
    </w:p>
    <w:tbl>
      <w:tblPr>
        <w:tblW w:w="93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3"/>
        <w:gridCol w:w="3257"/>
        <w:gridCol w:w="2081"/>
        <w:gridCol w:w="2438"/>
      </w:tblGrid>
      <w:tr w:rsidR="006A490C" w:rsidRPr="00652DA8" w14:paraId="05BE25A4" w14:textId="77777777" w:rsidTr="00B76D6E">
        <w:trPr>
          <w:trHeight w:val="229"/>
        </w:trPr>
        <w:tc>
          <w:tcPr>
            <w:tcW w:w="9399" w:type="dxa"/>
            <w:gridSpan w:val="4"/>
            <w:shd w:val="clear" w:color="auto" w:fill="1F4E79" w:themeFill="accent1" w:themeFillShade="80"/>
            <w:noWrap/>
            <w:vAlign w:val="bottom"/>
            <w:hideMark/>
          </w:tcPr>
          <w:p w14:paraId="05BE25A3" w14:textId="77777777" w:rsidR="006A490C" w:rsidRPr="00652DA8" w:rsidRDefault="006A490C" w:rsidP="00A129AF">
            <w:pPr>
              <w:spacing w:after="0" w:line="240" w:lineRule="auto"/>
              <w:jc w:val="center"/>
              <w:rPr>
                <w:rFonts w:eastAsia="Times New Roman" w:cs="Arial"/>
                <w:b/>
                <w:bCs/>
                <w:color w:val="FFFFFF"/>
                <w:szCs w:val="24"/>
              </w:rPr>
            </w:pPr>
            <w:r w:rsidRPr="00BE3BBE">
              <w:rPr>
                <w:rFonts w:eastAsia="Times New Roman" w:cs="Arial"/>
                <w:b/>
                <w:bCs/>
                <w:color w:val="FFFFFF"/>
                <w:szCs w:val="24"/>
              </w:rPr>
              <w:t>Current &amp; Quick</w:t>
            </w:r>
            <w:r w:rsidRPr="00652DA8">
              <w:rPr>
                <w:rFonts w:eastAsia="Times New Roman" w:cs="Arial"/>
                <w:b/>
                <w:bCs/>
                <w:color w:val="FFFFFF"/>
                <w:szCs w:val="24"/>
              </w:rPr>
              <w:t xml:space="preserve"> Ratios</w:t>
            </w:r>
            <w:r w:rsidR="00B76D6E">
              <w:rPr>
                <w:rFonts w:eastAsia="Times New Roman" w:cs="Arial"/>
                <w:b/>
                <w:bCs/>
                <w:color w:val="FFFFFF"/>
                <w:szCs w:val="24"/>
              </w:rPr>
              <w:t xml:space="preserve"> (amounts in ’000 USD)</w:t>
            </w:r>
          </w:p>
        </w:tc>
      </w:tr>
      <w:tr w:rsidR="00842564" w:rsidRPr="00BE3BBE" w14:paraId="05BE25A9" w14:textId="77777777" w:rsidTr="00514170">
        <w:trPr>
          <w:trHeight w:val="229"/>
        </w:trPr>
        <w:tc>
          <w:tcPr>
            <w:tcW w:w="1623" w:type="dxa"/>
            <w:shd w:val="clear" w:color="auto" w:fill="auto"/>
            <w:noWrap/>
            <w:vAlign w:val="bottom"/>
            <w:hideMark/>
          </w:tcPr>
          <w:p w14:paraId="05BE25A5" w14:textId="77777777" w:rsidR="006A490C" w:rsidRPr="00652DA8" w:rsidRDefault="006A490C"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Name</w:t>
            </w:r>
          </w:p>
        </w:tc>
        <w:tc>
          <w:tcPr>
            <w:tcW w:w="3257" w:type="dxa"/>
            <w:shd w:val="clear" w:color="auto" w:fill="auto"/>
            <w:noWrap/>
            <w:vAlign w:val="bottom"/>
            <w:hideMark/>
          </w:tcPr>
          <w:p w14:paraId="05BE25A6" w14:textId="77777777" w:rsidR="006A490C" w:rsidRPr="00652DA8" w:rsidRDefault="006A490C"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Formula</w:t>
            </w:r>
          </w:p>
        </w:tc>
        <w:tc>
          <w:tcPr>
            <w:tcW w:w="2081" w:type="dxa"/>
            <w:shd w:val="clear" w:color="auto" w:fill="auto"/>
            <w:noWrap/>
            <w:vAlign w:val="bottom"/>
            <w:hideMark/>
          </w:tcPr>
          <w:p w14:paraId="05BE25A7" w14:textId="77777777" w:rsidR="006A490C" w:rsidRPr="00652DA8" w:rsidRDefault="006A490C" w:rsidP="00C43E32">
            <w:pPr>
              <w:spacing w:after="0" w:line="240" w:lineRule="auto"/>
              <w:jc w:val="center"/>
              <w:rPr>
                <w:rFonts w:eastAsia="Times New Roman" w:cs="Arial"/>
                <w:b/>
                <w:bCs/>
                <w:color w:val="1F3864" w:themeColor="accent5" w:themeShade="80"/>
                <w:szCs w:val="24"/>
              </w:rPr>
            </w:pPr>
            <w:r w:rsidRPr="00652DA8">
              <w:rPr>
                <w:rFonts w:eastAsia="Times New Roman" w:cs="Arial"/>
                <w:b/>
                <w:bCs/>
                <w:color w:val="1F3864" w:themeColor="accent5" w:themeShade="80"/>
                <w:szCs w:val="24"/>
              </w:rPr>
              <w:t>20</w:t>
            </w:r>
            <w:r w:rsidR="00C43E32">
              <w:rPr>
                <w:rFonts w:eastAsia="Times New Roman" w:cs="Arial"/>
                <w:b/>
                <w:bCs/>
                <w:color w:val="1F3864" w:themeColor="accent5" w:themeShade="80"/>
                <w:szCs w:val="24"/>
              </w:rPr>
              <w:t>20</w:t>
            </w:r>
          </w:p>
        </w:tc>
        <w:tc>
          <w:tcPr>
            <w:tcW w:w="2438" w:type="dxa"/>
            <w:shd w:val="clear" w:color="auto" w:fill="auto"/>
            <w:noWrap/>
            <w:vAlign w:val="bottom"/>
            <w:hideMark/>
          </w:tcPr>
          <w:p w14:paraId="05BE25A8" w14:textId="77777777" w:rsidR="006A490C" w:rsidRPr="00652DA8" w:rsidRDefault="006A490C" w:rsidP="00A129AF">
            <w:pPr>
              <w:spacing w:after="0" w:line="240" w:lineRule="auto"/>
              <w:jc w:val="center"/>
              <w:rPr>
                <w:rFonts w:eastAsia="Times New Roman" w:cs="Arial"/>
                <w:b/>
                <w:bCs/>
                <w:color w:val="1F3864" w:themeColor="accent5" w:themeShade="80"/>
                <w:szCs w:val="24"/>
              </w:rPr>
            </w:pPr>
            <w:r w:rsidRPr="00652DA8">
              <w:rPr>
                <w:rFonts w:eastAsia="Times New Roman" w:cs="Arial"/>
                <w:b/>
                <w:bCs/>
                <w:color w:val="1F3864" w:themeColor="accent5" w:themeShade="80"/>
                <w:szCs w:val="24"/>
              </w:rPr>
              <w:t>2</w:t>
            </w:r>
            <w:r w:rsidR="00C43E32">
              <w:rPr>
                <w:rFonts w:eastAsia="Times New Roman" w:cs="Arial"/>
                <w:b/>
                <w:bCs/>
                <w:color w:val="1F3864" w:themeColor="accent5" w:themeShade="80"/>
                <w:szCs w:val="24"/>
              </w:rPr>
              <w:t>019</w:t>
            </w:r>
          </w:p>
        </w:tc>
      </w:tr>
      <w:tr w:rsidR="00842564" w:rsidRPr="00BE3BBE" w14:paraId="05BE25B0" w14:textId="77777777" w:rsidTr="00514170">
        <w:trPr>
          <w:trHeight w:val="852"/>
        </w:trPr>
        <w:tc>
          <w:tcPr>
            <w:tcW w:w="1623" w:type="dxa"/>
            <w:shd w:val="clear" w:color="auto" w:fill="auto"/>
            <w:noWrap/>
            <w:vAlign w:val="bottom"/>
            <w:hideMark/>
          </w:tcPr>
          <w:p w14:paraId="05BE25AA" w14:textId="77777777" w:rsidR="006A490C" w:rsidRPr="00514170" w:rsidRDefault="006A490C" w:rsidP="006A490C">
            <w:pPr>
              <w:jc w:val="left"/>
              <w:rPr>
                <w:rFonts w:cs="Arial"/>
                <w:i/>
                <w:color w:val="000000"/>
              </w:rPr>
            </w:pPr>
            <w:r w:rsidRPr="00514170">
              <w:rPr>
                <w:rFonts w:cs="Arial"/>
                <w:i/>
                <w:color w:val="000000"/>
              </w:rPr>
              <w:t>Current Ratio</w:t>
            </w:r>
          </w:p>
        </w:tc>
        <w:tc>
          <w:tcPr>
            <w:tcW w:w="3257" w:type="dxa"/>
            <w:shd w:val="clear" w:color="auto" w:fill="auto"/>
            <w:noWrap/>
            <w:vAlign w:val="bottom"/>
            <w:hideMark/>
          </w:tcPr>
          <w:p w14:paraId="05BE25AB" w14:textId="77777777" w:rsidR="006A490C" w:rsidRPr="00BE3BBE" w:rsidRDefault="006A490C" w:rsidP="006A490C">
            <w:pPr>
              <w:rPr>
                <w:rFonts w:cs="Arial"/>
                <w:color w:val="000000"/>
              </w:rPr>
            </w:pPr>
            <w:r w:rsidRPr="00BE3BBE">
              <w:rPr>
                <w:rFonts w:cs="Arial"/>
                <w:color w:val="000000"/>
              </w:rPr>
              <w:t>Current Assets/Current Liabilities</w:t>
            </w:r>
          </w:p>
        </w:tc>
        <w:tc>
          <w:tcPr>
            <w:tcW w:w="2081" w:type="dxa"/>
            <w:shd w:val="clear" w:color="auto" w:fill="auto"/>
            <w:noWrap/>
            <w:vAlign w:val="bottom"/>
            <w:hideMark/>
          </w:tcPr>
          <w:p w14:paraId="05BE25AC" w14:textId="77777777" w:rsidR="006A490C" w:rsidRPr="00BE3BBE" w:rsidRDefault="006A490C" w:rsidP="006A490C">
            <w:pPr>
              <w:spacing w:after="0" w:line="240" w:lineRule="auto"/>
              <w:jc w:val="left"/>
              <w:rPr>
                <w:rFonts w:eastAsia="Times New Roman" w:cs="Arial"/>
                <w:color w:val="000000"/>
                <w:szCs w:val="24"/>
              </w:rPr>
            </w:pPr>
            <w:r w:rsidRPr="00BE3BBE">
              <w:rPr>
                <w:rFonts w:eastAsia="Times New Roman" w:cs="Arial"/>
                <w:color w:val="000000"/>
                <w:szCs w:val="24"/>
              </w:rPr>
              <w:t>=</w:t>
            </w:r>
            <w:r w:rsidR="00514170">
              <w:rPr>
                <w:rFonts w:eastAsia="Times New Roman" w:cs="Arial"/>
                <w:color w:val="000000"/>
                <w:szCs w:val="24"/>
              </w:rPr>
              <w:t>4,202</w:t>
            </w:r>
            <w:r w:rsidR="001D7174" w:rsidRPr="00BE3BBE">
              <w:rPr>
                <w:rFonts w:eastAsia="Times New Roman" w:cs="Arial"/>
                <w:color w:val="000000"/>
                <w:szCs w:val="24"/>
              </w:rPr>
              <w:t>/</w:t>
            </w:r>
            <w:r w:rsidR="00514170">
              <w:rPr>
                <w:rFonts w:eastAsia="Times New Roman" w:cs="Arial"/>
                <w:color w:val="000000"/>
                <w:szCs w:val="24"/>
              </w:rPr>
              <w:t>2,431</w:t>
            </w:r>
          </w:p>
          <w:p w14:paraId="05BE25AD" w14:textId="77777777" w:rsidR="006A490C" w:rsidRPr="00652DA8" w:rsidRDefault="006A490C" w:rsidP="001D7174">
            <w:pPr>
              <w:spacing w:after="0" w:line="240" w:lineRule="auto"/>
              <w:jc w:val="left"/>
              <w:rPr>
                <w:rFonts w:eastAsia="Times New Roman" w:cs="Arial"/>
                <w:color w:val="000000"/>
                <w:szCs w:val="24"/>
              </w:rPr>
            </w:pPr>
            <w:r w:rsidRPr="00BE3BBE">
              <w:rPr>
                <w:rFonts w:eastAsia="Times New Roman" w:cs="Arial"/>
                <w:color w:val="000000"/>
                <w:szCs w:val="24"/>
              </w:rPr>
              <w:t>=</w:t>
            </w:r>
            <w:r w:rsidR="00514170">
              <w:rPr>
                <w:rFonts w:eastAsia="Times New Roman" w:cs="Arial"/>
                <w:color w:val="000000"/>
                <w:szCs w:val="24"/>
              </w:rPr>
              <w:t>1.73</w:t>
            </w:r>
            <w:r w:rsidR="001D7174" w:rsidRPr="00BE3BBE">
              <w:rPr>
                <w:rFonts w:eastAsia="Times New Roman" w:cs="Arial"/>
                <w:color w:val="000000"/>
                <w:szCs w:val="24"/>
              </w:rPr>
              <w:t>:1</w:t>
            </w:r>
          </w:p>
        </w:tc>
        <w:tc>
          <w:tcPr>
            <w:tcW w:w="2438" w:type="dxa"/>
            <w:shd w:val="clear" w:color="auto" w:fill="auto"/>
            <w:noWrap/>
            <w:vAlign w:val="bottom"/>
            <w:hideMark/>
          </w:tcPr>
          <w:p w14:paraId="05BE25AE" w14:textId="77777777" w:rsidR="006A490C" w:rsidRPr="00BE3BBE" w:rsidRDefault="006A490C" w:rsidP="006A490C">
            <w:pPr>
              <w:spacing w:after="0" w:line="240" w:lineRule="auto"/>
              <w:jc w:val="left"/>
              <w:rPr>
                <w:rFonts w:eastAsia="Times New Roman" w:cs="Arial"/>
                <w:color w:val="000000"/>
                <w:szCs w:val="24"/>
              </w:rPr>
            </w:pPr>
            <w:r w:rsidRPr="00BE3BBE">
              <w:rPr>
                <w:rFonts w:eastAsia="Times New Roman" w:cs="Arial"/>
                <w:color w:val="000000"/>
                <w:szCs w:val="24"/>
              </w:rPr>
              <w:t>=</w:t>
            </w:r>
            <w:r w:rsidR="00514170">
              <w:rPr>
                <w:rFonts w:eastAsia="Times New Roman" w:cs="Arial"/>
                <w:color w:val="000000"/>
                <w:szCs w:val="24"/>
              </w:rPr>
              <w:t>2,093</w:t>
            </w:r>
            <w:r w:rsidRPr="00BE3BBE">
              <w:rPr>
                <w:rFonts w:eastAsia="Times New Roman" w:cs="Arial"/>
                <w:color w:val="000000"/>
                <w:szCs w:val="24"/>
              </w:rPr>
              <w:t>/</w:t>
            </w:r>
            <w:r w:rsidR="00514170">
              <w:rPr>
                <w:rFonts w:eastAsia="Times New Roman" w:cs="Arial"/>
                <w:color w:val="000000"/>
                <w:szCs w:val="24"/>
              </w:rPr>
              <w:t>2,871</w:t>
            </w:r>
          </w:p>
          <w:p w14:paraId="05BE25AF" w14:textId="77777777" w:rsidR="006A490C" w:rsidRPr="00652DA8" w:rsidRDefault="006A490C" w:rsidP="001D7174">
            <w:pPr>
              <w:spacing w:after="0" w:line="240" w:lineRule="auto"/>
              <w:jc w:val="left"/>
              <w:rPr>
                <w:rFonts w:eastAsia="Times New Roman" w:cs="Arial"/>
                <w:color w:val="000000"/>
                <w:szCs w:val="24"/>
              </w:rPr>
            </w:pPr>
            <w:r w:rsidRPr="00BE3BBE">
              <w:rPr>
                <w:rFonts w:eastAsia="Times New Roman" w:cs="Arial"/>
                <w:color w:val="000000"/>
                <w:szCs w:val="24"/>
              </w:rPr>
              <w:t>=</w:t>
            </w:r>
            <w:r w:rsidR="00514170">
              <w:rPr>
                <w:rFonts w:eastAsia="Times New Roman" w:cs="Arial"/>
                <w:color w:val="000000"/>
                <w:szCs w:val="24"/>
              </w:rPr>
              <w:t>0.73</w:t>
            </w:r>
            <w:r w:rsidR="001D7174" w:rsidRPr="00BE3BBE">
              <w:rPr>
                <w:rFonts w:eastAsia="Times New Roman" w:cs="Arial"/>
                <w:color w:val="000000"/>
                <w:szCs w:val="24"/>
              </w:rPr>
              <w:t>:1</w:t>
            </w:r>
          </w:p>
        </w:tc>
      </w:tr>
      <w:tr w:rsidR="00514170" w:rsidRPr="00BE3BBE" w14:paraId="05BE25B7" w14:textId="77777777" w:rsidTr="00514170">
        <w:trPr>
          <w:trHeight w:val="683"/>
        </w:trPr>
        <w:tc>
          <w:tcPr>
            <w:tcW w:w="1623" w:type="dxa"/>
            <w:shd w:val="clear" w:color="auto" w:fill="auto"/>
            <w:noWrap/>
            <w:vAlign w:val="bottom"/>
            <w:hideMark/>
          </w:tcPr>
          <w:p w14:paraId="05BE25B1" w14:textId="77777777" w:rsidR="00514170" w:rsidRPr="00514170" w:rsidRDefault="00514170" w:rsidP="00514170">
            <w:pPr>
              <w:rPr>
                <w:rFonts w:cs="Arial"/>
                <w:i/>
                <w:color w:val="000000"/>
              </w:rPr>
            </w:pPr>
            <w:r w:rsidRPr="00514170">
              <w:rPr>
                <w:rFonts w:cs="Arial"/>
                <w:i/>
                <w:color w:val="000000"/>
              </w:rPr>
              <w:t>Quick Ratio</w:t>
            </w:r>
          </w:p>
        </w:tc>
        <w:tc>
          <w:tcPr>
            <w:tcW w:w="3257" w:type="dxa"/>
            <w:shd w:val="clear" w:color="auto" w:fill="auto"/>
            <w:noWrap/>
            <w:vAlign w:val="bottom"/>
            <w:hideMark/>
          </w:tcPr>
          <w:p w14:paraId="05BE25B2" w14:textId="77777777" w:rsidR="00514170" w:rsidRPr="00BE3BBE" w:rsidRDefault="00514170" w:rsidP="00514170">
            <w:pPr>
              <w:rPr>
                <w:rFonts w:cs="Arial"/>
                <w:color w:val="000000"/>
              </w:rPr>
            </w:pPr>
            <w:r w:rsidRPr="00BE3BBE">
              <w:rPr>
                <w:rFonts w:cs="Arial"/>
                <w:color w:val="000000"/>
              </w:rPr>
              <w:t>Current Assets- Stock/Current Liabilities</w:t>
            </w:r>
          </w:p>
        </w:tc>
        <w:tc>
          <w:tcPr>
            <w:tcW w:w="2081" w:type="dxa"/>
            <w:shd w:val="clear" w:color="auto" w:fill="auto"/>
            <w:noWrap/>
            <w:vAlign w:val="bottom"/>
            <w:hideMark/>
          </w:tcPr>
          <w:p w14:paraId="05BE25B3" w14:textId="77777777" w:rsidR="00514170" w:rsidRPr="00BE3BBE" w:rsidRDefault="00514170" w:rsidP="00514170">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3,989</w:t>
            </w:r>
            <w:r w:rsidRPr="00BE3BBE">
              <w:rPr>
                <w:rFonts w:eastAsia="Times New Roman" w:cs="Arial"/>
                <w:color w:val="000000"/>
                <w:szCs w:val="24"/>
              </w:rPr>
              <w:t>/</w:t>
            </w:r>
            <w:r>
              <w:rPr>
                <w:rFonts w:eastAsia="Times New Roman" w:cs="Arial"/>
                <w:color w:val="000000"/>
                <w:szCs w:val="24"/>
              </w:rPr>
              <w:t>2,431</w:t>
            </w:r>
          </w:p>
          <w:p w14:paraId="05BE25B4" w14:textId="77777777" w:rsidR="00514170" w:rsidRPr="00652DA8" w:rsidRDefault="00514170" w:rsidP="00514170">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1.64</w:t>
            </w:r>
            <w:r w:rsidRPr="00BE3BBE">
              <w:rPr>
                <w:rFonts w:eastAsia="Times New Roman" w:cs="Arial"/>
                <w:color w:val="000000"/>
                <w:szCs w:val="24"/>
              </w:rPr>
              <w:t>:1</w:t>
            </w:r>
          </w:p>
        </w:tc>
        <w:tc>
          <w:tcPr>
            <w:tcW w:w="2438" w:type="dxa"/>
            <w:shd w:val="clear" w:color="auto" w:fill="auto"/>
            <w:noWrap/>
            <w:vAlign w:val="bottom"/>
            <w:hideMark/>
          </w:tcPr>
          <w:p w14:paraId="05BE25B5" w14:textId="77777777" w:rsidR="00514170" w:rsidRPr="00BE3BBE" w:rsidRDefault="00514170" w:rsidP="00514170">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1,799</w:t>
            </w:r>
            <w:r w:rsidRPr="00BE3BBE">
              <w:rPr>
                <w:rFonts w:eastAsia="Times New Roman" w:cs="Arial"/>
                <w:color w:val="000000"/>
                <w:szCs w:val="24"/>
              </w:rPr>
              <w:t>/</w:t>
            </w:r>
            <w:r>
              <w:rPr>
                <w:rFonts w:eastAsia="Times New Roman" w:cs="Arial"/>
                <w:color w:val="000000"/>
                <w:szCs w:val="24"/>
              </w:rPr>
              <w:t>2,871</w:t>
            </w:r>
          </w:p>
          <w:p w14:paraId="05BE25B6" w14:textId="77777777" w:rsidR="00514170" w:rsidRPr="00652DA8" w:rsidRDefault="00514170" w:rsidP="00514170">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0.63</w:t>
            </w:r>
            <w:r w:rsidRPr="00BE3BBE">
              <w:rPr>
                <w:rFonts w:eastAsia="Times New Roman" w:cs="Arial"/>
                <w:color w:val="000000"/>
                <w:szCs w:val="24"/>
              </w:rPr>
              <w:t>:1</w:t>
            </w:r>
          </w:p>
        </w:tc>
      </w:tr>
    </w:tbl>
    <w:p w14:paraId="05BE25B8" w14:textId="77777777" w:rsidR="00F9376F" w:rsidRPr="00BE3BBE" w:rsidRDefault="00652DA8" w:rsidP="00F9376F">
      <w:pPr>
        <w:jc w:val="center"/>
        <w:rPr>
          <w:rFonts w:cs="Arial"/>
        </w:rPr>
      </w:pPr>
      <w:r w:rsidRPr="00BE3BBE">
        <w:rPr>
          <w:rFonts w:cs="Arial"/>
          <w:i/>
        </w:rPr>
        <w:t xml:space="preserve">     </w:t>
      </w:r>
      <w:r w:rsidRPr="00BE3BBE">
        <w:rPr>
          <w:rFonts w:cs="Arial"/>
          <w:i/>
        </w:rPr>
        <w:tab/>
      </w:r>
      <w:r w:rsidR="00F9376F" w:rsidRPr="00BE3BBE">
        <w:rPr>
          <w:rFonts w:cs="Arial"/>
        </w:rPr>
        <w:t>Table 03: Current and Quick Ratios</w:t>
      </w:r>
    </w:p>
    <w:p w14:paraId="05BE25B9" w14:textId="77777777" w:rsidR="00F9376F" w:rsidRPr="00BE3BBE" w:rsidRDefault="00F9376F" w:rsidP="00F9376F">
      <w:pPr>
        <w:jc w:val="center"/>
        <w:rPr>
          <w:rFonts w:cs="Arial"/>
        </w:rPr>
      </w:pPr>
      <w:r w:rsidRPr="00BE3BBE">
        <w:rPr>
          <w:rFonts w:cs="Arial"/>
        </w:rPr>
        <w:lastRenderedPageBreak/>
        <w:t xml:space="preserve">Source: </w:t>
      </w:r>
      <w:r w:rsidR="00BF46FF">
        <w:rPr>
          <w:rFonts w:cs="Arial"/>
        </w:rPr>
        <w:t>Own</w:t>
      </w:r>
      <w:r w:rsidR="00BF46FF" w:rsidRPr="00BE3BBE">
        <w:rPr>
          <w:rFonts w:cs="Arial"/>
        </w:rPr>
        <w:t xml:space="preserve"> Calculation</w:t>
      </w:r>
    </w:p>
    <w:p w14:paraId="05BE25BA" w14:textId="77777777" w:rsidR="00652DA8" w:rsidRPr="00BE3BBE" w:rsidRDefault="00652DA8" w:rsidP="00652DA8">
      <w:pPr>
        <w:rPr>
          <w:rFonts w:cs="Arial"/>
          <w:i/>
        </w:rPr>
      </w:pPr>
    </w:p>
    <w:p w14:paraId="05BE25BB" w14:textId="77777777" w:rsidR="00652DA8" w:rsidRPr="00BE3BBE" w:rsidRDefault="00D826BC" w:rsidP="00652DA8">
      <w:pPr>
        <w:spacing w:line="360" w:lineRule="auto"/>
        <w:rPr>
          <w:rFonts w:cs="Arial"/>
        </w:rPr>
      </w:pPr>
      <w:r>
        <w:rPr>
          <w:rFonts w:cs="Arial"/>
        </w:rPr>
        <w:t xml:space="preserve">The above summary table makes it clear that, in 2019 and 2020, the ratios were close to </w:t>
      </w:r>
      <w:r w:rsidR="00935450">
        <w:rPr>
          <w:rFonts w:cs="Arial"/>
        </w:rPr>
        <w:t xml:space="preserve">the </w:t>
      </w:r>
      <w:r>
        <w:rPr>
          <w:rFonts w:cs="Arial"/>
        </w:rPr>
        <w:t>industry benchmark (1). So, it performed well.</w:t>
      </w:r>
    </w:p>
    <w:p w14:paraId="05BE25BC" w14:textId="77777777" w:rsidR="00652DA8" w:rsidRPr="00BE3BBE" w:rsidRDefault="00652DA8" w:rsidP="00652DA8">
      <w:pPr>
        <w:spacing w:line="360" w:lineRule="auto"/>
        <w:rPr>
          <w:rFonts w:cs="Arial"/>
          <w:b/>
        </w:rPr>
      </w:pPr>
      <w:r w:rsidRPr="00BE3BBE">
        <w:rPr>
          <w:rFonts w:cs="Arial"/>
          <w:b/>
        </w:rPr>
        <w:t>Debtor Days &amp; Creditor Days</w:t>
      </w:r>
    </w:p>
    <w:p w14:paraId="05BE25BD" w14:textId="77777777" w:rsidR="00652DA8" w:rsidRPr="00BE3BBE" w:rsidRDefault="006C2C1C" w:rsidP="00652DA8">
      <w:pPr>
        <w:spacing w:line="360" w:lineRule="auto"/>
        <w:rPr>
          <w:rFonts w:cs="Arial"/>
        </w:rPr>
      </w:pPr>
      <w:r>
        <w:rPr>
          <w:rFonts w:cs="Arial"/>
        </w:rPr>
        <w:t>Following are the necessary calculations</w:t>
      </w:r>
      <w:r w:rsidR="00652DA8" w:rsidRPr="00BE3BBE">
        <w:rPr>
          <w:rFonts w:cs="Arial"/>
        </w:rP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5"/>
        <w:gridCol w:w="2520"/>
        <w:gridCol w:w="2610"/>
        <w:gridCol w:w="2605"/>
      </w:tblGrid>
      <w:tr w:rsidR="002D247F" w:rsidRPr="00652DA8" w14:paraId="05BE25BF" w14:textId="77777777" w:rsidTr="00B76D6E">
        <w:trPr>
          <w:trHeight w:val="269"/>
        </w:trPr>
        <w:tc>
          <w:tcPr>
            <w:tcW w:w="9350" w:type="dxa"/>
            <w:gridSpan w:val="4"/>
            <w:shd w:val="clear" w:color="auto" w:fill="1F4E79" w:themeFill="accent1" w:themeFillShade="80"/>
            <w:noWrap/>
            <w:vAlign w:val="bottom"/>
            <w:hideMark/>
          </w:tcPr>
          <w:p w14:paraId="05BE25BE" w14:textId="77777777" w:rsidR="002D247F" w:rsidRPr="00652DA8" w:rsidRDefault="004256C9" w:rsidP="00A129AF">
            <w:pPr>
              <w:spacing w:after="0" w:line="240" w:lineRule="auto"/>
              <w:jc w:val="center"/>
              <w:rPr>
                <w:rFonts w:eastAsia="Times New Roman" w:cs="Arial"/>
                <w:b/>
                <w:bCs/>
                <w:color w:val="FFFFFF"/>
                <w:szCs w:val="24"/>
              </w:rPr>
            </w:pPr>
            <w:r w:rsidRPr="00BE3BBE">
              <w:rPr>
                <w:rFonts w:eastAsia="Times New Roman" w:cs="Arial"/>
                <w:b/>
                <w:bCs/>
                <w:color w:val="FFFFFF"/>
                <w:szCs w:val="24"/>
              </w:rPr>
              <w:t>Debtor &amp; Creditor Days</w:t>
            </w:r>
            <w:r w:rsidR="00B76D6E">
              <w:rPr>
                <w:rFonts w:eastAsia="Times New Roman" w:cs="Arial"/>
                <w:b/>
                <w:bCs/>
                <w:color w:val="FFFFFF"/>
                <w:szCs w:val="24"/>
              </w:rPr>
              <w:t xml:space="preserve"> (amounts in ’000 USD)</w:t>
            </w:r>
          </w:p>
        </w:tc>
      </w:tr>
      <w:tr w:rsidR="002D247F" w:rsidRPr="00BE3BBE" w14:paraId="05BE25C4" w14:textId="77777777" w:rsidTr="002D247F">
        <w:trPr>
          <w:trHeight w:val="269"/>
        </w:trPr>
        <w:tc>
          <w:tcPr>
            <w:tcW w:w="1615" w:type="dxa"/>
            <w:shd w:val="clear" w:color="auto" w:fill="auto"/>
            <w:noWrap/>
            <w:vAlign w:val="bottom"/>
            <w:hideMark/>
          </w:tcPr>
          <w:p w14:paraId="05BE25C0" w14:textId="77777777" w:rsidR="002D247F" w:rsidRPr="00652DA8" w:rsidRDefault="002D247F"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Name</w:t>
            </w:r>
          </w:p>
        </w:tc>
        <w:tc>
          <w:tcPr>
            <w:tcW w:w="2520" w:type="dxa"/>
            <w:shd w:val="clear" w:color="auto" w:fill="auto"/>
            <w:noWrap/>
            <w:vAlign w:val="bottom"/>
            <w:hideMark/>
          </w:tcPr>
          <w:p w14:paraId="05BE25C1" w14:textId="77777777" w:rsidR="002D247F" w:rsidRPr="00652DA8" w:rsidRDefault="002D247F"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Formula</w:t>
            </w:r>
          </w:p>
        </w:tc>
        <w:tc>
          <w:tcPr>
            <w:tcW w:w="2610" w:type="dxa"/>
            <w:shd w:val="clear" w:color="auto" w:fill="auto"/>
            <w:noWrap/>
            <w:vAlign w:val="bottom"/>
            <w:hideMark/>
          </w:tcPr>
          <w:p w14:paraId="05BE25C2" w14:textId="77777777" w:rsidR="002D247F"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2020</w:t>
            </w:r>
          </w:p>
        </w:tc>
        <w:tc>
          <w:tcPr>
            <w:tcW w:w="2605" w:type="dxa"/>
            <w:shd w:val="clear" w:color="auto" w:fill="auto"/>
            <w:noWrap/>
            <w:vAlign w:val="bottom"/>
            <w:hideMark/>
          </w:tcPr>
          <w:p w14:paraId="05BE25C3" w14:textId="77777777" w:rsidR="002D247F"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2019</w:t>
            </w:r>
          </w:p>
        </w:tc>
      </w:tr>
      <w:tr w:rsidR="002D247F" w:rsidRPr="00BE3BBE" w14:paraId="05BE25CB" w14:textId="77777777" w:rsidTr="002D247F">
        <w:trPr>
          <w:trHeight w:val="1142"/>
        </w:trPr>
        <w:tc>
          <w:tcPr>
            <w:tcW w:w="1615" w:type="dxa"/>
            <w:shd w:val="clear" w:color="auto" w:fill="auto"/>
            <w:noWrap/>
            <w:vAlign w:val="bottom"/>
            <w:hideMark/>
          </w:tcPr>
          <w:p w14:paraId="05BE25C5" w14:textId="77777777" w:rsidR="002D247F" w:rsidRPr="00B35B57" w:rsidRDefault="002D247F" w:rsidP="002D247F">
            <w:pPr>
              <w:jc w:val="left"/>
              <w:rPr>
                <w:rFonts w:cs="Arial"/>
                <w:i/>
                <w:color w:val="000000"/>
              </w:rPr>
            </w:pPr>
            <w:r w:rsidRPr="00B35B57">
              <w:rPr>
                <w:rFonts w:cs="Arial"/>
                <w:i/>
                <w:color w:val="000000"/>
              </w:rPr>
              <w:t>Debtors Days</w:t>
            </w:r>
          </w:p>
        </w:tc>
        <w:tc>
          <w:tcPr>
            <w:tcW w:w="2520" w:type="dxa"/>
            <w:shd w:val="clear" w:color="auto" w:fill="auto"/>
            <w:noWrap/>
            <w:vAlign w:val="bottom"/>
            <w:hideMark/>
          </w:tcPr>
          <w:p w14:paraId="05BE25C6" w14:textId="77777777" w:rsidR="002D247F" w:rsidRPr="00BE3BBE" w:rsidRDefault="002D247F" w:rsidP="002D247F">
            <w:pPr>
              <w:jc w:val="left"/>
              <w:rPr>
                <w:rFonts w:cs="Arial"/>
                <w:color w:val="000000"/>
              </w:rPr>
            </w:pPr>
            <w:r w:rsidRPr="00BE3BBE">
              <w:rPr>
                <w:rFonts w:cs="Arial"/>
                <w:color w:val="000000"/>
              </w:rPr>
              <w:t>Debtors*365/Credit Sales</w:t>
            </w:r>
          </w:p>
        </w:tc>
        <w:tc>
          <w:tcPr>
            <w:tcW w:w="2610" w:type="dxa"/>
            <w:shd w:val="clear" w:color="auto" w:fill="auto"/>
            <w:noWrap/>
            <w:vAlign w:val="bottom"/>
            <w:hideMark/>
          </w:tcPr>
          <w:p w14:paraId="05BE25C7" w14:textId="77777777" w:rsidR="002D247F" w:rsidRPr="00BE3BBE" w:rsidRDefault="002D247F" w:rsidP="002D247F">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771</w:t>
            </w:r>
            <w:r w:rsidRPr="00BE3BBE">
              <w:rPr>
                <w:rFonts w:eastAsia="Times New Roman" w:cs="Arial"/>
                <w:color w:val="000000"/>
                <w:szCs w:val="24"/>
              </w:rPr>
              <w:t xml:space="preserve"> </w:t>
            </w:r>
            <w:r w:rsidRPr="00BE3BBE">
              <w:rPr>
                <w:rFonts w:cs="Arial"/>
              </w:rPr>
              <w:t>x</w:t>
            </w:r>
            <w:r w:rsidR="00B07111">
              <w:rPr>
                <w:rFonts w:eastAsia="Times New Roman" w:cs="Arial"/>
                <w:color w:val="000000"/>
                <w:szCs w:val="24"/>
              </w:rPr>
              <w:t xml:space="preserve"> 365) /4,307</w:t>
            </w:r>
            <w:r w:rsidRPr="00BE3BBE">
              <w:rPr>
                <w:rFonts w:cs="Arial"/>
              </w:rPr>
              <w:t xml:space="preserve"> </w:t>
            </w:r>
          </w:p>
          <w:p w14:paraId="05BE25C8" w14:textId="77777777" w:rsidR="002D247F" w:rsidRPr="00652DA8" w:rsidRDefault="002D247F"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65.34</w:t>
            </w:r>
          </w:p>
        </w:tc>
        <w:tc>
          <w:tcPr>
            <w:tcW w:w="2605" w:type="dxa"/>
            <w:shd w:val="clear" w:color="auto" w:fill="auto"/>
            <w:noWrap/>
            <w:vAlign w:val="bottom"/>
            <w:hideMark/>
          </w:tcPr>
          <w:p w14:paraId="05BE25C9" w14:textId="77777777" w:rsidR="002D247F" w:rsidRPr="00BE3BBE" w:rsidRDefault="002D247F" w:rsidP="002D247F">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1,261</w:t>
            </w:r>
            <w:r w:rsidRPr="00BE3BBE">
              <w:rPr>
                <w:rFonts w:eastAsia="Times New Roman" w:cs="Arial"/>
                <w:color w:val="000000"/>
                <w:szCs w:val="24"/>
              </w:rPr>
              <w:t xml:space="preserve"> </w:t>
            </w:r>
            <w:r w:rsidRPr="00BE3BBE">
              <w:rPr>
                <w:rFonts w:cs="Arial"/>
              </w:rPr>
              <w:t>x</w:t>
            </w:r>
            <w:r w:rsidRPr="00BE3BBE">
              <w:rPr>
                <w:rFonts w:eastAsia="Times New Roman" w:cs="Arial"/>
                <w:color w:val="000000"/>
                <w:szCs w:val="24"/>
              </w:rPr>
              <w:t xml:space="preserve"> 365) /</w:t>
            </w:r>
            <w:r w:rsidR="00B07111">
              <w:rPr>
                <w:rFonts w:eastAsia="Times New Roman" w:cs="Arial"/>
                <w:color w:val="000000"/>
                <w:szCs w:val="24"/>
              </w:rPr>
              <w:t>9,452</w:t>
            </w:r>
          </w:p>
          <w:p w14:paraId="05BE25CA" w14:textId="77777777" w:rsidR="002D247F" w:rsidRPr="00652DA8" w:rsidRDefault="002D247F"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48.69</w:t>
            </w:r>
          </w:p>
        </w:tc>
      </w:tr>
      <w:tr w:rsidR="002D247F" w:rsidRPr="00BE3BBE" w14:paraId="05BE25D2" w14:textId="77777777" w:rsidTr="002D247F">
        <w:trPr>
          <w:trHeight w:val="800"/>
        </w:trPr>
        <w:tc>
          <w:tcPr>
            <w:tcW w:w="1615" w:type="dxa"/>
            <w:shd w:val="clear" w:color="auto" w:fill="auto"/>
            <w:noWrap/>
            <w:vAlign w:val="bottom"/>
            <w:hideMark/>
          </w:tcPr>
          <w:p w14:paraId="05BE25CC" w14:textId="77777777" w:rsidR="002D247F" w:rsidRPr="00B35B57" w:rsidRDefault="002D247F" w:rsidP="002D247F">
            <w:pPr>
              <w:rPr>
                <w:rFonts w:cs="Arial"/>
                <w:i/>
                <w:color w:val="000000"/>
              </w:rPr>
            </w:pPr>
            <w:r w:rsidRPr="00B35B57">
              <w:rPr>
                <w:rFonts w:cs="Arial"/>
                <w:i/>
                <w:color w:val="000000"/>
              </w:rPr>
              <w:t>Creditor Days</w:t>
            </w:r>
          </w:p>
        </w:tc>
        <w:tc>
          <w:tcPr>
            <w:tcW w:w="2520" w:type="dxa"/>
            <w:shd w:val="clear" w:color="auto" w:fill="auto"/>
            <w:noWrap/>
            <w:vAlign w:val="bottom"/>
            <w:hideMark/>
          </w:tcPr>
          <w:p w14:paraId="05BE25CD" w14:textId="77777777" w:rsidR="002D247F" w:rsidRPr="00BE3BBE" w:rsidRDefault="002D247F" w:rsidP="002D247F">
            <w:pPr>
              <w:rPr>
                <w:rFonts w:cs="Arial"/>
                <w:color w:val="000000"/>
              </w:rPr>
            </w:pPr>
            <w:r w:rsidRPr="00BE3BBE">
              <w:rPr>
                <w:rFonts w:cs="Arial"/>
                <w:color w:val="000000"/>
              </w:rPr>
              <w:t>Creditors*365/Credit Purchase</w:t>
            </w:r>
          </w:p>
        </w:tc>
        <w:tc>
          <w:tcPr>
            <w:tcW w:w="2610" w:type="dxa"/>
            <w:shd w:val="clear" w:color="auto" w:fill="auto"/>
            <w:noWrap/>
            <w:vAlign w:val="bottom"/>
            <w:hideMark/>
          </w:tcPr>
          <w:p w14:paraId="05BE25CE" w14:textId="77777777" w:rsidR="002D247F" w:rsidRPr="00BE3BBE" w:rsidRDefault="00B07111" w:rsidP="002D247F">
            <w:pPr>
              <w:spacing w:after="0" w:line="240" w:lineRule="auto"/>
              <w:jc w:val="left"/>
              <w:rPr>
                <w:rFonts w:eastAsia="Times New Roman" w:cs="Arial"/>
                <w:color w:val="000000"/>
                <w:szCs w:val="24"/>
              </w:rPr>
            </w:pPr>
            <w:r>
              <w:rPr>
                <w:rFonts w:eastAsia="Times New Roman" w:cs="Arial"/>
                <w:color w:val="000000"/>
                <w:szCs w:val="24"/>
              </w:rPr>
              <w:t>=(224</w:t>
            </w:r>
            <w:r w:rsidR="002D247F" w:rsidRPr="00BE3BBE">
              <w:rPr>
                <w:rFonts w:cs="Arial"/>
              </w:rPr>
              <w:t>x</w:t>
            </w:r>
            <w:r w:rsidR="002D247F" w:rsidRPr="00BE3BBE">
              <w:rPr>
                <w:rFonts w:eastAsia="Times New Roman" w:cs="Arial"/>
                <w:color w:val="000000"/>
                <w:szCs w:val="24"/>
              </w:rPr>
              <w:t xml:space="preserve"> 365) /</w:t>
            </w:r>
            <w:r>
              <w:rPr>
                <w:rFonts w:eastAsia="Times New Roman" w:cs="Arial"/>
                <w:color w:val="000000"/>
                <w:szCs w:val="24"/>
              </w:rPr>
              <w:t>3,724</w:t>
            </w:r>
            <w:r w:rsidR="002D247F" w:rsidRPr="00BE3BBE">
              <w:rPr>
                <w:rFonts w:cs="Arial"/>
              </w:rPr>
              <w:t xml:space="preserve"> </w:t>
            </w:r>
          </w:p>
          <w:p w14:paraId="05BE25CF" w14:textId="77777777" w:rsidR="002D247F" w:rsidRPr="00652DA8" w:rsidRDefault="002D247F"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21.95</w:t>
            </w:r>
          </w:p>
        </w:tc>
        <w:tc>
          <w:tcPr>
            <w:tcW w:w="2605" w:type="dxa"/>
            <w:shd w:val="clear" w:color="auto" w:fill="auto"/>
            <w:noWrap/>
            <w:vAlign w:val="bottom"/>
            <w:hideMark/>
          </w:tcPr>
          <w:p w14:paraId="05BE25D0" w14:textId="77777777" w:rsidR="002D247F" w:rsidRPr="00BE3BBE" w:rsidRDefault="002D247F" w:rsidP="002D247F">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303</w:t>
            </w:r>
            <w:r w:rsidRPr="00BE3BBE">
              <w:rPr>
                <w:rFonts w:eastAsia="Times New Roman" w:cs="Arial"/>
                <w:color w:val="000000"/>
                <w:szCs w:val="24"/>
              </w:rPr>
              <w:t xml:space="preserve"> </w:t>
            </w:r>
            <w:r w:rsidRPr="00BE3BBE">
              <w:rPr>
                <w:rFonts w:cs="Arial"/>
              </w:rPr>
              <w:t>x</w:t>
            </w:r>
            <w:r w:rsidRPr="00BE3BBE">
              <w:rPr>
                <w:rFonts w:eastAsia="Times New Roman" w:cs="Arial"/>
                <w:color w:val="000000"/>
                <w:szCs w:val="24"/>
              </w:rPr>
              <w:t xml:space="preserve"> 365) /</w:t>
            </w:r>
            <w:r w:rsidR="00B07111">
              <w:rPr>
                <w:rFonts w:eastAsia="Times New Roman" w:cs="Arial"/>
                <w:color w:val="000000"/>
                <w:szCs w:val="24"/>
              </w:rPr>
              <w:t>7,017</w:t>
            </w:r>
            <w:r w:rsidRPr="00BE3BBE">
              <w:rPr>
                <w:rFonts w:cs="Arial"/>
              </w:rPr>
              <w:t xml:space="preserve"> </w:t>
            </w:r>
          </w:p>
          <w:p w14:paraId="05BE25D1" w14:textId="77777777" w:rsidR="002D247F" w:rsidRPr="00652DA8" w:rsidRDefault="002D247F"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15.76</w:t>
            </w:r>
          </w:p>
        </w:tc>
      </w:tr>
    </w:tbl>
    <w:p w14:paraId="05BE25D3" w14:textId="77777777" w:rsidR="00F9376F" w:rsidRPr="00BE3BBE" w:rsidRDefault="00F9376F" w:rsidP="00F9376F">
      <w:pPr>
        <w:jc w:val="center"/>
        <w:rPr>
          <w:rFonts w:cs="Arial"/>
        </w:rPr>
      </w:pPr>
      <w:r w:rsidRPr="00BE3BBE">
        <w:rPr>
          <w:rFonts w:cs="Arial"/>
        </w:rPr>
        <w:t>Table 04: Debtor and Creditor Days Ratio</w:t>
      </w:r>
    </w:p>
    <w:p w14:paraId="05BE25D4" w14:textId="77777777" w:rsidR="00652DA8" w:rsidRPr="00BE3BBE" w:rsidRDefault="00F9376F" w:rsidP="00F9376F">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5D5" w14:textId="77777777" w:rsidR="00652DA8" w:rsidRPr="00BE3BBE" w:rsidRDefault="00E77D3F" w:rsidP="00652DA8">
      <w:pPr>
        <w:spacing w:line="360" w:lineRule="auto"/>
        <w:rPr>
          <w:rFonts w:cs="Arial"/>
        </w:rPr>
      </w:pPr>
      <w:r>
        <w:rPr>
          <w:rFonts w:cs="Arial"/>
        </w:rPr>
        <w:t xml:space="preserve">Hilton is doing well in repaying debts to the creditors. Their creditor days ratio is much lower than the benchmark of 30-35 days. Meanwhile, the debtor days ratio is not that well, which means the hotel takes more time to gather receivables. </w:t>
      </w:r>
    </w:p>
    <w:p w14:paraId="05BE25D6" w14:textId="77777777" w:rsidR="00652DA8" w:rsidRPr="00BE3BBE" w:rsidRDefault="00652DA8" w:rsidP="00652DA8">
      <w:pPr>
        <w:pStyle w:val="Heading2"/>
        <w:rPr>
          <w:rFonts w:cs="Arial"/>
        </w:rPr>
      </w:pPr>
      <w:bookmarkStart w:id="12" w:name="_Toc103622112"/>
      <w:bookmarkStart w:id="13" w:name="_Toc103622153"/>
      <w:r w:rsidRPr="00BE3BBE">
        <w:rPr>
          <w:rFonts w:cs="Arial"/>
        </w:rPr>
        <w:t>Gearing Ratios</w:t>
      </w:r>
      <w:bookmarkEnd w:id="12"/>
      <w:bookmarkEnd w:id="13"/>
    </w:p>
    <w:p w14:paraId="05BE25D7" w14:textId="77777777" w:rsidR="00652DA8" w:rsidRPr="009F545A" w:rsidRDefault="00996FF5" w:rsidP="00652DA8">
      <w:pPr>
        <w:spacing w:line="360" w:lineRule="auto"/>
        <w:rPr>
          <w:rFonts w:cs="Arial"/>
        </w:rPr>
      </w:pPr>
      <w:r>
        <w:rPr>
          <w:rFonts w:cs="Arial"/>
        </w:rPr>
        <w:t xml:space="preserve">The debt amount as a percentage of equity is known as gearing. These ratios show the capability of coping </w:t>
      </w:r>
      <w:r w:rsidR="00935450">
        <w:rPr>
          <w:rFonts w:cs="Arial"/>
        </w:rPr>
        <w:t>with</w:t>
      </w:r>
      <w:r>
        <w:rPr>
          <w:rFonts w:cs="Arial"/>
        </w:rPr>
        <w:t xml:space="preserve"> financial risks by a company</w:t>
      </w:r>
      <w:r w:rsidR="00334953">
        <w:rPr>
          <w:rFonts w:cs="Arial"/>
        </w:rPr>
        <w:t xml:space="preserve"> (</w:t>
      </w:r>
      <w:proofErr w:type="spellStart"/>
      <w:r w:rsidR="00334953" w:rsidRPr="00334953">
        <w:rPr>
          <w:rFonts w:eastAsia="Times New Roman" w:cs="Arial"/>
          <w:szCs w:val="24"/>
        </w:rPr>
        <w:t>Kiarie</w:t>
      </w:r>
      <w:proofErr w:type="spellEnd"/>
      <w:r w:rsidR="00334953">
        <w:rPr>
          <w:rFonts w:eastAsia="Times New Roman" w:cs="Arial"/>
          <w:szCs w:val="24"/>
        </w:rPr>
        <w:t xml:space="preserve"> et Al., 2019)</w:t>
      </w:r>
      <w:r>
        <w:rPr>
          <w:rFonts w:cs="Arial"/>
        </w:rPr>
        <w:t xml:space="preserve">. For </w:t>
      </w:r>
      <w:r w:rsidR="00935450">
        <w:rPr>
          <w:rFonts w:cs="Arial"/>
        </w:rPr>
        <w:t xml:space="preserve">the </w:t>
      </w:r>
      <w:r>
        <w:rPr>
          <w:rFonts w:cs="Arial"/>
        </w:rPr>
        <w:t>hotel industry, the most appropriate gearing ratios are debt ratio and interest coverage ratio.</w:t>
      </w:r>
    </w:p>
    <w:p w14:paraId="05BE25D8" w14:textId="77777777" w:rsidR="00652DA8" w:rsidRPr="00BE3BBE" w:rsidRDefault="00996FF5" w:rsidP="00652DA8">
      <w:pPr>
        <w:spacing w:line="360" w:lineRule="auto"/>
        <w:rPr>
          <w:rFonts w:cs="Arial"/>
        </w:rPr>
      </w:pPr>
      <w:r>
        <w:rPr>
          <w:rFonts w:cs="Arial"/>
        </w:rPr>
        <w:t>So, here their calculations are shown:</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5"/>
        <w:gridCol w:w="2520"/>
        <w:gridCol w:w="2610"/>
        <w:gridCol w:w="2605"/>
      </w:tblGrid>
      <w:tr w:rsidR="00193072" w:rsidRPr="00652DA8" w14:paraId="05BE25DA" w14:textId="77777777" w:rsidTr="005122B7">
        <w:trPr>
          <w:trHeight w:val="269"/>
        </w:trPr>
        <w:tc>
          <w:tcPr>
            <w:tcW w:w="9350" w:type="dxa"/>
            <w:gridSpan w:val="4"/>
            <w:shd w:val="clear" w:color="auto" w:fill="1F4E79" w:themeFill="accent1" w:themeFillShade="80"/>
            <w:noWrap/>
            <w:vAlign w:val="bottom"/>
            <w:hideMark/>
          </w:tcPr>
          <w:p w14:paraId="05BE25D9" w14:textId="77777777" w:rsidR="00193072" w:rsidRPr="00652DA8" w:rsidRDefault="00193072" w:rsidP="00B76D6E">
            <w:pPr>
              <w:spacing w:after="0" w:line="240" w:lineRule="auto"/>
              <w:jc w:val="center"/>
              <w:rPr>
                <w:rFonts w:eastAsia="Times New Roman" w:cs="Arial"/>
                <w:b/>
                <w:bCs/>
                <w:color w:val="FFFFFF"/>
                <w:szCs w:val="24"/>
              </w:rPr>
            </w:pPr>
            <w:r w:rsidRPr="00BE3BBE">
              <w:rPr>
                <w:rFonts w:eastAsia="Times New Roman" w:cs="Arial"/>
                <w:b/>
                <w:bCs/>
                <w:color w:val="FFFFFF"/>
                <w:szCs w:val="24"/>
              </w:rPr>
              <w:t xml:space="preserve">Debtor &amp; </w:t>
            </w:r>
            <w:r w:rsidR="00B76D6E">
              <w:rPr>
                <w:rFonts w:eastAsia="Times New Roman" w:cs="Arial"/>
                <w:b/>
                <w:bCs/>
                <w:color w:val="FFFFFF"/>
                <w:szCs w:val="24"/>
              </w:rPr>
              <w:t>Interest Coverage ratio</w:t>
            </w:r>
            <w:r w:rsidR="009F545A">
              <w:rPr>
                <w:rFonts w:eastAsia="Times New Roman" w:cs="Arial"/>
                <w:b/>
                <w:bCs/>
                <w:color w:val="FFFFFF"/>
                <w:szCs w:val="24"/>
              </w:rPr>
              <w:t xml:space="preserve"> (amounts in ’000 USD)</w:t>
            </w:r>
          </w:p>
        </w:tc>
      </w:tr>
      <w:tr w:rsidR="00193072" w:rsidRPr="00BE3BBE" w14:paraId="05BE25DF" w14:textId="77777777" w:rsidTr="00A129AF">
        <w:trPr>
          <w:trHeight w:val="269"/>
        </w:trPr>
        <w:tc>
          <w:tcPr>
            <w:tcW w:w="1615" w:type="dxa"/>
            <w:shd w:val="clear" w:color="auto" w:fill="auto"/>
            <w:noWrap/>
            <w:vAlign w:val="bottom"/>
            <w:hideMark/>
          </w:tcPr>
          <w:p w14:paraId="05BE25DB" w14:textId="77777777" w:rsidR="00193072" w:rsidRPr="00652DA8" w:rsidRDefault="00193072"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Name</w:t>
            </w:r>
          </w:p>
        </w:tc>
        <w:tc>
          <w:tcPr>
            <w:tcW w:w="2520" w:type="dxa"/>
            <w:shd w:val="clear" w:color="auto" w:fill="auto"/>
            <w:noWrap/>
            <w:vAlign w:val="bottom"/>
            <w:hideMark/>
          </w:tcPr>
          <w:p w14:paraId="05BE25DC" w14:textId="77777777" w:rsidR="00193072" w:rsidRPr="00652DA8" w:rsidRDefault="00193072" w:rsidP="00A129AF">
            <w:pPr>
              <w:spacing w:after="0" w:line="240" w:lineRule="auto"/>
              <w:jc w:val="center"/>
              <w:rPr>
                <w:rFonts w:eastAsia="Times New Roman" w:cs="Arial"/>
                <w:b/>
                <w:color w:val="1F3864" w:themeColor="accent5" w:themeShade="80"/>
                <w:szCs w:val="24"/>
              </w:rPr>
            </w:pPr>
            <w:r w:rsidRPr="00BE3BBE">
              <w:rPr>
                <w:rFonts w:eastAsia="Times New Roman" w:cs="Arial"/>
                <w:b/>
                <w:color w:val="1F3864" w:themeColor="accent5" w:themeShade="80"/>
                <w:szCs w:val="24"/>
              </w:rPr>
              <w:t>Formula</w:t>
            </w:r>
          </w:p>
        </w:tc>
        <w:tc>
          <w:tcPr>
            <w:tcW w:w="2610" w:type="dxa"/>
            <w:shd w:val="clear" w:color="auto" w:fill="auto"/>
            <w:noWrap/>
            <w:vAlign w:val="bottom"/>
            <w:hideMark/>
          </w:tcPr>
          <w:p w14:paraId="05BE25DD" w14:textId="77777777" w:rsidR="00193072"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2020</w:t>
            </w:r>
          </w:p>
        </w:tc>
        <w:tc>
          <w:tcPr>
            <w:tcW w:w="2605" w:type="dxa"/>
            <w:shd w:val="clear" w:color="auto" w:fill="auto"/>
            <w:noWrap/>
            <w:vAlign w:val="bottom"/>
            <w:hideMark/>
          </w:tcPr>
          <w:p w14:paraId="05BE25DE" w14:textId="77777777" w:rsidR="00193072" w:rsidRPr="00652DA8" w:rsidRDefault="00C43E32" w:rsidP="00A129AF">
            <w:pPr>
              <w:spacing w:after="0" w:line="240" w:lineRule="auto"/>
              <w:jc w:val="center"/>
              <w:rPr>
                <w:rFonts w:eastAsia="Times New Roman" w:cs="Arial"/>
                <w:b/>
                <w:bCs/>
                <w:color w:val="1F3864" w:themeColor="accent5" w:themeShade="80"/>
                <w:szCs w:val="24"/>
              </w:rPr>
            </w:pPr>
            <w:r>
              <w:rPr>
                <w:rFonts w:eastAsia="Times New Roman" w:cs="Arial"/>
                <w:b/>
                <w:bCs/>
                <w:color w:val="1F3864" w:themeColor="accent5" w:themeShade="80"/>
                <w:szCs w:val="24"/>
              </w:rPr>
              <w:t>2019</w:t>
            </w:r>
          </w:p>
        </w:tc>
      </w:tr>
      <w:tr w:rsidR="00193072" w:rsidRPr="00BE3BBE" w14:paraId="05BE25E6" w14:textId="77777777" w:rsidTr="00A129AF">
        <w:trPr>
          <w:trHeight w:val="1142"/>
        </w:trPr>
        <w:tc>
          <w:tcPr>
            <w:tcW w:w="1615" w:type="dxa"/>
            <w:shd w:val="clear" w:color="auto" w:fill="auto"/>
            <w:noWrap/>
            <w:vAlign w:val="bottom"/>
            <w:hideMark/>
          </w:tcPr>
          <w:p w14:paraId="05BE25E0" w14:textId="77777777" w:rsidR="00193072" w:rsidRPr="00B35B57" w:rsidRDefault="00193072" w:rsidP="00A129AF">
            <w:pPr>
              <w:jc w:val="left"/>
              <w:rPr>
                <w:rFonts w:cs="Arial"/>
                <w:i/>
                <w:color w:val="000000"/>
              </w:rPr>
            </w:pPr>
            <w:r w:rsidRPr="00B35B57">
              <w:rPr>
                <w:rFonts w:cs="Arial"/>
                <w:i/>
                <w:color w:val="000000"/>
              </w:rPr>
              <w:t>Debt Ratio</w:t>
            </w:r>
          </w:p>
        </w:tc>
        <w:tc>
          <w:tcPr>
            <w:tcW w:w="2520" w:type="dxa"/>
            <w:shd w:val="clear" w:color="auto" w:fill="auto"/>
            <w:noWrap/>
            <w:vAlign w:val="bottom"/>
            <w:hideMark/>
          </w:tcPr>
          <w:p w14:paraId="05BE25E1" w14:textId="77777777" w:rsidR="00193072" w:rsidRPr="00BE3BBE" w:rsidRDefault="00193072" w:rsidP="00193072">
            <w:pPr>
              <w:jc w:val="left"/>
              <w:rPr>
                <w:rFonts w:cs="Arial"/>
                <w:color w:val="000000"/>
              </w:rPr>
            </w:pPr>
            <w:r w:rsidRPr="00BE3BBE">
              <w:rPr>
                <w:rFonts w:cs="Arial"/>
                <w:color w:val="000000"/>
              </w:rPr>
              <w:t>Total Debt/Total Assets</w:t>
            </w:r>
          </w:p>
        </w:tc>
        <w:tc>
          <w:tcPr>
            <w:tcW w:w="2610" w:type="dxa"/>
            <w:shd w:val="clear" w:color="auto" w:fill="auto"/>
            <w:noWrap/>
            <w:vAlign w:val="bottom"/>
            <w:hideMark/>
          </w:tcPr>
          <w:p w14:paraId="05BE25E2" w14:textId="77777777" w:rsidR="00193072" w:rsidRPr="00BE3BBE" w:rsidRDefault="00193072" w:rsidP="00A129AF">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10,235</w:t>
            </w:r>
            <w:r w:rsidRPr="00BE3BBE">
              <w:rPr>
                <w:rFonts w:eastAsia="Times New Roman" w:cs="Arial"/>
                <w:color w:val="000000"/>
                <w:szCs w:val="24"/>
              </w:rPr>
              <w:t>/</w:t>
            </w:r>
            <w:r w:rsidR="00B07111">
              <w:rPr>
                <w:rFonts w:eastAsia="Times New Roman" w:cs="Arial"/>
                <w:color w:val="000000"/>
                <w:szCs w:val="24"/>
              </w:rPr>
              <w:t>16,755</w:t>
            </w:r>
          </w:p>
          <w:p w14:paraId="05BE25E3" w14:textId="77777777" w:rsidR="00193072" w:rsidRPr="00652DA8" w:rsidRDefault="00193072"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61.09</w:t>
            </w:r>
            <w:r w:rsidRPr="00BE3BBE">
              <w:rPr>
                <w:rFonts w:eastAsia="Times New Roman" w:cs="Arial"/>
                <w:color w:val="000000"/>
                <w:szCs w:val="24"/>
              </w:rPr>
              <w:t>%</w:t>
            </w:r>
          </w:p>
        </w:tc>
        <w:tc>
          <w:tcPr>
            <w:tcW w:w="2605" w:type="dxa"/>
            <w:shd w:val="clear" w:color="auto" w:fill="auto"/>
            <w:noWrap/>
            <w:vAlign w:val="bottom"/>
            <w:hideMark/>
          </w:tcPr>
          <w:p w14:paraId="05BE25E4" w14:textId="77777777" w:rsidR="00193072" w:rsidRPr="00BE3BBE" w:rsidRDefault="00193072" w:rsidP="00A129AF">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7,748</w:t>
            </w:r>
            <w:r w:rsidRPr="00BE3BBE">
              <w:rPr>
                <w:rFonts w:eastAsia="Times New Roman" w:cs="Arial"/>
                <w:color w:val="000000"/>
                <w:szCs w:val="24"/>
              </w:rPr>
              <w:t>/</w:t>
            </w:r>
            <w:r w:rsidR="00B07111">
              <w:rPr>
                <w:rFonts w:eastAsia="Times New Roman" w:cs="Arial"/>
                <w:color w:val="000000"/>
                <w:szCs w:val="24"/>
              </w:rPr>
              <w:t>14,957</w:t>
            </w:r>
          </w:p>
          <w:p w14:paraId="05BE25E5" w14:textId="77777777" w:rsidR="00193072" w:rsidRPr="00652DA8" w:rsidRDefault="00193072" w:rsidP="00B07111">
            <w:pPr>
              <w:spacing w:after="0" w:line="240" w:lineRule="auto"/>
              <w:jc w:val="left"/>
              <w:rPr>
                <w:rFonts w:eastAsia="Times New Roman" w:cs="Arial"/>
                <w:color w:val="000000"/>
                <w:szCs w:val="24"/>
              </w:rPr>
            </w:pPr>
            <w:r w:rsidRPr="00BE3BBE">
              <w:rPr>
                <w:rFonts w:eastAsia="Times New Roman" w:cs="Arial"/>
                <w:color w:val="000000"/>
                <w:szCs w:val="24"/>
              </w:rPr>
              <w:t>=</w:t>
            </w:r>
            <w:r w:rsidR="00B07111">
              <w:rPr>
                <w:rFonts w:eastAsia="Times New Roman" w:cs="Arial"/>
                <w:color w:val="000000"/>
                <w:szCs w:val="24"/>
              </w:rPr>
              <w:t>51.80</w:t>
            </w:r>
            <w:r w:rsidRPr="00BE3BBE">
              <w:rPr>
                <w:rFonts w:eastAsia="Times New Roman" w:cs="Arial"/>
                <w:color w:val="000000"/>
                <w:szCs w:val="24"/>
              </w:rPr>
              <w:t>%</w:t>
            </w:r>
          </w:p>
        </w:tc>
      </w:tr>
      <w:tr w:rsidR="00B76D6E" w:rsidRPr="00BE3BBE" w14:paraId="05BE25ED" w14:textId="77777777" w:rsidTr="00A129AF">
        <w:trPr>
          <w:trHeight w:val="1142"/>
        </w:trPr>
        <w:tc>
          <w:tcPr>
            <w:tcW w:w="1615" w:type="dxa"/>
            <w:shd w:val="clear" w:color="auto" w:fill="auto"/>
            <w:noWrap/>
            <w:vAlign w:val="bottom"/>
          </w:tcPr>
          <w:p w14:paraId="05BE25E7" w14:textId="77777777" w:rsidR="00B76D6E" w:rsidRPr="00B35B57" w:rsidRDefault="00B76D6E" w:rsidP="00B76D6E">
            <w:pPr>
              <w:jc w:val="left"/>
              <w:rPr>
                <w:rFonts w:cs="Arial"/>
                <w:i/>
                <w:color w:val="000000"/>
              </w:rPr>
            </w:pPr>
            <w:r w:rsidRPr="00B35B57">
              <w:rPr>
                <w:rFonts w:cs="Arial"/>
                <w:i/>
                <w:color w:val="000000"/>
              </w:rPr>
              <w:lastRenderedPageBreak/>
              <w:t>Interest Cover</w:t>
            </w:r>
          </w:p>
        </w:tc>
        <w:tc>
          <w:tcPr>
            <w:tcW w:w="2520" w:type="dxa"/>
            <w:shd w:val="clear" w:color="auto" w:fill="auto"/>
            <w:noWrap/>
            <w:vAlign w:val="bottom"/>
          </w:tcPr>
          <w:p w14:paraId="05BE25E8" w14:textId="77777777" w:rsidR="00B76D6E" w:rsidRPr="00BE3BBE" w:rsidRDefault="00B76D6E" w:rsidP="00B76D6E">
            <w:pPr>
              <w:jc w:val="left"/>
              <w:rPr>
                <w:rFonts w:cs="Arial"/>
                <w:color w:val="000000"/>
              </w:rPr>
            </w:pPr>
            <w:r w:rsidRPr="00BE3BBE">
              <w:rPr>
                <w:rFonts w:cs="Arial"/>
                <w:color w:val="000000"/>
              </w:rPr>
              <w:t>Profit Before Interest &amp; Tax/Periodic Interest Charges</w:t>
            </w:r>
          </w:p>
        </w:tc>
        <w:tc>
          <w:tcPr>
            <w:tcW w:w="2610" w:type="dxa"/>
            <w:shd w:val="clear" w:color="auto" w:fill="auto"/>
            <w:noWrap/>
            <w:vAlign w:val="bottom"/>
          </w:tcPr>
          <w:p w14:paraId="05BE25E9" w14:textId="77777777" w:rsidR="00B76D6E" w:rsidRPr="00BE3BBE" w:rsidRDefault="00B76D6E" w:rsidP="00B76D6E">
            <w:pPr>
              <w:spacing w:after="0" w:line="240" w:lineRule="auto"/>
              <w:jc w:val="left"/>
              <w:rPr>
                <w:rFonts w:eastAsia="Times New Roman" w:cs="Arial"/>
                <w:color w:val="000000"/>
                <w:szCs w:val="24"/>
              </w:rPr>
            </w:pPr>
            <w:r>
              <w:rPr>
                <w:rFonts w:eastAsia="Times New Roman" w:cs="Arial"/>
                <w:color w:val="000000"/>
                <w:szCs w:val="24"/>
              </w:rPr>
              <w:t>=-495</w:t>
            </w:r>
            <w:r w:rsidRPr="00BE3BBE">
              <w:rPr>
                <w:rFonts w:eastAsia="Times New Roman" w:cs="Arial"/>
                <w:color w:val="000000"/>
                <w:szCs w:val="24"/>
              </w:rPr>
              <w:t>/</w:t>
            </w:r>
            <w:r>
              <w:rPr>
                <w:rFonts w:eastAsia="Times New Roman" w:cs="Arial"/>
                <w:color w:val="000000"/>
                <w:szCs w:val="24"/>
              </w:rPr>
              <w:t>429</w:t>
            </w:r>
          </w:p>
          <w:p w14:paraId="05BE25EA" w14:textId="77777777" w:rsidR="00B76D6E" w:rsidRPr="00652DA8" w:rsidRDefault="00B76D6E" w:rsidP="00B76D6E">
            <w:pPr>
              <w:spacing w:after="0" w:line="240" w:lineRule="auto"/>
              <w:jc w:val="left"/>
              <w:rPr>
                <w:rFonts w:eastAsia="Times New Roman" w:cs="Arial"/>
                <w:color w:val="000000"/>
                <w:szCs w:val="24"/>
              </w:rPr>
            </w:pPr>
            <w:r>
              <w:rPr>
                <w:rFonts w:eastAsia="Times New Roman" w:cs="Arial"/>
                <w:color w:val="000000"/>
                <w:szCs w:val="24"/>
              </w:rPr>
              <w:t>=-1.15</w:t>
            </w:r>
          </w:p>
        </w:tc>
        <w:tc>
          <w:tcPr>
            <w:tcW w:w="2605" w:type="dxa"/>
            <w:shd w:val="clear" w:color="auto" w:fill="auto"/>
            <w:noWrap/>
            <w:vAlign w:val="bottom"/>
          </w:tcPr>
          <w:p w14:paraId="05BE25EB" w14:textId="77777777" w:rsidR="00B76D6E" w:rsidRPr="00BE3BBE" w:rsidRDefault="00B76D6E" w:rsidP="00B76D6E">
            <w:pPr>
              <w:spacing w:after="0" w:line="240" w:lineRule="auto"/>
              <w:jc w:val="left"/>
              <w:rPr>
                <w:rFonts w:eastAsia="Times New Roman" w:cs="Arial"/>
                <w:color w:val="000000"/>
                <w:szCs w:val="24"/>
              </w:rPr>
            </w:pPr>
            <w:r w:rsidRPr="00BE3BBE">
              <w:rPr>
                <w:rFonts w:eastAsia="Times New Roman" w:cs="Arial"/>
                <w:color w:val="000000"/>
                <w:szCs w:val="24"/>
              </w:rPr>
              <w:t>=</w:t>
            </w:r>
            <w:r>
              <w:rPr>
                <w:rFonts w:eastAsia="Times New Roman" w:cs="Arial"/>
                <w:color w:val="000000"/>
                <w:szCs w:val="24"/>
              </w:rPr>
              <w:t>1658</w:t>
            </w:r>
            <w:r w:rsidRPr="00BE3BBE">
              <w:rPr>
                <w:rFonts w:eastAsia="Times New Roman" w:cs="Arial"/>
                <w:color w:val="000000"/>
                <w:szCs w:val="24"/>
              </w:rPr>
              <w:t>/</w:t>
            </w:r>
            <w:r>
              <w:rPr>
                <w:rFonts w:eastAsia="Times New Roman" w:cs="Arial"/>
                <w:color w:val="000000"/>
                <w:szCs w:val="24"/>
              </w:rPr>
              <w:t>414</w:t>
            </w:r>
          </w:p>
          <w:p w14:paraId="05BE25EC" w14:textId="77777777" w:rsidR="00B76D6E" w:rsidRPr="00652DA8" w:rsidRDefault="00B76D6E" w:rsidP="00B76D6E">
            <w:pPr>
              <w:spacing w:after="0" w:line="240" w:lineRule="auto"/>
              <w:jc w:val="left"/>
              <w:rPr>
                <w:rFonts w:eastAsia="Times New Roman" w:cs="Arial"/>
                <w:color w:val="000000"/>
                <w:szCs w:val="24"/>
              </w:rPr>
            </w:pPr>
            <w:r>
              <w:rPr>
                <w:rFonts w:eastAsia="Times New Roman" w:cs="Arial"/>
                <w:color w:val="000000"/>
                <w:szCs w:val="24"/>
              </w:rPr>
              <w:t>=4.00</w:t>
            </w:r>
          </w:p>
        </w:tc>
      </w:tr>
    </w:tbl>
    <w:p w14:paraId="05BE25EE" w14:textId="77777777" w:rsidR="00F9376F" w:rsidRPr="00BE3BBE" w:rsidRDefault="00F9376F" w:rsidP="00F9376F">
      <w:pPr>
        <w:jc w:val="center"/>
        <w:rPr>
          <w:rFonts w:cs="Arial"/>
        </w:rPr>
      </w:pPr>
      <w:r w:rsidRPr="00BE3BBE">
        <w:rPr>
          <w:rFonts w:cs="Arial"/>
        </w:rPr>
        <w:t xml:space="preserve">Table 05: Debt </w:t>
      </w:r>
      <w:r w:rsidR="00B76D6E">
        <w:rPr>
          <w:rFonts w:cs="Arial"/>
        </w:rPr>
        <w:t xml:space="preserve">&amp; Interest Coverage </w:t>
      </w:r>
      <w:r w:rsidRPr="00BE3BBE">
        <w:rPr>
          <w:rFonts w:cs="Arial"/>
        </w:rPr>
        <w:t>Ratio</w:t>
      </w:r>
    </w:p>
    <w:p w14:paraId="05BE25EF" w14:textId="77777777" w:rsidR="00F9376F" w:rsidRPr="005E3167" w:rsidRDefault="00F9376F" w:rsidP="005E3167">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5F0" w14:textId="77777777" w:rsidR="00EE31BD" w:rsidRPr="00BE3BBE" w:rsidRDefault="00DF4D4E" w:rsidP="00652DA8">
      <w:pPr>
        <w:spacing w:line="360" w:lineRule="auto"/>
        <w:rPr>
          <w:rFonts w:cs="Arial"/>
        </w:rPr>
      </w:pPr>
      <w:r>
        <w:rPr>
          <w:rFonts w:cs="Arial"/>
        </w:rPr>
        <w:t xml:space="preserve">Hilton is not doing well as all the ratios are way below </w:t>
      </w:r>
      <w:r w:rsidR="00935450">
        <w:rPr>
          <w:rFonts w:cs="Arial"/>
        </w:rPr>
        <w:t xml:space="preserve">the </w:t>
      </w:r>
      <w:r>
        <w:rPr>
          <w:rFonts w:cs="Arial"/>
        </w:rPr>
        <w:t xml:space="preserve">industry benchmark. It holds a very high amount of debt </w:t>
      </w:r>
      <w:r w:rsidR="007417B3">
        <w:rPr>
          <w:rFonts w:cs="Arial"/>
        </w:rPr>
        <w:t xml:space="preserve">backed by </w:t>
      </w:r>
      <w:r w:rsidR="00935450">
        <w:rPr>
          <w:rFonts w:cs="Arial"/>
        </w:rPr>
        <w:t>few</w:t>
      </w:r>
      <w:r w:rsidR="007417B3">
        <w:rPr>
          <w:rFonts w:cs="Arial"/>
        </w:rPr>
        <w:t xml:space="preserve"> assets. This situation might be alarming in </w:t>
      </w:r>
      <w:r w:rsidR="00935450">
        <w:rPr>
          <w:rFonts w:cs="Arial"/>
        </w:rPr>
        <w:t xml:space="preserve">the </w:t>
      </w:r>
      <w:r w:rsidR="007417B3">
        <w:rPr>
          <w:rFonts w:cs="Arial"/>
        </w:rPr>
        <w:t>next years.</w:t>
      </w:r>
    </w:p>
    <w:p w14:paraId="05BE25F1" w14:textId="77777777" w:rsidR="00842564" w:rsidRPr="00BE3BBE" w:rsidRDefault="00842564" w:rsidP="00652DA8">
      <w:pPr>
        <w:spacing w:line="360" w:lineRule="auto"/>
        <w:rPr>
          <w:rFonts w:cs="Arial"/>
        </w:rPr>
      </w:pPr>
    </w:p>
    <w:p w14:paraId="05BE25F2" w14:textId="77777777" w:rsidR="00842564" w:rsidRPr="00BE3BBE" w:rsidRDefault="00842564" w:rsidP="00652DA8">
      <w:pPr>
        <w:spacing w:line="360" w:lineRule="auto"/>
        <w:rPr>
          <w:rFonts w:cs="Arial"/>
        </w:rPr>
      </w:pPr>
    </w:p>
    <w:p w14:paraId="05BE25F3" w14:textId="77777777" w:rsidR="00842564" w:rsidRPr="00BE3BBE" w:rsidRDefault="00842564" w:rsidP="00652DA8">
      <w:pPr>
        <w:spacing w:line="360" w:lineRule="auto"/>
        <w:rPr>
          <w:rFonts w:cs="Arial"/>
        </w:rPr>
      </w:pPr>
    </w:p>
    <w:p w14:paraId="05BE25F4" w14:textId="77777777" w:rsidR="00842564" w:rsidRPr="00BE3BBE" w:rsidRDefault="00842564" w:rsidP="00652DA8">
      <w:pPr>
        <w:spacing w:line="360" w:lineRule="auto"/>
        <w:rPr>
          <w:rFonts w:cs="Arial"/>
        </w:rPr>
      </w:pPr>
    </w:p>
    <w:p w14:paraId="05BE25F5" w14:textId="77777777" w:rsidR="00842564" w:rsidRPr="00BE3BBE" w:rsidRDefault="00842564" w:rsidP="00652DA8">
      <w:pPr>
        <w:spacing w:line="360" w:lineRule="auto"/>
        <w:rPr>
          <w:rFonts w:cs="Arial"/>
        </w:rPr>
      </w:pPr>
    </w:p>
    <w:p w14:paraId="05BE25F6" w14:textId="77777777" w:rsidR="00842564" w:rsidRPr="00BE3BBE" w:rsidRDefault="00842564" w:rsidP="00652DA8">
      <w:pPr>
        <w:spacing w:line="360" w:lineRule="auto"/>
        <w:rPr>
          <w:rFonts w:cs="Arial"/>
        </w:rPr>
      </w:pPr>
    </w:p>
    <w:p w14:paraId="05BE25F7" w14:textId="77777777" w:rsidR="00842564" w:rsidRPr="00BE3BBE" w:rsidRDefault="00842564" w:rsidP="00652DA8">
      <w:pPr>
        <w:spacing w:line="360" w:lineRule="auto"/>
        <w:rPr>
          <w:rFonts w:cs="Arial"/>
        </w:rPr>
      </w:pPr>
    </w:p>
    <w:p w14:paraId="05BE25F8" w14:textId="77777777" w:rsidR="00842564" w:rsidRDefault="00842564" w:rsidP="00652DA8">
      <w:pPr>
        <w:spacing w:line="360" w:lineRule="auto"/>
        <w:rPr>
          <w:rFonts w:cs="Arial"/>
        </w:rPr>
      </w:pPr>
    </w:p>
    <w:p w14:paraId="05BE25F9" w14:textId="77777777" w:rsidR="00BF46FF" w:rsidRDefault="00BF46FF" w:rsidP="00652DA8">
      <w:pPr>
        <w:spacing w:line="360" w:lineRule="auto"/>
        <w:rPr>
          <w:rFonts w:cs="Arial"/>
        </w:rPr>
      </w:pPr>
    </w:p>
    <w:p w14:paraId="05BE25FA" w14:textId="77777777" w:rsidR="00BF46FF" w:rsidRDefault="00BF46FF" w:rsidP="00652DA8">
      <w:pPr>
        <w:spacing w:line="360" w:lineRule="auto"/>
        <w:rPr>
          <w:rFonts w:cs="Arial"/>
        </w:rPr>
      </w:pPr>
    </w:p>
    <w:p w14:paraId="05BE25FB" w14:textId="77777777" w:rsidR="00BF46FF" w:rsidRPr="00BE3BBE" w:rsidRDefault="00BF46FF" w:rsidP="00652DA8">
      <w:pPr>
        <w:spacing w:line="360" w:lineRule="auto"/>
        <w:rPr>
          <w:rFonts w:cs="Arial"/>
        </w:rPr>
      </w:pPr>
    </w:p>
    <w:p w14:paraId="05BE25FC" w14:textId="77777777" w:rsidR="00842564" w:rsidRPr="00BE3BBE" w:rsidRDefault="00842564" w:rsidP="00652DA8">
      <w:pPr>
        <w:spacing w:line="360" w:lineRule="auto"/>
        <w:rPr>
          <w:rFonts w:cs="Arial"/>
        </w:rPr>
      </w:pPr>
    </w:p>
    <w:p w14:paraId="05BE25FD" w14:textId="77777777" w:rsidR="00842564" w:rsidRPr="00BE3BBE" w:rsidRDefault="00842564" w:rsidP="00652DA8">
      <w:pPr>
        <w:spacing w:line="360" w:lineRule="auto"/>
        <w:rPr>
          <w:rFonts w:cs="Arial"/>
        </w:rPr>
      </w:pPr>
    </w:p>
    <w:p w14:paraId="05BE25FE" w14:textId="77777777" w:rsidR="00842564" w:rsidRDefault="00842564" w:rsidP="00652DA8">
      <w:pPr>
        <w:spacing w:line="360" w:lineRule="auto"/>
        <w:rPr>
          <w:rFonts w:cs="Arial"/>
        </w:rPr>
      </w:pPr>
    </w:p>
    <w:p w14:paraId="05BE25FF" w14:textId="77777777" w:rsidR="005E3167" w:rsidRPr="00BE3BBE" w:rsidRDefault="005E3167" w:rsidP="00652DA8">
      <w:pPr>
        <w:spacing w:line="360" w:lineRule="auto"/>
        <w:rPr>
          <w:rFonts w:cs="Arial"/>
        </w:rPr>
      </w:pPr>
    </w:p>
    <w:p w14:paraId="05BE2600" w14:textId="77777777" w:rsidR="00EE31BD" w:rsidRPr="00BE3BBE" w:rsidRDefault="00EE31BD" w:rsidP="00EE31BD">
      <w:pPr>
        <w:pStyle w:val="Heading1"/>
        <w:rPr>
          <w:rFonts w:cs="Arial"/>
        </w:rPr>
      </w:pPr>
      <w:bookmarkStart w:id="14" w:name="_Toc103622113"/>
      <w:bookmarkStart w:id="15" w:name="_Toc103622154"/>
      <w:r w:rsidRPr="00BE3BBE">
        <w:rPr>
          <w:rFonts w:cs="Arial"/>
        </w:rPr>
        <w:lastRenderedPageBreak/>
        <w:t>Financial Analysis Trend</w:t>
      </w:r>
      <w:bookmarkEnd w:id="14"/>
      <w:bookmarkEnd w:id="15"/>
    </w:p>
    <w:p w14:paraId="05BE2601" w14:textId="77777777" w:rsidR="006E390D" w:rsidRPr="00BE3BBE" w:rsidRDefault="006E390D" w:rsidP="00EE31BD">
      <w:pPr>
        <w:spacing w:line="360" w:lineRule="auto"/>
        <w:rPr>
          <w:rFonts w:cs="Arial"/>
        </w:rPr>
      </w:pPr>
      <w:r>
        <w:rPr>
          <w:rFonts w:cs="Arial"/>
        </w:rPr>
        <w:t>Trend analysis provides a clear view of the overall activity of a certain company. After the previous ratio analysis ha</w:t>
      </w:r>
      <w:r w:rsidR="00935450">
        <w:rPr>
          <w:rFonts w:cs="Arial"/>
        </w:rPr>
        <w:t>s</w:t>
      </w:r>
      <w:r>
        <w:rPr>
          <w:rFonts w:cs="Arial"/>
        </w:rPr>
        <w:t xml:space="preserve"> been done, </w:t>
      </w:r>
      <w:r w:rsidR="00935450">
        <w:rPr>
          <w:rFonts w:cs="Arial"/>
        </w:rPr>
        <w:t xml:space="preserve">a </w:t>
      </w:r>
      <w:r>
        <w:rPr>
          <w:rFonts w:cs="Arial"/>
        </w:rPr>
        <w:t>trend analysis ha</w:t>
      </w:r>
      <w:r w:rsidR="00935450">
        <w:rPr>
          <w:rFonts w:cs="Arial"/>
        </w:rPr>
        <w:t>s</w:t>
      </w:r>
      <w:r>
        <w:rPr>
          <w:rFonts w:cs="Arial"/>
        </w:rPr>
        <w:t xml:space="preserve"> been prepared to get </w:t>
      </w:r>
      <w:r w:rsidR="00935450">
        <w:rPr>
          <w:rFonts w:cs="Arial"/>
        </w:rPr>
        <w:t>an</w:t>
      </w:r>
      <w:r>
        <w:rPr>
          <w:rFonts w:cs="Arial"/>
        </w:rPr>
        <w:t xml:space="preserve"> idea </w:t>
      </w:r>
      <w:r w:rsidR="00935450">
        <w:rPr>
          <w:rFonts w:cs="Arial"/>
        </w:rPr>
        <w:t xml:space="preserve">of </w:t>
      </w:r>
      <w:r>
        <w:rPr>
          <w:rFonts w:cs="Arial"/>
        </w:rPr>
        <w:t>how the hotel may perform later</w:t>
      </w:r>
      <w:r w:rsidR="00A129AF">
        <w:rPr>
          <w:rFonts w:cs="Arial"/>
        </w:rPr>
        <w:t xml:space="preserve"> (</w:t>
      </w:r>
      <w:proofErr w:type="spellStart"/>
      <w:r w:rsidR="00334953">
        <w:rPr>
          <w:rFonts w:cs="Arial"/>
        </w:rPr>
        <w:t>Hidayat</w:t>
      </w:r>
      <w:proofErr w:type="spellEnd"/>
      <w:r w:rsidR="00334953">
        <w:rPr>
          <w:rFonts w:cs="Arial"/>
        </w:rPr>
        <w:t xml:space="preserve"> &amp; </w:t>
      </w:r>
      <w:proofErr w:type="spellStart"/>
      <w:r w:rsidR="00334953">
        <w:rPr>
          <w:rFonts w:cs="Arial"/>
        </w:rPr>
        <w:t>Kurniasih</w:t>
      </w:r>
      <w:proofErr w:type="spellEnd"/>
      <w:r w:rsidR="00334953">
        <w:rPr>
          <w:rFonts w:cs="Arial"/>
        </w:rPr>
        <w:t>,</w:t>
      </w:r>
      <w:r w:rsidR="00334953" w:rsidRPr="00334953">
        <w:rPr>
          <w:rFonts w:cs="Arial"/>
        </w:rPr>
        <w:t xml:space="preserve"> 2022</w:t>
      </w:r>
      <w:r w:rsidR="00334953">
        <w:rPr>
          <w:rFonts w:cs="Arial"/>
        </w:rPr>
        <w:t xml:space="preserve">). </w:t>
      </w:r>
      <w:r>
        <w:rPr>
          <w:rFonts w:cs="Arial"/>
        </w:rPr>
        <w:t>So, to provide a clear view, a summary sheet along with analysis is shown below:</w:t>
      </w:r>
    </w:p>
    <w:p w14:paraId="05BE2602" w14:textId="77777777" w:rsidR="00EE31BD" w:rsidRPr="00BE3BBE" w:rsidRDefault="00EE31BD" w:rsidP="00EE31BD">
      <w:pPr>
        <w:pStyle w:val="Heading2"/>
        <w:tabs>
          <w:tab w:val="left" w:pos="2925"/>
        </w:tabs>
        <w:rPr>
          <w:rFonts w:eastAsiaTheme="minorHAnsi" w:cs="Arial"/>
          <w:b w:val="0"/>
          <w:color w:val="auto"/>
          <w:sz w:val="24"/>
          <w:szCs w:val="22"/>
        </w:rPr>
      </w:pPr>
      <w:bookmarkStart w:id="16" w:name="_Toc103622114"/>
      <w:bookmarkStart w:id="17" w:name="_Toc103622155"/>
      <w:r w:rsidRPr="00BE3BBE">
        <w:rPr>
          <w:rFonts w:cs="Arial"/>
        </w:rPr>
        <w:t>Profitability</w:t>
      </w:r>
      <w:bookmarkEnd w:id="16"/>
      <w:bookmarkEnd w:id="17"/>
    </w:p>
    <w:p w14:paraId="05BE2603" w14:textId="77777777" w:rsidR="00EE31BD" w:rsidRPr="00BE3BBE" w:rsidRDefault="009718FF" w:rsidP="00EE31BD">
      <w:pPr>
        <w:pStyle w:val="Heading2"/>
        <w:tabs>
          <w:tab w:val="left" w:pos="2925"/>
        </w:tabs>
        <w:rPr>
          <w:rFonts w:eastAsiaTheme="minorHAnsi" w:cs="Arial"/>
          <w:b w:val="0"/>
          <w:color w:val="auto"/>
          <w:sz w:val="22"/>
          <w:szCs w:val="22"/>
        </w:rPr>
      </w:pPr>
      <w:bookmarkStart w:id="18" w:name="_Toc103622115"/>
      <w:bookmarkStart w:id="19" w:name="_Toc103622156"/>
      <w:r>
        <w:rPr>
          <w:rFonts w:eastAsiaTheme="minorHAnsi" w:cs="Arial"/>
          <w:b w:val="0"/>
          <w:color w:val="auto"/>
          <w:sz w:val="24"/>
          <w:szCs w:val="22"/>
        </w:rPr>
        <w:t>The f</w:t>
      </w:r>
      <w:r w:rsidR="00EE31BD" w:rsidRPr="00BE3BBE">
        <w:rPr>
          <w:rFonts w:eastAsiaTheme="minorHAnsi" w:cs="Arial"/>
          <w:b w:val="0"/>
          <w:color w:val="auto"/>
          <w:sz w:val="24"/>
          <w:szCs w:val="22"/>
        </w:rPr>
        <w:t>ollowing table shows the results and the comment regarding appropriate ratios:</w:t>
      </w:r>
      <w:bookmarkEnd w:id="18"/>
      <w:bookmarkEnd w:id="19"/>
    </w:p>
    <w:p w14:paraId="05BE2604" w14:textId="77777777" w:rsidR="004D5C12" w:rsidRPr="00BE3BBE" w:rsidRDefault="00174B7F" w:rsidP="00F04A7C">
      <w:pPr>
        <w:jc w:val="center"/>
        <w:rPr>
          <w:rFonts w:cs="Arial"/>
        </w:rPr>
      </w:pPr>
      <w:r w:rsidRPr="00174B7F">
        <w:rPr>
          <w:noProof/>
        </w:rPr>
        <w:drawing>
          <wp:inline distT="0" distB="0" distL="0" distR="0" wp14:anchorId="05BE2670" wp14:editId="05BE2671">
            <wp:extent cx="5943600" cy="177941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1779413"/>
                    </a:xfrm>
                    <a:prstGeom prst="rect">
                      <a:avLst/>
                    </a:prstGeom>
                    <a:noFill/>
                    <a:ln>
                      <a:noFill/>
                    </a:ln>
                  </pic:spPr>
                </pic:pic>
              </a:graphicData>
            </a:graphic>
          </wp:inline>
        </w:drawing>
      </w:r>
    </w:p>
    <w:p w14:paraId="05BE2605" w14:textId="77777777" w:rsidR="00F04A7C" w:rsidRPr="00BE3BBE" w:rsidRDefault="00F04A7C" w:rsidP="00F04A7C">
      <w:pPr>
        <w:jc w:val="center"/>
        <w:rPr>
          <w:rFonts w:cs="Arial"/>
        </w:rPr>
      </w:pPr>
      <w:r w:rsidRPr="00BE3BBE">
        <w:rPr>
          <w:rFonts w:cs="Arial"/>
        </w:rPr>
        <w:t>Table 0</w:t>
      </w:r>
      <w:r w:rsidR="00BF46FF">
        <w:rPr>
          <w:rFonts w:cs="Arial"/>
        </w:rPr>
        <w:t>6</w:t>
      </w:r>
      <w:r w:rsidRPr="00BE3BBE">
        <w:rPr>
          <w:rFonts w:cs="Arial"/>
        </w:rPr>
        <w:t>: Profitability Ratio Summary</w:t>
      </w:r>
    </w:p>
    <w:p w14:paraId="05BE2606" w14:textId="77777777" w:rsidR="00F04A7C" w:rsidRPr="00BE3BBE" w:rsidRDefault="00F04A7C" w:rsidP="00F04A7C">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607" w14:textId="77777777" w:rsidR="00347B00" w:rsidRDefault="00A66C12" w:rsidP="00445E52">
      <w:pPr>
        <w:spacing w:line="360" w:lineRule="auto"/>
        <w:rPr>
          <w:rFonts w:cs="Arial"/>
        </w:rPr>
      </w:pPr>
      <w:r>
        <w:rPr>
          <w:rFonts w:cs="Arial"/>
        </w:rPr>
        <w:t>Firstly, for gross profit margin, around 26% of the sales resulted</w:t>
      </w:r>
      <w:r w:rsidR="00935450">
        <w:rPr>
          <w:rFonts w:cs="Arial"/>
        </w:rPr>
        <w:t xml:space="preserve"> from</w:t>
      </w:r>
      <w:r>
        <w:rPr>
          <w:rFonts w:cs="Arial"/>
        </w:rPr>
        <w:t xml:space="preserve"> net profit in 2019. But it lessened by 12% in 2020, which is too low from the ratio benchmark of 40%. Additionally, net profit margin and ROCE were seen to have </w:t>
      </w:r>
      <w:r w:rsidR="00935450">
        <w:rPr>
          <w:rFonts w:cs="Arial"/>
        </w:rPr>
        <w:t xml:space="preserve">a </w:t>
      </w:r>
      <w:r>
        <w:rPr>
          <w:rFonts w:cs="Arial"/>
        </w:rPr>
        <w:t>sharp decline in 2020. Net profit had the lowest amount in 2020, which declined by 278% from 2019. ROCE also declined from 2019. All these scenario</w:t>
      </w:r>
      <w:r w:rsidR="00935450">
        <w:rPr>
          <w:rFonts w:cs="Arial"/>
        </w:rPr>
        <w:t>s</w:t>
      </w:r>
      <w:r>
        <w:rPr>
          <w:rFonts w:cs="Arial"/>
        </w:rPr>
        <w:t xml:space="preserve"> show that, Hilton is facing difficulties in generating profi</w:t>
      </w:r>
      <w:r w:rsidR="00C65E4D">
        <w:rPr>
          <w:rFonts w:cs="Arial"/>
        </w:rPr>
        <w:t>ts.</w:t>
      </w:r>
      <w:r w:rsidR="00445E52" w:rsidRPr="00BE3BBE">
        <w:rPr>
          <w:rFonts w:cs="Arial"/>
        </w:rPr>
        <w:tab/>
      </w:r>
    </w:p>
    <w:p w14:paraId="05BE2608" w14:textId="77777777" w:rsidR="00174B7F" w:rsidRDefault="00174B7F" w:rsidP="00C65E4D">
      <w:pPr>
        <w:jc w:val="center"/>
        <w:rPr>
          <w:rFonts w:cs="Arial"/>
        </w:rPr>
      </w:pPr>
      <w:r w:rsidRPr="00174B7F">
        <w:rPr>
          <w:noProof/>
        </w:rPr>
        <w:drawing>
          <wp:inline distT="0" distB="0" distL="0" distR="0" wp14:anchorId="05BE2672" wp14:editId="05BE2673">
            <wp:extent cx="5943600" cy="130213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1302139"/>
                    </a:xfrm>
                    <a:prstGeom prst="rect">
                      <a:avLst/>
                    </a:prstGeom>
                    <a:noFill/>
                    <a:ln>
                      <a:noFill/>
                    </a:ln>
                  </pic:spPr>
                </pic:pic>
              </a:graphicData>
            </a:graphic>
          </wp:inline>
        </w:drawing>
      </w:r>
    </w:p>
    <w:p w14:paraId="05BE2609" w14:textId="77777777" w:rsidR="00C65E4D" w:rsidRPr="00BE3BBE" w:rsidRDefault="00C65E4D" w:rsidP="00C65E4D">
      <w:pPr>
        <w:jc w:val="center"/>
        <w:rPr>
          <w:rFonts w:cs="Arial"/>
        </w:rPr>
      </w:pPr>
      <w:r w:rsidRPr="00BE3BBE">
        <w:rPr>
          <w:rFonts w:cs="Arial"/>
        </w:rPr>
        <w:t>Table 0</w:t>
      </w:r>
      <w:r w:rsidR="00BF46FF">
        <w:rPr>
          <w:rFonts w:cs="Arial"/>
        </w:rPr>
        <w:t>7</w:t>
      </w:r>
      <w:r>
        <w:rPr>
          <w:rFonts w:cs="Arial"/>
        </w:rPr>
        <w:t>: Asset Turnover</w:t>
      </w:r>
      <w:r w:rsidRPr="00BE3BBE">
        <w:rPr>
          <w:rFonts w:cs="Arial"/>
        </w:rPr>
        <w:t xml:space="preserve"> Ratio Summary</w:t>
      </w:r>
    </w:p>
    <w:p w14:paraId="05BE260A" w14:textId="77777777" w:rsidR="00C65E4D" w:rsidRPr="00BE3BBE" w:rsidRDefault="00C65E4D" w:rsidP="00C65E4D">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60B" w14:textId="77777777" w:rsidR="00C22624" w:rsidRPr="00BE3BBE" w:rsidRDefault="00C65E4D" w:rsidP="00637CD7">
      <w:pPr>
        <w:spacing w:line="360" w:lineRule="auto"/>
        <w:rPr>
          <w:rFonts w:cs="Arial"/>
        </w:rPr>
      </w:pPr>
      <w:r>
        <w:rPr>
          <w:rFonts w:cs="Arial"/>
        </w:rPr>
        <w:lastRenderedPageBreak/>
        <w:t xml:space="preserve">The total and fixed asset turnovers are not higher than the benchmark. All the ratios are below 1, which means that, the company has low sales </w:t>
      </w:r>
      <w:r w:rsidR="00935450">
        <w:rPr>
          <w:rFonts w:cs="Arial"/>
        </w:rPr>
        <w:t>concerning</w:t>
      </w:r>
      <w:r>
        <w:rPr>
          <w:rFonts w:cs="Arial"/>
        </w:rPr>
        <w:t xml:space="preserve"> the assets. Again, in 2019, the ratios were somewhat close to 1, but in 2020, those reduced by 60%.</w:t>
      </w:r>
      <w:r w:rsidR="008E63B4">
        <w:rPr>
          <w:rFonts w:cs="Arial"/>
        </w:rPr>
        <w:t xml:space="preserve"> The working capital turnover has increased from 2019, which shows that, Hilton is being attentive to maintaining current assets. But it needs to keep an eye on managing profitability well.</w:t>
      </w:r>
    </w:p>
    <w:p w14:paraId="05BE260C" w14:textId="77777777" w:rsidR="004B21C6" w:rsidRPr="00BE3BBE" w:rsidRDefault="004B21C6" w:rsidP="004B21C6">
      <w:pPr>
        <w:pStyle w:val="Heading2"/>
        <w:rPr>
          <w:rFonts w:cs="Arial"/>
        </w:rPr>
      </w:pPr>
      <w:bookmarkStart w:id="20" w:name="_Toc103622116"/>
      <w:bookmarkStart w:id="21" w:name="_Toc103622157"/>
      <w:r w:rsidRPr="00BE3BBE">
        <w:rPr>
          <w:rFonts w:cs="Arial"/>
        </w:rPr>
        <w:t>Liquidity</w:t>
      </w:r>
      <w:bookmarkEnd w:id="20"/>
      <w:bookmarkEnd w:id="21"/>
    </w:p>
    <w:p w14:paraId="05BE260D" w14:textId="77777777" w:rsidR="004B21C6" w:rsidRPr="00BE3BBE" w:rsidRDefault="008B0ABC" w:rsidP="004B21C6">
      <w:pPr>
        <w:spacing w:line="240" w:lineRule="auto"/>
        <w:rPr>
          <w:rFonts w:cs="Arial"/>
        </w:rPr>
      </w:pPr>
      <w:r>
        <w:rPr>
          <w:rFonts w:cs="Arial"/>
        </w:rPr>
        <w:t>T</w:t>
      </w:r>
      <w:r w:rsidR="004B21C6" w:rsidRPr="00BE3BBE">
        <w:rPr>
          <w:rFonts w:cs="Arial"/>
        </w:rPr>
        <w:t>he summary table</w:t>
      </w:r>
      <w:r>
        <w:rPr>
          <w:rFonts w:cs="Arial"/>
        </w:rPr>
        <w:t xml:space="preserve"> showing horizontal ratios of 2020 and 2019</w:t>
      </w:r>
      <w:r w:rsidR="004B21C6" w:rsidRPr="00BE3BBE">
        <w:rPr>
          <w:rFonts w:cs="Arial"/>
        </w:rPr>
        <w:t>:</w:t>
      </w:r>
    </w:p>
    <w:p w14:paraId="05BE260E" w14:textId="77777777" w:rsidR="005A392F" w:rsidRPr="00BE3BBE" w:rsidRDefault="009D70DD" w:rsidP="005A392F">
      <w:pPr>
        <w:jc w:val="center"/>
        <w:rPr>
          <w:rFonts w:cs="Arial"/>
        </w:rPr>
      </w:pPr>
      <w:r w:rsidRPr="009D70DD">
        <w:rPr>
          <w:noProof/>
        </w:rPr>
        <w:drawing>
          <wp:inline distT="0" distB="0" distL="0" distR="0" wp14:anchorId="05BE2674" wp14:editId="05BE2675">
            <wp:extent cx="5941569" cy="1745673"/>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9547" cy="1748017"/>
                    </a:xfrm>
                    <a:prstGeom prst="rect">
                      <a:avLst/>
                    </a:prstGeom>
                    <a:noFill/>
                    <a:ln>
                      <a:noFill/>
                    </a:ln>
                  </pic:spPr>
                </pic:pic>
              </a:graphicData>
            </a:graphic>
          </wp:inline>
        </w:drawing>
      </w:r>
    </w:p>
    <w:p w14:paraId="05BE260F" w14:textId="77777777" w:rsidR="005A392F" w:rsidRPr="00BE3BBE" w:rsidRDefault="005A392F" w:rsidP="005A392F">
      <w:pPr>
        <w:jc w:val="center"/>
        <w:rPr>
          <w:rFonts w:cs="Arial"/>
        </w:rPr>
      </w:pPr>
      <w:r w:rsidRPr="00BE3BBE">
        <w:rPr>
          <w:rFonts w:cs="Arial"/>
        </w:rPr>
        <w:t>Table 08: Liquidity Ratio Summary</w:t>
      </w:r>
    </w:p>
    <w:p w14:paraId="05BE2610" w14:textId="77777777" w:rsidR="005A392F" w:rsidRPr="00BE3BBE" w:rsidRDefault="005A392F" w:rsidP="005A392F">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611" w14:textId="77777777" w:rsidR="00576206" w:rsidRPr="00BE3BBE" w:rsidRDefault="00354841" w:rsidP="00C22624">
      <w:pPr>
        <w:spacing w:line="360" w:lineRule="auto"/>
        <w:rPr>
          <w:rFonts w:cs="Arial"/>
        </w:rPr>
      </w:pPr>
      <w:r>
        <w:rPr>
          <w:rFonts w:cs="Arial"/>
        </w:rPr>
        <w:t xml:space="preserve">The capability of a company to contain enough </w:t>
      </w:r>
      <w:r w:rsidR="0080261B">
        <w:rPr>
          <w:rFonts w:cs="Arial"/>
        </w:rPr>
        <w:t>liq</w:t>
      </w:r>
      <w:r>
        <w:rPr>
          <w:rFonts w:cs="Arial"/>
        </w:rPr>
        <w:t xml:space="preserve">uid assets to pay the </w:t>
      </w:r>
      <w:r w:rsidR="0080261B">
        <w:rPr>
          <w:rFonts w:cs="Arial"/>
        </w:rPr>
        <w:t>short-term</w:t>
      </w:r>
      <w:r>
        <w:rPr>
          <w:rFonts w:cs="Arial"/>
        </w:rPr>
        <w:t xml:space="preserve"> debts or loans </w:t>
      </w:r>
      <w:r w:rsidR="00935450">
        <w:rPr>
          <w:rFonts w:cs="Arial"/>
        </w:rPr>
        <w:t>is</w:t>
      </w:r>
      <w:r>
        <w:rPr>
          <w:rFonts w:cs="Arial"/>
        </w:rPr>
        <w:t xml:space="preserve"> calculated through these ratios. Through the current and quick ratio analysis, we can see that, in 2019, Hilton’s liquidity was low than the threshold, but in 2020, it has increased by 137% and became 1.73, which is good. So, it should keep up increasing the level of assets.</w:t>
      </w:r>
      <w:r w:rsidR="00576206" w:rsidRPr="00BE3BBE">
        <w:rPr>
          <w:rFonts w:cs="Arial"/>
        </w:rPr>
        <w:t xml:space="preserve"> </w:t>
      </w:r>
    </w:p>
    <w:p w14:paraId="05BE2612" w14:textId="77777777" w:rsidR="00576206" w:rsidRDefault="00354841" w:rsidP="008A7F53">
      <w:pPr>
        <w:spacing w:line="360" w:lineRule="auto"/>
        <w:rPr>
          <w:rFonts w:cs="Arial"/>
        </w:rPr>
      </w:pPr>
      <w:r>
        <w:rPr>
          <w:rFonts w:cs="Arial"/>
        </w:rPr>
        <w:t xml:space="preserve">Furthermore, the company has a good debtor and creditor </w:t>
      </w:r>
      <w:r w:rsidR="0080261B">
        <w:rPr>
          <w:rFonts w:cs="Arial"/>
        </w:rPr>
        <w:t>management</w:t>
      </w:r>
      <w:r>
        <w:rPr>
          <w:rFonts w:cs="Arial"/>
        </w:rPr>
        <w:t xml:space="preserve"> system. Though the creditor days ratio has increased in 2020 than 2019, it is not still threatening. The company pays excellent concentration on paying debts on time, but it needs to pay more attention to collect</w:t>
      </w:r>
      <w:r w:rsidR="00935450">
        <w:rPr>
          <w:rFonts w:cs="Arial"/>
        </w:rPr>
        <w:t>ing</w:t>
      </w:r>
      <w:r>
        <w:rPr>
          <w:rFonts w:cs="Arial"/>
        </w:rPr>
        <w:t xml:space="preserve"> debts as well. As the debtor days ratio has increased in 2020, it might be a matter of concern.</w:t>
      </w:r>
    </w:p>
    <w:p w14:paraId="05BE2613" w14:textId="77777777" w:rsidR="0080261B" w:rsidRDefault="0080261B" w:rsidP="008A7F53">
      <w:pPr>
        <w:spacing w:line="360" w:lineRule="auto"/>
        <w:rPr>
          <w:rFonts w:cs="Arial"/>
        </w:rPr>
      </w:pPr>
    </w:p>
    <w:p w14:paraId="05BE2614" w14:textId="77777777" w:rsidR="0080261B" w:rsidRPr="00BE3BBE" w:rsidRDefault="0080261B" w:rsidP="008A7F53">
      <w:pPr>
        <w:spacing w:line="360" w:lineRule="auto"/>
        <w:rPr>
          <w:rFonts w:cs="Arial"/>
        </w:rPr>
      </w:pPr>
    </w:p>
    <w:p w14:paraId="05BE2615" w14:textId="77777777" w:rsidR="00A67D58" w:rsidRPr="00BE3BBE" w:rsidRDefault="00A67D58" w:rsidP="00A67D58">
      <w:pPr>
        <w:pStyle w:val="Heading2"/>
        <w:rPr>
          <w:rFonts w:cs="Arial"/>
        </w:rPr>
      </w:pPr>
      <w:bookmarkStart w:id="22" w:name="_Toc103622117"/>
      <w:bookmarkStart w:id="23" w:name="_Toc103622158"/>
      <w:r w:rsidRPr="00BE3BBE">
        <w:rPr>
          <w:rFonts w:cs="Arial"/>
        </w:rPr>
        <w:lastRenderedPageBreak/>
        <w:t>Gearing</w:t>
      </w:r>
      <w:bookmarkEnd w:id="22"/>
      <w:bookmarkEnd w:id="23"/>
    </w:p>
    <w:p w14:paraId="05BE2616" w14:textId="77777777" w:rsidR="00A67D58" w:rsidRPr="00BE3BBE" w:rsidRDefault="00A67D58" w:rsidP="008A7F53">
      <w:pPr>
        <w:spacing w:line="360" w:lineRule="auto"/>
        <w:rPr>
          <w:rFonts w:cs="Arial"/>
        </w:rPr>
      </w:pPr>
      <w:r w:rsidRPr="00BE3BBE">
        <w:rPr>
          <w:rFonts w:cs="Arial"/>
        </w:rPr>
        <w:t>The summary table:</w:t>
      </w:r>
    </w:p>
    <w:p w14:paraId="05BE2617" w14:textId="77777777" w:rsidR="004C5A3B" w:rsidRPr="00BE3BBE" w:rsidRDefault="009D70DD" w:rsidP="004C5A3B">
      <w:pPr>
        <w:jc w:val="center"/>
        <w:rPr>
          <w:rFonts w:cs="Arial"/>
        </w:rPr>
      </w:pPr>
      <w:r w:rsidRPr="009D70DD">
        <w:rPr>
          <w:noProof/>
        </w:rPr>
        <w:drawing>
          <wp:inline distT="0" distB="0" distL="0" distR="0" wp14:anchorId="05BE2676" wp14:editId="05BE2677">
            <wp:extent cx="5747657" cy="1233805"/>
            <wp:effectExtent l="0" t="0" r="571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52658" cy="1234879"/>
                    </a:xfrm>
                    <a:prstGeom prst="rect">
                      <a:avLst/>
                    </a:prstGeom>
                    <a:noFill/>
                    <a:ln>
                      <a:noFill/>
                    </a:ln>
                  </pic:spPr>
                </pic:pic>
              </a:graphicData>
            </a:graphic>
          </wp:inline>
        </w:drawing>
      </w:r>
    </w:p>
    <w:p w14:paraId="05BE2618" w14:textId="77777777" w:rsidR="004C5A3B" w:rsidRPr="00BE3BBE" w:rsidRDefault="004C5A3B" w:rsidP="004C5A3B">
      <w:pPr>
        <w:jc w:val="center"/>
        <w:rPr>
          <w:rFonts w:cs="Arial"/>
        </w:rPr>
      </w:pPr>
      <w:r w:rsidRPr="00BE3BBE">
        <w:rPr>
          <w:rFonts w:cs="Arial"/>
        </w:rPr>
        <w:t>Table 09: Gearing Ratio Summary</w:t>
      </w:r>
    </w:p>
    <w:p w14:paraId="05BE2619" w14:textId="77777777" w:rsidR="004C5A3B" w:rsidRPr="00BE3BBE" w:rsidRDefault="004C5A3B" w:rsidP="004C5A3B">
      <w:pPr>
        <w:jc w:val="center"/>
        <w:rPr>
          <w:rFonts w:cs="Arial"/>
        </w:rPr>
      </w:pPr>
      <w:r w:rsidRPr="00BE3BBE">
        <w:rPr>
          <w:rFonts w:cs="Arial"/>
        </w:rPr>
        <w:t xml:space="preserve">Source: </w:t>
      </w:r>
      <w:r w:rsidR="00BF46FF">
        <w:rPr>
          <w:rFonts w:cs="Arial"/>
        </w:rPr>
        <w:t>Own</w:t>
      </w:r>
      <w:r w:rsidR="00BF46FF" w:rsidRPr="00BE3BBE">
        <w:rPr>
          <w:rFonts w:cs="Arial"/>
        </w:rPr>
        <w:t xml:space="preserve"> Calculation</w:t>
      </w:r>
    </w:p>
    <w:p w14:paraId="05BE261A" w14:textId="77777777" w:rsidR="00EE31BD" w:rsidRPr="00BE3BBE" w:rsidRDefault="00CE7F67" w:rsidP="009F6069">
      <w:pPr>
        <w:spacing w:line="360" w:lineRule="auto"/>
        <w:rPr>
          <w:rFonts w:cs="Arial"/>
        </w:rPr>
      </w:pPr>
      <w:r>
        <w:rPr>
          <w:rFonts w:cs="Arial"/>
        </w:rPr>
        <w:t xml:space="preserve">Hilton is not doing well in managing leverage. </w:t>
      </w:r>
      <w:proofErr w:type="gramStart"/>
      <w:r>
        <w:rPr>
          <w:rFonts w:cs="Arial"/>
        </w:rPr>
        <w:t>It can be seen that it</w:t>
      </w:r>
      <w:proofErr w:type="gramEnd"/>
      <w:r>
        <w:rPr>
          <w:rFonts w:cs="Arial"/>
        </w:rPr>
        <w:t xml:space="preserve"> was already heavily leveraged in 2019, yet it increased the debt level in 2020</w:t>
      </w:r>
      <w:r w:rsidR="00FE579B">
        <w:rPr>
          <w:rFonts w:cs="Arial"/>
        </w:rPr>
        <w:t xml:space="preserve"> increasing </w:t>
      </w:r>
      <w:r w:rsidR="00651C40">
        <w:rPr>
          <w:rFonts w:cs="Arial"/>
        </w:rPr>
        <w:t xml:space="preserve">loan </w:t>
      </w:r>
      <w:r>
        <w:rPr>
          <w:rFonts w:cs="Arial"/>
        </w:rPr>
        <w:t xml:space="preserve">default risk. </w:t>
      </w:r>
      <w:r w:rsidR="005915DF">
        <w:rPr>
          <w:rFonts w:cs="Arial"/>
        </w:rPr>
        <w:t>Additionally</w:t>
      </w:r>
      <w:r>
        <w:rPr>
          <w:rFonts w:cs="Arial"/>
        </w:rPr>
        <w:t xml:space="preserve">, the interest coverage ratio has become negative in 2020. It means that, the profit amount is not able to cover the interest payment. So, Hilton needs to </w:t>
      </w:r>
      <w:r w:rsidR="005915DF">
        <w:rPr>
          <w:rFonts w:cs="Arial"/>
        </w:rPr>
        <w:t xml:space="preserve">reduce </w:t>
      </w:r>
      <w:r w:rsidR="00935450">
        <w:rPr>
          <w:rFonts w:cs="Arial"/>
        </w:rPr>
        <w:t xml:space="preserve">its </w:t>
      </w:r>
      <w:r w:rsidR="005915DF">
        <w:rPr>
          <w:rFonts w:cs="Arial"/>
        </w:rPr>
        <w:t>debt level.</w:t>
      </w:r>
      <w:r>
        <w:rPr>
          <w:rFonts w:cs="Arial"/>
        </w:rPr>
        <w:t xml:space="preserve"> </w:t>
      </w:r>
    </w:p>
    <w:p w14:paraId="05BE261B" w14:textId="77777777" w:rsidR="00842564" w:rsidRPr="00BE3BBE" w:rsidRDefault="00842564" w:rsidP="009F6069">
      <w:pPr>
        <w:spacing w:line="360" w:lineRule="auto"/>
        <w:rPr>
          <w:rFonts w:cs="Arial"/>
        </w:rPr>
      </w:pPr>
    </w:p>
    <w:p w14:paraId="05BE261C" w14:textId="77777777" w:rsidR="00842564" w:rsidRPr="00BE3BBE" w:rsidRDefault="00842564" w:rsidP="009F6069">
      <w:pPr>
        <w:spacing w:line="360" w:lineRule="auto"/>
        <w:rPr>
          <w:rFonts w:cs="Arial"/>
        </w:rPr>
      </w:pPr>
    </w:p>
    <w:p w14:paraId="05BE261D" w14:textId="77777777" w:rsidR="00842564" w:rsidRPr="00BE3BBE" w:rsidRDefault="00842564" w:rsidP="009F6069">
      <w:pPr>
        <w:spacing w:line="360" w:lineRule="auto"/>
        <w:rPr>
          <w:rFonts w:cs="Arial"/>
        </w:rPr>
      </w:pPr>
    </w:p>
    <w:p w14:paraId="05BE261E" w14:textId="77777777" w:rsidR="00842564" w:rsidRPr="00BE3BBE" w:rsidRDefault="00842564" w:rsidP="009F6069">
      <w:pPr>
        <w:spacing w:line="360" w:lineRule="auto"/>
        <w:rPr>
          <w:rFonts w:cs="Arial"/>
        </w:rPr>
      </w:pPr>
    </w:p>
    <w:p w14:paraId="05BE261F" w14:textId="77777777" w:rsidR="00206168" w:rsidRPr="00BE3BBE" w:rsidRDefault="00206168" w:rsidP="009F6069">
      <w:pPr>
        <w:spacing w:line="360" w:lineRule="auto"/>
        <w:rPr>
          <w:rFonts w:cs="Arial"/>
        </w:rPr>
      </w:pPr>
    </w:p>
    <w:p w14:paraId="05BE2620" w14:textId="77777777" w:rsidR="00842564" w:rsidRPr="00BE3BBE" w:rsidRDefault="00842564" w:rsidP="009F6069">
      <w:pPr>
        <w:spacing w:line="360" w:lineRule="auto"/>
        <w:rPr>
          <w:rFonts w:cs="Arial"/>
        </w:rPr>
      </w:pPr>
    </w:p>
    <w:p w14:paraId="05BE2621" w14:textId="77777777" w:rsidR="00842564" w:rsidRPr="00BE3BBE" w:rsidRDefault="00842564" w:rsidP="009F6069">
      <w:pPr>
        <w:spacing w:line="360" w:lineRule="auto"/>
        <w:rPr>
          <w:rFonts w:cs="Arial"/>
        </w:rPr>
      </w:pPr>
    </w:p>
    <w:p w14:paraId="05BE2622" w14:textId="77777777" w:rsidR="00842564" w:rsidRPr="00BE3BBE" w:rsidRDefault="00842564" w:rsidP="009F6069">
      <w:pPr>
        <w:spacing w:line="360" w:lineRule="auto"/>
        <w:rPr>
          <w:rFonts w:cs="Arial"/>
        </w:rPr>
      </w:pPr>
    </w:p>
    <w:p w14:paraId="05BE2623" w14:textId="77777777" w:rsidR="00206168" w:rsidRDefault="00206168" w:rsidP="009F6069">
      <w:pPr>
        <w:spacing w:line="360" w:lineRule="auto"/>
        <w:rPr>
          <w:rFonts w:cs="Arial"/>
        </w:rPr>
      </w:pPr>
    </w:p>
    <w:p w14:paraId="05BE2624" w14:textId="77777777" w:rsidR="008410A2" w:rsidRDefault="008410A2" w:rsidP="009F6069">
      <w:pPr>
        <w:spacing w:line="360" w:lineRule="auto"/>
        <w:rPr>
          <w:rFonts w:cs="Arial"/>
        </w:rPr>
      </w:pPr>
    </w:p>
    <w:p w14:paraId="05BE2625" w14:textId="77777777" w:rsidR="008410A2" w:rsidRDefault="008410A2" w:rsidP="009F6069">
      <w:pPr>
        <w:spacing w:line="360" w:lineRule="auto"/>
        <w:rPr>
          <w:rFonts w:cs="Arial"/>
        </w:rPr>
      </w:pPr>
    </w:p>
    <w:p w14:paraId="05BE2626" w14:textId="77777777" w:rsidR="00FD2F3C" w:rsidRPr="00BE3BBE" w:rsidRDefault="00FD2F3C" w:rsidP="00FD2F3C">
      <w:pPr>
        <w:pStyle w:val="Heading1"/>
        <w:rPr>
          <w:rFonts w:cs="Arial"/>
        </w:rPr>
      </w:pPr>
      <w:bookmarkStart w:id="24" w:name="_Toc463944607"/>
      <w:bookmarkStart w:id="25" w:name="_Toc103622118"/>
      <w:bookmarkStart w:id="26" w:name="_Toc103622159"/>
      <w:r w:rsidRPr="00BE3BBE">
        <w:rPr>
          <w:rFonts w:cs="Arial"/>
        </w:rPr>
        <w:lastRenderedPageBreak/>
        <w:t>Benefits of Ratio Analysis</w:t>
      </w:r>
      <w:bookmarkEnd w:id="24"/>
      <w:bookmarkEnd w:id="25"/>
      <w:bookmarkEnd w:id="26"/>
    </w:p>
    <w:p w14:paraId="05BE2627" w14:textId="77777777" w:rsidR="00937D97" w:rsidRDefault="00937D97" w:rsidP="00FD2F3C">
      <w:pPr>
        <w:spacing w:line="360" w:lineRule="auto"/>
        <w:rPr>
          <w:rFonts w:cs="Arial"/>
        </w:rPr>
      </w:pPr>
      <w:r>
        <w:rPr>
          <w:rFonts w:cs="Arial"/>
        </w:rPr>
        <w:t>Ratio analysis is an important tool that helps to visualize the data from financial statements and provides information o</w:t>
      </w:r>
      <w:r w:rsidR="00935450">
        <w:rPr>
          <w:rFonts w:cs="Arial"/>
        </w:rPr>
        <w:t>n</w:t>
      </w:r>
      <w:r>
        <w:rPr>
          <w:rFonts w:cs="Arial"/>
        </w:rPr>
        <w:t xml:space="preserve"> possible </w:t>
      </w:r>
      <w:r w:rsidR="00291999">
        <w:rPr>
          <w:rFonts w:cs="Arial"/>
        </w:rPr>
        <w:t>discrepancies</w:t>
      </w:r>
      <w:r w:rsidR="002A49B0">
        <w:rPr>
          <w:rFonts w:cs="Arial"/>
        </w:rPr>
        <w:t xml:space="preserve"> in the future</w:t>
      </w:r>
      <w:r w:rsidR="003F1FE2">
        <w:rPr>
          <w:rFonts w:cs="Arial"/>
        </w:rPr>
        <w:t xml:space="preserve"> (</w:t>
      </w:r>
      <w:proofErr w:type="spellStart"/>
      <w:r w:rsidR="003F1FE2">
        <w:rPr>
          <w:rFonts w:cs="Arial"/>
        </w:rPr>
        <w:t>Panno</w:t>
      </w:r>
      <w:proofErr w:type="spellEnd"/>
      <w:r w:rsidR="003F1FE2">
        <w:rPr>
          <w:rFonts w:cs="Arial"/>
        </w:rPr>
        <w:t>, 2019)</w:t>
      </w:r>
      <w:r w:rsidR="002A49B0">
        <w:rPr>
          <w:rFonts w:cs="Arial"/>
        </w:rPr>
        <w:t>.</w:t>
      </w:r>
      <w:r w:rsidR="00304C7F">
        <w:rPr>
          <w:rFonts w:cs="Arial"/>
        </w:rPr>
        <w:t xml:space="preserve"> As this study is conducted on Hilton, and it operates in hotel industry, it is necessary to get the importance of ratio analysis in this industry. So, </w:t>
      </w:r>
      <w:r w:rsidR="00935450">
        <w:rPr>
          <w:rFonts w:cs="Arial"/>
        </w:rPr>
        <w:t xml:space="preserve">the </w:t>
      </w:r>
      <w:r w:rsidR="00304C7F">
        <w:rPr>
          <w:rFonts w:cs="Arial"/>
        </w:rPr>
        <w:t>follo</w:t>
      </w:r>
      <w:r w:rsidR="008D3E90">
        <w:rPr>
          <w:rFonts w:cs="Arial"/>
        </w:rPr>
        <w:t>w</w:t>
      </w:r>
      <w:r w:rsidR="00304C7F">
        <w:rPr>
          <w:rFonts w:cs="Arial"/>
        </w:rPr>
        <w:t>ing are the core benefits of ratio analysis:</w:t>
      </w:r>
    </w:p>
    <w:p w14:paraId="05BE2628" w14:textId="77777777" w:rsidR="00FD2F3C" w:rsidRPr="00BE3BBE" w:rsidRDefault="00FD2F3C" w:rsidP="00FD2F3C">
      <w:pPr>
        <w:pStyle w:val="ListParagraph"/>
        <w:numPr>
          <w:ilvl w:val="0"/>
          <w:numId w:val="2"/>
        </w:numPr>
        <w:spacing w:line="360" w:lineRule="auto"/>
        <w:rPr>
          <w:rFonts w:cs="Arial"/>
          <w:b/>
        </w:rPr>
      </w:pPr>
      <w:r w:rsidRPr="00BE3BBE">
        <w:rPr>
          <w:rFonts w:cs="Arial"/>
          <w:b/>
        </w:rPr>
        <w:t>Financial Planning</w:t>
      </w:r>
    </w:p>
    <w:p w14:paraId="05BE2629" w14:textId="77777777" w:rsidR="00FD2F3C" w:rsidRPr="00BE3BBE" w:rsidRDefault="00304C7F" w:rsidP="00FD2F3C">
      <w:pPr>
        <w:spacing w:line="360" w:lineRule="auto"/>
        <w:rPr>
          <w:rFonts w:cs="Arial"/>
        </w:rPr>
      </w:pPr>
      <w:r>
        <w:rPr>
          <w:rFonts w:cs="Arial"/>
        </w:rPr>
        <w:t xml:space="preserve">Revenue and cost drivers, needs for future </w:t>
      </w:r>
      <w:r w:rsidR="00935450">
        <w:rPr>
          <w:rFonts w:cs="Arial"/>
        </w:rPr>
        <w:t>flows of cash</w:t>
      </w:r>
      <w:r>
        <w:rPr>
          <w:rFonts w:cs="Arial"/>
        </w:rPr>
        <w:t>, level of debts etc. are shown in ratio analysis. So, it helps to plan to make sure that they are used properly in the future.</w:t>
      </w:r>
    </w:p>
    <w:p w14:paraId="05BE262A" w14:textId="77777777" w:rsidR="00304C7F" w:rsidRDefault="00304C7F" w:rsidP="00FD2F3C">
      <w:pPr>
        <w:pStyle w:val="ListParagraph"/>
        <w:numPr>
          <w:ilvl w:val="0"/>
          <w:numId w:val="2"/>
        </w:numPr>
        <w:spacing w:line="360" w:lineRule="auto"/>
        <w:rPr>
          <w:rFonts w:cs="Arial"/>
          <w:b/>
        </w:rPr>
      </w:pPr>
      <w:r>
        <w:rPr>
          <w:rFonts w:cs="Arial"/>
          <w:b/>
        </w:rPr>
        <w:t>Controlling Costs</w:t>
      </w:r>
    </w:p>
    <w:p w14:paraId="05BE262B" w14:textId="77777777" w:rsidR="00304C7F" w:rsidRPr="00304C7F" w:rsidRDefault="00304C7F" w:rsidP="00304C7F">
      <w:pPr>
        <w:spacing w:line="360" w:lineRule="auto"/>
        <w:rPr>
          <w:rFonts w:cs="Arial"/>
        </w:rPr>
      </w:pPr>
      <w:r w:rsidRPr="00304C7F">
        <w:rPr>
          <w:rFonts w:cs="Arial"/>
        </w:rPr>
        <w:t>Profitability ratios show whether the company is excessively using money.</w:t>
      </w:r>
      <w:r>
        <w:rPr>
          <w:rFonts w:cs="Arial"/>
        </w:rPr>
        <w:t xml:space="preserve"> For example, Hilton has its reven</w:t>
      </w:r>
      <w:r w:rsidR="00226E52">
        <w:rPr>
          <w:rFonts w:cs="Arial"/>
        </w:rPr>
        <w:t>u</w:t>
      </w:r>
      <w:r>
        <w:rPr>
          <w:rFonts w:cs="Arial"/>
        </w:rPr>
        <w:t>e decre</w:t>
      </w:r>
      <w:r w:rsidR="00226E52">
        <w:rPr>
          <w:rFonts w:cs="Arial"/>
        </w:rPr>
        <w:t>a</w:t>
      </w:r>
      <w:r>
        <w:rPr>
          <w:rFonts w:cs="Arial"/>
        </w:rPr>
        <w:t>sed by 150% in 2020 than 2019. So, it means that, operational costs have been increased, which as a result has decre</w:t>
      </w:r>
      <w:r w:rsidR="00935450">
        <w:rPr>
          <w:rFonts w:cs="Arial"/>
        </w:rPr>
        <w:t>a</w:t>
      </w:r>
      <w:r>
        <w:rPr>
          <w:rFonts w:cs="Arial"/>
        </w:rPr>
        <w:t>sed the profit.</w:t>
      </w:r>
      <w:r w:rsidR="000F67CD">
        <w:rPr>
          <w:rFonts w:cs="Arial"/>
        </w:rPr>
        <w:t xml:space="preserve"> From this, management gets to know that they need to reduce costs.</w:t>
      </w:r>
    </w:p>
    <w:p w14:paraId="05BE262C" w14:textId="77777777" w:rsidR="00FD2F3C" w:rsidRPr="00BE3BBE" w:rsidRDefault="00FD2F3C" w:rsidP="00FD2F3C">
      <w:pPr>
        <w:pStyle w:val="ListParagraph"/>
        <w:numPr>
          <w:ilvl w:val="0"/>
          <w:numId w:val="2"/>
        </w:numPr>
        <w:spacing w:line="360" w:lineRule="auto"/>
        <w:rPr>
          <w:rFonts w:cs="Arial"/>
          <w:b/>
        </w:rPr>
      </w:pPr>
      <w:r w:rsidRPr="00BE3BBE">
        <w:rPr>
          <w:rFonts w:cs="Arial"/>
          <w:b/>
        </w:rPr>
        <w:t>Operational and Financial Efficiency</w:t>
      </w:r>
      <w:r w:rsidR="007168BD">
        <w:rPr>
          <w:rFonts w:cs="Arial"/>
          <w:b/>
        </w:rPr>
        <w:t xml:space="preserve"> Measurement</w:t>
      </w:r>
    </w:p>
    <w:p w14:paraId="05BE262D" w14:textId="77777777" w:rsidR="00FD2F3C" w:rsidRPr="00BE3BBE" w:rsidRDefault="008C257C" w:rsidP="00FD2F3C">
      <w:pPr>
        <w:spacing w:line="360" w:lineRule="auto"/>
        <w:rPr>
          <w:rFonts w:cs="Arial"/>
        </w:rPr>
      </w:pPr>
      <w:r>
        <w:rPr>
          <w:rFonts w:cs="Arial"/>
        </w:rPr>
        <w:t>Throug</w:t>
      </w:r>
      <w:r w:rsidR="00935450">
        <w:rPr>
          <w:rFonts w:cs="Arial"/>
        </w:rPr>
        <w:t>h</w:t>
      </w:r>
      <w:r>
        <w:rPr>
          <w:rFonts w:cs="Arial"/>
        </w:rPr>
        <w:t xml:space="preserve"> debt ratio, leverage ratio etc. the capability of repaying debts can be identified (</w:t>
      </w:r>
      <w:r w:rsidR="009B71AD">
        <w:rPr>
          <w:rFonts w:cs="Arial"/>
        </w:rPr>
        <w:t>Motta &amp; Sharma, 2020</w:t>
      </w:r>
      <w:r>
        <w:rPr>
          <w:rFonts w:cs="Arial"/>
        </w:rPr>
        <w:t>). Again, if it is seen that, they are taking more debts and the asset level and revenue sources are not enough to cover them up, then they should take measures to reduce it.</w:t>
      </w:r>
      <w:r w:rsidR="00FD2F3C" w:rsidRPr="00BE3BBE">
        <w:rPr>
          <w:rFonts w:cs="Arial"/>
        </w:rPr>
        <w:t xml:space="preserve"> </w:t>
      </w:r>
    </w:p>
    <w:p w14:paraId="05BE262E" w14:textId="77777777" w:rsidR="00FD2F3C" w:rsidRPr="00BE3BBE" w:rsidRDefault="008E62BF" w:rsidP="00FD2F3C">
      <w:pPr>
        <w:pStyle w:val="ListParagraph"/>
        <w:numPr>
          <w:ilvl w:val="0"/>
          <w:numId w:val="2"/>
        </w:numPr>
        <w:spacing w:line="360" w:lineRule="auto"/>
        <w:rPr>
          <w:rFonts w:cs="Arial"/>
          <w:b/>
        </w:rPr>
      </w:pPr>
      <w:r>
        <w:rPr>
          <w:rFonts w:cs="Arial"/>
          <w:b/>
        </w:rPr>
        <w:t>Comparison</w:t>
      </w:r>
      <w:r w:rsidR="00656263">
        <w:rPr>
          <w:rFonts w:cs="Arial"/>
          <w:b/>
        </w:rPr>
        <w:t xml:space="preserve"> among Firms</w:t>
      </w:r>
    </w:p>
    <w:p w14:paraId="05BE262F" w14:textId="77777777" w:rsidR="00FD2F3C" w:rsidRPr="00BE3BBE" w:rsidRDefault="008E62BF" w:rsidP="00FD2F3C">
      <w:pPr>
        <w:spacing w:line="360" w:lineRule="auto"/>
        <w:rPr>
          <w:rFonts w:cs="Arial"/>
        </w:rPr>
      </w:pPr>
      <w:r>
        <w:rPr>
          <w:rFonts w:cs="Arial"/>
        </w:rPr>
        <w:t>As the analysis compares data against industry benchmark</w:t>
      </w:r>
      <w:r w:rsidR="00935450">
        <w:rPr>
          <w:rFonts w:cs="Arial"/>
        </w:rPr>
        <w:t>s</w:t>
      </w:r>
      <w:r>
        <w:rPr>
          <w:rFonts w:cs="Arial"/>
        </w:rPr>
        <w:t xml:space="preserve">, the analysts can easily say whether it is doing well </w:t>
      </w:r>
      <w:r w:rsidR="00AF1830">
        <w:rPr>
          <w:rFonts w:cs="Arial"/>
        </w:rPr>
        <w:t xml:space="preserve">in comparison with peer companies. It helps to </w:t>
      </w:r>
      <w:r w:rsidR="00935450">
        <w:rPr>
          <w:rFonts w:cs="Arial"/>
        </w:rPr>
        <w:t>m</w:t>
      </w:r>
      <w:r w:rsidR="00AF1830">
        <w:rPr>
          <w:rFonts w:cs="Arial"/>
        </w:rPr>
        <w:t>ake strategi</w:t>
      </w:r>
      <w:r w:rsidR="00291999">
        <w:rPr>
          <w:rFonts w:cs="Arial"/>
        </w:rPr>
        <w:t xml:space="preserve">c decisions </w:t>
      </w:r>
      <w:r w:rsidR="00935450">
        <w:rPr>
          <w:rFonts w:cs="Arial"/>
        </w:rPr>
        <w:t>t</w:t>
      </w:r>
      <w:r w:rsidR="00291999">
        <w:rPr>
          <w:rFonts w:cs="Arial"/>
        </w:rPr>
        <w:t>o meet company-specific goals</w:t>
      </w:r>
      <w:r w:rsidR="000A7783">
        <w:rPr>
          <w:rFonts w:cs="Arial"/>
        </w:rPr>
        <w:t xml:space="preserve"> (</w:t>
      </w:r>
      <w:proofErr w:type="spellStart"/>
      <w:r w:rsidR="000A7783">
        <w:rPr>
          <w:rFonts w:cs="Arial"/>
        </w:rPr>
        <w:t>Vasilev</w:t>
      </w:r>
      <w:proofErr w:type="spellEnd"/>
      <w:r w:rsidR="000A7783">
        <w:rPr>
          <w:rFonts w:cs="Arial"/>
        </w:rPr>
        <w:t xml:space="preserve"> et Al., 2019)</w:t>
      </w:r>
      <w:r w:rsidR="00291999">
        <w:rPr>
          <w:rFonts w:cs="Arial"/>
        </w:rPr>
        <w:t>.</w:t>
      </w:r>
      <w:r w:rsidR="00AF1830">
        <w:rPr>
          <w:rFonts w:cs="Arial"/>
        </w:rPr>
        <w:t xml:space="preserve"> </w:t>
      </w:r>
    </w:p>
    <w:p w14:paraId="05BE2630" w14:textId="77777777" w:rsidR="00FD2F3C" w:rsidRDefault="00FD2F3C" w:rsidP="00FD2F3C">
      <w:pPr>
        <w:spacing w:line="360" w:lineRule="auto"/>
        <w:rPr>
          <w:rFonts w:cs="Arial"/>
        </w:rPr>
      </w:pPr>
    </w:p>
    <w:p w14:paraId="05BE2631" w14:textId="77777777" w:rsidR="00FD2F3C" w:rsidRPr="00BE3BBE" w:rsidRDefault="00FD2F3C" w:rsidP="00FD2F3C">
      <w:pPr>
        <w:spacing w:line="360" w:lineRule="auto"/>
        <w:rPr>
          <w:rFonts w:cs="Arial"/>
        </w:rPr>
      </w:pPr>
    </w:p>
    <w:p w14:paraId="05BE2632" w14:textId="77777777" w:rsidR="00DF30FC" w:rsidRPr="00BE3BBE" w:rsidRDefault="00CF64AC" w:rsidP="00DF30FC">
      <w:pPr>
        <w:pStyle w:val="Heading1"/>
        <w:rPr>
          <w:rFonts w:cs="Arial"/>
        </w:rPr>
      </w:pPr>
      <w:bookmarkStart w:id="27" w:name="_Toc103622119"/>
      <w:bookmarkStart w:id="28" w:name="_Toc103622160"/>
      <w:r>
        <w:rPr>
          <w:rFonts w:cs="Arial"/>
        </w:rPr>
        <w:lastRenderedPageBreak/>
        <w:t>Limitations of</w:t>
      </w:r>
      <w:r w:rsidR="00DF30FC" w:rsidRPr="00BE3BBE">
        <w:rPr>
          <w:rFonts w:cs="Arial"/>
        </w:rPr>
        <w:t xml:space="preserve"> Ratio Analysis</w:t>
      </w:r>
      <w:bookmarkEnd w:id="27"/>
      <w:bookmarkEnd w:id="28"/>
    </w:p>
    <w:p w14:paraId="05BE2633" w14:textId="77777777" w:rsidR="00426869" w:rsidRDefault="00426869" w:rsidP="00426869">
      <w:pPr>
        <w:spacing w:line="360" w:lineRule="auto"/>
        <w:rPr>
          <w:rFonts w:cs="Arial"/>
        </w:rPr>
      </w:pPr>
      <w:r>
        <w:rPr>
          <w:rFonts w:cs="Arial"/>
        </w:rPr>
        <w:t xml:space="preserve">Despite having loads of significance in </w:t>
      </w:r>
      <w:proofErr w:type="spellStart"/>
      <w:r>
        <w:rPr>
          <w:rFonts w:cs="Arial"/>
        </w:rPr>
        <w:t>analysing</w:t>
      </w:r>
      <w:proofErr w:type="spellEnd"/>
      <w:r>
        <w:rPr>
          <w:rFonts w:cs="Arial"/>
        </w:rPr>
        <w:t xml:space="preserve"> financial performance, ratio analysis is not free from some limitations (Li, 2019)</w:t>
      </w:r>
      <w:r w:rsidRPr="00BE3BBE">
        <w:rPr>
          <w:rFonts w:cs="Arial"/>
        </w:rPr>
        <w:t>:</w:t>
      </w:r>
    </w:p>
    <w:p w14:paraId="05BE2634" w14:textId="77777777" w:rsidR="00391884" w:rsidRDefault="00391884" w:rsidP="00391884">
      <w:pPr>
        <w:pStyle w:val="ListParagraph"/>
        <w:numPr>
          <w:ilvl w:val="0"/>
          <w:numId w:val="4"/>
        </w:numPr>
        <w:spacing w:line="360" w:lineRule="auto"/>
        <w:rPr>
          <w:rFonts w:cs="Arial"/>
        </w:rPr>
      </w:pPr>
      <w:r>
        <w:rPr>
          <w:rFonts w:cs="Arial"/>
        </w:rPr>
        <w:t xml:space="preserve">These analyses are </w:t>
      </w:r>
      <w:r w:rsidR="002E336C">
        <w:rPr>
          <w:rFonts w:cs="Arial"/>
        </w:rPr>
        <w:t>prepared</w:t>
      </w:r>
      <w:r>
        <w:rPr>
          <w:rFonts w:cs="Arial"/>
        </w:rPr>
        <w:t xml:space="preserve"> based on historical data, which </w:t>
      </w:r>
      <w:proofErr w:type="spellStart"/>
      <w:r>
        <w:rPr>
          <w:rFonts w:cs="Arial"/>
        </w:rPr>
        <w:t>can not</w:t>
      </w:r>
      <w:proofErr w:type="spellEnd"/>
      <w:r>
        <w:rPr>
          <w:rFonts w:cs="Arial"/>
        </w:rPr>
        <w:t xml:space="preserve"> guarantee that similar incidents will occur in the future</w:t>
      </w:r>
    </w:p>
    <w:p w14:paraId="05BE2635" w14:textId="77777777" w:rsidR="00391884" w:rsidRDefault="00391884" w:rsidP="00391884">
      <w:pPr>
        <w:pStyle w:val="ListParagraph"/>
        <w:numPr>
          <w:ilvl w:val="0"/>
          <w:numId w:val="4"/>
        </w:numPr>
        <w:spacing w:line="360" w:lineRule="auto"/>
        <w:rPr>
          <w:rFonts w:cs="Arial"/>
        </w:rPr>
      </w:pPr>
      <w:r>
        <w:rPr>
          <w:rFonts w:cs="Arial"/>
        </w:rPr>
        <w:t>The basis of comparability of the companies depend</w:t>
      </w:r>
      <w:r w:rsidR="00935450">
        <w:rPr>
          <w:rFonts w:cs="Arial"/>
        </w:rPr>
        <w:t>s</w:t>
      </w:r>
      <w:r>
        <w:rPr>
          <w:rFonts w:cs="Arial"/>
        </w:rPr>
        <w:t xml:space="preserve"> on accounting practices. But the practices might vary due to several </w:t>
      </w:r>
      <w:r w:rsidR="002964FC">
        <w:rPr>
          <w:rFonts w:cs="Arial"/>
        </w:rPr>
        <w:t>methods used in different companies.</w:t>
      </w:r>
    </w:p>
    <w:p w14:paraId="05BE2636" w14:textId="77777777" w:rsidR="002964FC" w:rsidRDefault="002964FC" w:rsidP="00391884">
      <w:pPr>
        <w:pStyle w:val="ListParagraph"/>
        <w:numPr>
          <w:ilvl w:val="0"/>
          <w:numId w:val="4"/>
        </w:numPr>
        <w:spacing w:line="360" w:lineRule="auto"/>
        <w:rPr>
          <w:rFonts w:cs="Arial"/>
        </w:rPr>
      </w:pPr>
      <w:r>
        <w:rPr>
          <w:rFonts w:cs="Arial"/>
        </w:rPr>
        <w:t xml:space="preserve">The annual data does not often reflect changes in </w:t>
      </w:r>
      <w:r w:rsidR="00935450">
        <w:rPr>
          <w:rFonts w:cs="Arial"/>
        </w:rPr>
        <w:t xml:space="preserve">the </w:t>
      </w:r>
      <w:r>
        <w:rPr>
          <w:rFonts w:cs="Arial"/>
        </w:rPr>
        <w:t>economy, such as inflation values, which may provide partially right data.</w:t>
      </w:r>
    </w:p>
    <w:p w14:paraId="05BE2637" w14:textId="77777777" w:rsidR="002964FC" w:rsidRDefault="002964FC" w:rsidP="00DF30FC">
      <w:pPr>
        <w:pStyle w:val="ListParagraph"/>
        <w:numPr>
          <w:ilvl w:val="0"/>
          <w:numId w:val="4"/>
        </w:numPr>
        <w:spacing w:line="360" w:lineRule="auto"/>
        <w:rPr>
          <w:rFonts w:cs="Arial"/>
        </w:rPr>
      </w:pPr>
      <w:r>
        <w:rPr>
          <w:rFonts w:cs="Arial"/>
        </w:rPr>
        <w:t xml:space="preserve">As it is a quantitative measure and it relies heavily on accounting, any mistake while gathering data from </w:t>
      </w:r>
      <w:r w:rsidR="00935450">
        <w:rPr>
          <w:rFonts w:cs="Arial"/>
        </w:rPr>
        <w:t xml:space="preserve">the </w:t>
      </w:r>
      <w:r>
        <w:rPr>
          <w:rFonts w:cs="Arial"/>
        </w:rPr>
        <w:t>statement or during calculation may provide wrong assumptions</w:t>
      </w:r>
    </w:p>
    <w:p w14:paraId="05BE2638" w14:textId="77777777" w:rsidR="002964FC" w:rsidRDefault="002964FC" w:rsidP="00DF30FC">
      <w:pPr>
        <w:pStyle w:val="ListParagraph"/>
        <w:numPr>
          <w:ilvl w:val="0"/>
          <w:numId w:val="4"/>
        </w:numPr>
        <w:spacing w:line="360" w:lineRule="auto"/>
        <w:rPr>
          <w:rFonts w:cs="Arial"/>
        </w:rPr>
      </w:pPr>
      <w:r>
        <w:rPr>
          <w:rFonts w:cs="Arial"/>
        </w:rPr>
        <w:t>Data manipulation is not at all uncommon across companies, it may distort results too.</w:t>
      </w:r>
    </w:p>
    <w:p w14:paraId="05BE2639" w14:textId="77777777" w:rsidR="002964FC" w:rsidRDefault="002964FC" w:rsidP="002964FC">
      <w:pPr>
        <w:spacing w:line="360" w:lineRule="auto"/>
        <w:rPr>
          <w:rFonts w:cs="Arial"/>
        </w:rPr>
      </w:pPr>
      <w:r>
        <w:rPr>
          <w:rFonts w:cs="Arial"/>
        </w:rPr>
        <w:t>These are the limitations of ratio analysis.</w:t>
      </w:r>
    </w:p>
    <w:p w14:paraId="05BE263A" w14:textId="77777777" w:rsidR="00BF46FF" w:rsidRDefault="00BF46FF" w:rsidP="002964FC">
      <w:pPr>
        <w:spacing w:line="360" w:lineRule="auto"/>
        <w:rPr>
          <w:rFonts w:cs="Arial"/>
        </w:rPr>
      </w:pPr>
    </w:p>
    <w:p w14:paraId="05BE263B" w14:textId="77777777" w:rsidR="00BF46FF" w:rsidRDefault="00BF46FF" w:rsidP="002964FC">
      <w:pPr>
        <w:spacing w:line="360" w:lineRule="auto"/>
        <w:rPr>
          <w:rFonts w:cs="Arial"/>
        </w:rPr>
      </w:pPr>
    </w:p>
    <w:p w14:paraId="05BE263C" w14:textId="77777777" w:rsidR="00BF46FF" w:rsidRDefault="00BF46FF" w:rsidP="002964FC">
      <w:pPr>
        <w:spacing w:line="360" w:lineRule="auto"/>
        <w:rPr>
          <w:rFonts w:cs="Arial"/>
        </w:rPr>
      </w:pPr>
    </w:p>
    <w:p w14:paraId="05BE263D" w14:textId="77777777" w:rsidR="00BF46FF" w:rsidRDefault="00BF46FF" w:rsidP="002964FC">
      <w:pPr>
        <w:spacing w:line="360" w:lineRule="auto"/>
        <w:rPr>
          <w:rFonts w:cs="Arial"/>
        </w:rPr>
      </w:pPr>
    </w:p>
    <w:p w14:paraId="05BE263E" w14:textId="77777777" w:rsidR="00BF46FF" w:rsidRDefault="00BF46FF" w:rsidP="002964FC">
      <w:pPr>
        <w:spacing w:line="360" w:lineRule="auto"/>
        <w:rPr>
          <w:rFonts w:cs="Arial"/>
        </w:rPr>
      </w:pPr>
    </w:p>
    <w:p w14:paraId="05BE263F" w14:textId="77777777" w:rsidR="00BF46FF" w:rsidRDefault="00BF46FF" w:rsidP="002964FC">
      <w:pPr>
        <w:spacing w:line="360" w:lineRule="auto"/>
        <w:rPr>
          <w:rFonts w:cs="Arial"/>
        </w:rPr>
      </w:pPr>
    </w:p>
    <w:p w14:paraId="05BE2640" w14:textId="77777777" w:rsidR="00BF46FF" w:rsidRDefault="00BF46FF" w:rsidP="002964FC">
      <w:pPr>
        <w:spacing w:line="360" w:lineRule="auto"/>
        <w:rPr>
          <w:rFonts w:cs="Arial"/>
        </w:rPr>
      </w:pPr>
    </w:p>
    <w:p w14:paraId="05BE2641" w14:textId="77777777" w:rsidR="00BF46FF" w:rsidRDefault="00BF46FF" w:rsidP="002964FC">
      <w:pPr>
        <w:spacing w:line="360" w:lineRule="auto"/>
        <w:rPr>
          <w:rFonts w:cs="Arial"/>
        </w:rPr>
      </w:pPr>
    </w:p>
    <w:p w14:paraId="05BE2642" w14:textId="77777777" w:rsidR="00BF46FF" w:rsidRDefault="00BF46FF" w:rsidP="002964FC">
      <w:pPr>
        <w:spacing w:line="360" w:lineRule="auto"/>
        <w:rPr>
          <w:rFonts w:cs="Arial"/>
        </w:rPr>
      </w:pPr>
    </w:p>
    <w:p w14:paraId="05BE2643" w14:textId="77777777" w:rsidR="002E336C" w:rsidRPr="005B6B55" w:rsidRDefault="002E336C" w:rsidP="002E336C">
      <w:pPr>
        <w:pStyle w:val="Heading1"/>
        <w:rPr>
          <w:rFonts w:cs="Arial"/>
        </w:rPr>
      </w:pPr>
      <w:bookmarkStart w:id="29" w:name="_Toc103622120"/>
      <w:bookmarkStart w:id="30" w:name="_Toc103622161"/>
      <w:r>
        <w:lastRenderedPageBreak/>
        <w:t>Importance of Understanding Ratio Analysis</w:t>
      </w:r>
      <w:bookmarkEnd w:id="29"/>
      <w:bookmarkEnd w:id="30"/>
    </w:p>
    <w:p w14:paraId="05BE2644" w14:textId="77777777" w:rsidR="000C2F2B" w:rsidRDefault="00CE1262" w:rsidP="004B16B7">
      <w:pPr>
        <w:spacing w:line="360" w:lineRule="auto"/>
        <w:rPr>
          <w:rFonts w:cs="Arial"/>
        </w:rPr>
      </w:pPr>
      <w:r>
        <w:rPr>
          <w:rFonts w:cs="Arial"/>
        </w:rPr>
        <w:t xml:space="preserve">Being in a service industry, hotels often need to keep an eye on the changing trends in the economy as well as the business environment. Ratio analysis is an excellent way which helps to </w:t>
      </w:r>
      <w:r w:rsidR="003411AA">
        <w:rPr>
          <w:rFonts w:cs="Arial"/>
        </w:rPr>
        <w:t xml:space="preserve">get insight </w:t>
      </w:r>
      <w:r w:rsidR="00935450">
        <w:rPr>
          <w:rFonts w:cs="Arial"/>
        </w:rPr>
        <w:t>in</w:t>
      </w:r>
      <w:r w:rsidR="003411AA">
        <w:rPr>
          <w:rFonts w:cs="Arial"/>
        </w:rPr>
        <w:t xml:space="preserve">to the activities in the company at present and possible activities in </w:t>
      </w:r>
      <w:r w:rsidR="00935450">
        <w:rPr>
          <w:rFonts w:cs="Arial"/>
        </w:rPr>
        <w:t xml:space="preserve">the </w:t>
      </w:r>
      <w:r w:rsidR="003411AA">
        <w:rPr>
          <w:rFonts w:cs="Arial"/>
        </w:rPr>
        <w:t>future</w:t>
      </w:r>
      <w:r w:rsidR="009B71AD">
        <w:rPr>
          <w:rFonts w:cs="Arial"/>
        </w:rPr>
        <w:t xml:space="preserve"> (Zorn et Al., 2018)</w:t>
      </w:r>
      <w:r w:rsidR="000C2F2B">
        <w:rPr>
          <w:rFonts w:cs="Arial"/>
        </w:rPr>
        <w:t>.</w:t>
      </w:r>
    </w:p>
    <w:p w14:paraId="05BE2645" w14:textId="77777777" w:rsidR="00CE1262" w:rsidRDefault="003411AA" w:rsidP="004B16B7">
      <w:pPr>
        <w:spacing w:line="360" w:lineRule="auto"/>
        <w:rPr>
          <w:rFonts w:cs="Arial"/>
        </w:rPr>
      </w:pPr>
      <w:r>
        <w:rPr>
          <w:rFonts w:cs="Arial"/>
        </w:rPr>
        <w:t xml:space="preserve">Simply put, following the financial statement data provides </w:t>
      </w:r>
      <w:r w:rsidR="00935450">
        <w:rPr>
          <w:rFonts w:cs="Arial"/>
        </w:rPr>
        <w:t xml:space="preserve">a </w:t>
      </w:r>
      <w:r>
        <w:rPr>
          <w:rFonts w:cs="Arial"/>
        </w:rPr>
        <w:t xml:space="preserve">vague idea about the company’s efficiency. So, ratios like liquidity and solvency ratios help to find out whether </w:t>
      </w:r>
      <w:r w:rsidR="00935450">
        <w:rPr>
          <w:rFonts w:cs="Arial"/>
        </w:rPr>
        <w:t>they</w:t>
      </w:r>
      <w:r>
        <w:rPr>
          <w:rFonts w:cs="Arial"/>
        </w:rPr>
        <w:t xml:space="preserve"> </w:t>
      </w:r>
      <w:r w:rsidR="00935450">
        <w:rPr>
          <w:rFonts w:cs="Arial"/>
        </w:rPr>
        <w:t>can</w:t>
      </w:r>
      <w:r>
        <w:rPr>
          <w:rFonts w:cs="Arial"/>
        </w:rPr>
        <w:t xml:space="preserve"> pay off the debts. </w:t>
      </w:r>
      <w:r w:rsidR="001C16A4">
        <w:rPr>
          <w:rFonts w:cs="Arial"/>
        </w:rPr>
        <w:t>H</w:t>
      </w:r>
      <w:r>
        <w:rPr>
          <w:rFonts w:cs="Arial"/>
        </w:rPr>
        <w:t xml:space="preserve">otels need to keep </w:t>
      </w:r>
      <w:r w:rsidR="00935450">
        <w:rPr>
          <w:rFonts w:cs="Arial"/>
        </w:rPr>
        <w:t xml:space="preserve">a </w:t>
      </w:r>
      <w:r>
        <w:rPr>
          <w:rFonts w:cs="Arial"/>
        </w:rPr>
        <w:t>constant watch on the profitability too.</w:t>
      </w:r>
    </w:p>
    <w:p w14:paraId="05BE2646" w14:textId="77777777" w:rsidR="003411AA" w:rsidRDefault="003411AA" w:rsidP="004B16B7">
      <w:pPr>
        <w:spacing w:line="360" w:lineRule="auto"/>
        <w:rPr>
          <w:rFonts w:cs="Arial"/>
        </w:rPr>
      </w:pPr>
      <w:r>
        <w:rPr>
          <w:rFonts w:cs="Arial"/>
        </w:rPr>
        <w:t>Apart from these, ratio analysis helps to achieve the following things</w:t>
      </w:r>
      <w:r w:rsidR="000C2F2B">
        <w:rPr>
          <w:rFonts w:cs="Arial"/>
        </w:rPr>
        <w:t xml:space="preserve"> (Husain &amp; </w:t>
      </w:r>
      <w:proofErr w:type="spellStart"/>
      <w:r w:rsidR="000C2F2B">
        <w:rPr>
          <w:rFonts w:cs="Arial"/>
        </w:rPr>
        <w:t>Sunardi</w:t>
      </w:r>
      <w:proofErr w:type="spellEnd"/>
      <w:r w:rsidR="000C2F2B">
        <w:rPr>
          <w:rFonts w:cs="Arial"/>
        </w:rPr>
        <w:t>, 2020)</w:t>
      </w:r>
      <w:r w:rsidR="00037988">
        <w:rPr>
          <w:rFonts w:cs="Arial"/>
        </w:rPr>
        <w:t>:</w:t>
      </w:r>
    </w:p>
    <w:p w14:paraId="05BE2647" w14:textId="77777777" w:rsidR="00037988" w:rsidRDefault="00037988" w:rsidP="00037988">
      <w:pPr>
        <w:pStyle w:val="ListParagraph"/>
        <w:numPr>
          <w:ilvl w:val="0"/>
          <w:numId w:val="5"/>
        </w:numPr>
        <w:spacing w:line="360" w:lineRule="auto"/>
        <w:rPr>
          <w:rFonts w:cs="Arial"/>
        </w:rPr>
      </w:pPr>
      <w:r>
        <w:rPr>
          <w:rFonts w:cs="Arial"/>
        </w:rPr>
        <w:t>Establishment of links among the stakeholders, such as creditors and debtors</w:t>
      </w:r>
    </w:p>
    <w:p w14:paraId="05BE2648" w14:textId="77777777" w:rsidR="00037988" w:rsidRDefault="00037988" w:rsidP="00037988">
      <w:pPr>
        <w:pStyle w:val="ListParagraph"/>
        <w:numPr>
          <w:ilvl w:val="0"/>
          <w:numId w:val="5"/>
        </w:numPr>
        <w:spacing w:line="360" w:lineRule="auto"/>
        <w:rPr>
          <w:rFonts w:cs="Arial"/>
        </w:rPr>
      </w:pPr>
      <w:r>
        <w:rPr>
          <w:rFonts w:cs="Arial"/>
        </w:rPr>
        <w:t>Preparing financial budgets, planning and strategies for both short and long-term.</w:t>
      </w:r>
    </w:p>
    <w:p w14:paraId="05BE2649" w14:textId="77777777" w:rsidR="00037988" w:rsidRDefault="00037988" w:rsidP="00037988">
      <w:pPr>
        <w:pStyle w:val="ListParagraph"/>
        <w:numPr>
          <w:ilvl w:val="0"/>
          <w:numId w:val="5"/>
        </w:numPr>
        <w:spacing w:line="360" w:lineRule="auto"/>
        <w:rPr>
          <w:rFonts w:cs="Arial"/>
        </w:rPr>
      </w:pPr>
      <w:r>
        <w:rPr>
          <w:rFonts w:cs="Arial"/>
        </w:rPr>
        <w:t>Forecasting revenues, costs, assets, liabilities etc. and identify</w:t>
      </w:r>
      <w:r w:rsidR="00935450">
        <w:rPr>
          <w:rFonts w:cs="Arial"/>
        </w:rPr>
        <w:t>ing</w:t>
      </w:r>
      <w:r>
        <w:rPr>
          <w:rFonts w:cs="Arial"/>
        </w:rPr>
        <w:t xml:space="preserve"> which may need to </w:t>
      </w:r>
      <w:r w:rsidR="00935450">
        <w:rPr>
          <w:rFonts w:cs="Arial"/>
        </w:rPr>
        <w:t xml:space="preserve">be </w:t>
      </w:r>
      <w:r>
        <w:rPr>
          <w:rFonts w:cs="Arial"/>
        </w:rPr>
        <w:t>used most</w:t>
      </w:r>
    </w:p>
    <w:p w14:paraId="05BE264A" w14:textId="77777777" w:rsidR="00037988" w:rsidRDefault="00037988" w:rsidP="00037988">
      <w:pPr>
        <w:pStyle w:val="ListParagraph"/>
        <w:numPr>
          <w:ilvl w:val="0"/>
          <w:numId w:val="5"/>
        </w:numPr>
        <w:spacing w:line="360" w:lineRule="auto"/>
        <w:rPr>
          <w:rFonts w:cs="Arial"/>
        </w:rPr>
      </w:pPr>
      <w:r>
        <w:rPr>
          <w:rFonts w:cs="Arial"/>
        </w:rPr>
        <w:t>Assessment of the capability of management through solvency and efficiency ratios</w:t>
      </w:r>
    </w:p>
    <w:p w14:paraId="05BE264B" w14:textId="77777777" w:rsidR="00037988" w:rsidRDefault="00037988" w:rsidP="00037988">
      <w:pPr>
        <w:pStyle w:val="ListParagraph"/>
        <w:numPr>
          <w:ilvl w:val="0"/>
          <w:numId w:val="5"/>
        </w:numPr>
        <w:spacing w:line="360" w:lineRule="auto"/>
        <w:rPr>
          <w:rFonts w:cs="Arial"/>
        </w:rPr>
      </w:pPr>
      <w:r>
        <w:rPr>
          <w:rFonts w:cs="Arial"/>
        </w:rPr>
        <w:t>Having preparation for any possible harsh movements in the economy</w:t>
      </w:r>
    </w:p>
    <w:p w14:paraId="05BE264C" w14:textId="77777777" w:rsidR="00037988" w:rsidRDefault="00037988" w:rsidP="00037988">
      <w:pPr>
        <w:pStyle w:val="ListParagraph"/>
        <w:numPr>
          <w:ilvl w:val="0"/>
          <w:numId w:val="5"/>
        </w:numPr>
        <w:spacing w:line="360" w:lineRule="auto"/>
        <w:rPr>
          <w:rFonts w:cs="Arial"/>
        </w:rPr>
      </w:pPr>
      <w:r>
        <w:rPr>
          <w:rFonts w:cs="Arial"/>
        </w:rPr>
        <w:t>Having continuous updates of the resource needs and debt payment capabilities</w:t>
      </w:r>
    </w:p>
    <w:p w14:paraId="05BE264D" w14:textId="77777777" w:rsidR="00037988" w:rsidRDefault="00037988" w:rsidP="00037988">
      <w:pPr>
        <w:spacing w:line="360" w:lineRule="auto"/>
        <w:rPr>
          <w:rFonts w:cs="Arial"/>
        </w:rPr>
      </w:pPr>
      <w:r>
        <w:rPr>
          <w:rFonts w:cs="Arial"/>
        </w:rPr>
        <w:t>These are the reasons why understanding the ratio analysis is of great importance.</w:t>
      </w:r>
    </w:p>
    <w:p w14:paraId="05BE264E" w14:textId="77777777" w:rsidR="006D518A" w:rsidRDefault="006D518A" w:rsidP="00037988">
      <w:pPr>
        <w:spacing w:line="360" w:lineRule="auto"/>
        <w:rPr>
          <w:rFonts w:cs="Arial"/>
        </w:rPr>
      </w:pPr>
    </w:p>
    <w:p w14:paraId="05BE264F" w14:textId="77777777" w:rsidR="006D518A" w:rsidRDefault="006D518A" w:rsidP="00037988">
      <w:pPr>
        <w:spacing w:line="360" w:lineRule="auto"/>
        <w:rPr>
          <w:rFonts w:cs="Arial"/>
        </w:rPr>
      </w:pPr>
    </w:p>
    <w:p w14:paraId="05BE2650" w14:textId="77777777" w:rsidR="006D518A" w:rsidRDefault="006D518A" w:rsidP="00037988">
      <w:pPr>
        <w:spacing w:line="360" w:lineRule="auto"/>
        <w:rPr>
          <w:rFonts w:cs="Arial"/>
        </w:rPr>
      </w:pPr>
    </w:p>
    <w:p w14:paraId="05BE2651" w14:textId="77777777" w:rsidR="006D518A" w:rsidRDefault="006D518A" w:rsidP="00037988">
      <w:pPr>
        <w:spacing w:line="360" w:lineRule="auto"/>
        <w:rPr>
          <w:rFonts w:cs="Arial"/>
        </w:rPr>
      </w:pPr>
    </w:p>
    <w:p w14:paraId="05BE2652" w14:textId="77777777" w:rsidR="006D518A" w:rsidRDefault="006D518A" w:rsidP="00037988">
      <w:pPr>
        <w:spacing w:line="360" w:lineRule="auto"/>
        <w:rPr>
          <w:rFonts w:cs="Arial"/>
        </w:rPr>
      </w:pPr>
    </w:p>
    <w:p w14:paraId="05BE2653" w14:textId="77777777" w:rsidR="006D518A" w:rsidRDefault="006D518A" w:rsidP="00037988">
      <w:pPr>
        <w:spacing w:line="360" w:lineRule="auto"/>
        <w:rPr>
          <w:rFonts w:cs="Arial"/>
        </w:rPr>
      </w:pPr>
    </w:p>
    <w:p w14:paraId="05BE2654" w14:textId="77777777" w:rsidR="006D518A" w:rsidRDefault="006D518A" w:rsidP="006D518A"/>
    <w:p w14:paraId="05BE2655" w14:textId="77777777" w:rsidR="005F77E3" w:rsidRPr="00BE3BBE" w:rsidRDefault="005F77E3" w:rsidP="005F77E3">
      <w:pPr>
        <w:pStyle w:val="Heading1"/>
        <w:rPr>
          <w:rFonts w:cs="Arial"/>
        </w:rPr>
      </w:pPr>
      <w:bookmarkStart w:id="31" w:name="_Toc103622121"/>
      <w:bookmarkStart w:id="32" w:name="_Toc103622162"/>
      <w:r w:rsidRPr="00BE3BBE">
        <w:rPr>
          <w:rFonts w:cs="Arial"/>
        </w:rPr>
        <w:lastRenderedPageBreak/>
        <w:t>Conclusion</w:t>
      </w:r>
      <w:bookmarkEnd w:id="31"/>
      <w:bookmarkEnd w:id="32"/>
    </w:p>
    <w:p w14:paraId="05BE2656" w14:textId="77777777" w:rsidR="006D518A" w:rsidRDefault="006D518A" w:rsidP="005F77E3">
      <w:pPr>
        <w:spacing w:line="360" w:lineRule="auto"/>
        <w:rPr>
          <w:rFonts w:cs="Arial"/>
        </w:rPr>
      </w:pPr>
      <w:r>
        <w:rPr>
          <w:rFonts w:cs="Arial"/>
        </w:rPr>
        <w:t>This analysis has been prepared to calculate significant profitability, liquidity and gearing ratios of Hilton Worldwide for 2020 and 2019</w:t>
      </w:r>
      <w:r w:rsidR="006158F8">
        <w:rPr>
          <w:rFonts w:cs="Arial"/>
        </w:rPr>
        <w:t xml:space="preserve">. </w:t>
      </w:r>
      <w:r>
        <w:rPr>
          <w:rFonts w:cs="Arial"/>
        </w:rPr>
        <w:t>The relevance and limitations of ratio analysis and the importance of understanding them ha</w:t>
      </w:r>
      <w:r w:rsidR="00935450">
        <w:rPr>
          <w:rFonts w:cs="Arial"/>
        </w:rPr>
        <w:t>ve</w:t>
      </w:r>
      <w:r>
        <w:rPr>
          <w:rFonts w:cs="Arial"/>
        </w:rPr>
        <w:t xml:space="preserve"> also been discussed. After the analysis has been done, it has been identified that, Hilton is facing serious issues regarding their profitability and leverage. The hotel chain has faced negative growth at a high rate, with </w:t>
      </w:r>
      <w:r w:rsidR="00935450">
        <w:rPr>
          <w:rFonts w:cs="Arial"/>
        </w:rPr>
        <w:t xml:space="preserve">an </w:t>
      </w:r>
      <w:r>
        <w:rPr>
          <w:rFonts w:cs="Arial"/>
        </w:rPr>
        <w:t xml:space="preserve">increase </w:t>
      </w:r>
      <w:r w:rsidR="00935450">
        <w:rPr>
          <w:rFonts w:cs="Arial"/>
        </w:rPr>
        <w:t>in</w:t>
      </w:r>
      <w:r>
        <w:rPr>
          <w:rFonts w:cs="Arial"/>
        </w:rPr>
        <w:t xml:space="preserve"> costs. </w:t>
      </w:r>
      <w:r w:rsidR="006158F8">
        <w:rPr>
          <w:rFonts w:cs="Arial"/>
        </w:rPr>
        <w:t>Additionally</w:t>
      </w:r>
      <w:r w:rsidR="00C33243">
        <w:rPr>
          <w:rFonts w:cs="Arial"/>
        </w:rPr>
        <w:t>, the revenue is not enough in terms of the assets</w:t>
      </w:r>
      <w:r w:rsidR="006158F8">
        <w:rPr>
          <w:rFonts w:cs="Arial"/>
        </w:rPr>
        <w:t xml:space="preserve"> and </w:t>
      </w:r>
      <w:r w:rsidR="00C33243">
        <w:rPr>
          <w:rFonts w:cs="Arial"/>
        </w:rPr>
        <w:t xml:space="preserve">they have </w:t>
      </w:r>
      <w:r w:rsidR="006158F8">
        <w:rPr>
          <w:rFonts w:cs="Arial"/>
        </w:rPr>
        <w:t>increased</w:t>
      </w:r>
      <w:r w:rsidR="00C33243">
        <w:rPr>
          <w:rFonts w:cs="Arial"/>
        </w:rPr>
        <w:t xml:space="preserve"> </w:t>
      </w:r>
      <w:r w:rsidR="006158F8">
        <w:rPr>
          <w:rFonts w:cs="Arial"/>
        </w:rPr>
        <w:t>long-</w:t>
      </w:r>
      <w:r w:rsidR="00C33243">
        <w:rPr>
          <w:rFonts w:cs="Arial"/>
        </w:rPr>
        <w:t>term loans in 2020</w:t>
      </w:r>
      <w:r w:rsidR="006158F8">
        <w:rPr>
          <w:rFonts w:cs="Arial"/>
        </w:rPr>
        <w:t>. It</w:t>
      </w:r>
      <w:r w:rsidR="00C33243">
        <w:rPr>
          <w:rFonts w:cs="Arial"/>
        </w:rPr>
        <w:t xml:space="preserve"> is alarming as they have low funds to pay interests. </w:t>
      </w:r>
      <w:r w:rsidR="00072043">
        <w:rPr>
          <w:rFonts w:cs="Arial"/>
        </w:rPr>
        <w:t xml:space="preserve">The good thing is, </w:t>
      </w:r>
      <w:r w:rsidR="00935450">
        <w:rPr>
          <w:rFonts w:cs="Arial"/>
        </w:rPr>
        <w:t xml:space="preserve">that </w:t>
      </w:r>
      <w:r w:rsidR="00072043">
        <w:rPr>
          <w:rFonts w:cs="Arial"/>
        </w:rPr>
        <w:t xml:space="preserve">they have good debtor days and creditor days </w:t>
      </w:r>
      <w:r w:rsidR="000F123C">
        <w:rPr>
          <w:rFonts w:cs="Arial"/>
        </w:rPr>
        <w:t>ratios</w:t>
      </w:r>
      <w:r w:rsidR="00072043">
        <w:rPr>
          <w:rFonts w:cs="Arial"/>
        </w:rPr>
        <w:t xml:space="preserve">, which means they </w:t>
      </w:r>
      <w:r w:rsidR="00935450">
        <w:rPr>
          <w:rFonts w:cs="Arial"/>
        </w:rPr>
        <w:t>can</w:t>
      </w:r>
      <w:r w:rsidR="00072043">
        <w:rPr>
          <w:rFonts w:cs="Arial"/>
        </w:rPr>
        <w:t xml:space="preserve"> collect receivables early enough. Still</w:t>
      </w:r>
      <w:r w:rsidR="00935450">
        <w:rPr>
          <w:rFonts w:cs="Arial"/>
        </w:rPr>
        <w:t>,</w:t>
      </w:r>
      <w:r w:rsidR="00072043">
        <w:rPr>
          <w:rFonts w:cs="Arial"/>
        </w:rPr>
        <w:t xml:space="preserve"> it has lessened in recent years</w:t>
      </w:r>
      <w:r w:rsidR="000F123C">
        <w:rPr>
          <w:rFonts w:cs="Arial"/>
        </w:rPr>
        <w:t>, pointing to probable issues</w:t>
      </w:r>
      <w:r w:rsidR="00072043">
        <w:rPr>
          <w:rFonts w:cs="Arial"/>
        </w:rPr>
        <w:t>.</w:t>
      </w:r>
      <w:r w:rsidR="000F123C">
        <w:rPr>
          <w:rFonts w:cs="Arial"/>
        </w:rPr>
        <w:t xml:space="preserve"> Finally, it can be said </w:t>
      </w:r>
      <w:proofErr w:type="gramStart"/>
      <w:r w:rsidR="000F123C">
        <w:rPr>
          <w:rFonts w:cs="Arial"/>
        </w:rPr>
        <w:t>that,</w:t>
      </w:r>
      <w:proofErr w:type="gramEnd"/>
      <w:r w:rsidR="000F123C">
        <w:rPr>
          <w:rFonts w:cs="Arial"/>
        </w:rPr>
        <w:t xml:space="preserve"> the reason behind the reduction in </w:t>
      </w:r>
      <w:r w:rsidR="006158F8">
        <w:rPr>
          <w:rFonts w:cs="Arial"/>
        </w:rPr>
        <w:t>performance might be the result of Covid-19 pandemic. As the impact is much lower now, with proper strategy, they may expect to perform better soon.</w:t>
      </w:r>
    </w:p>
    <w:p w14:paraId="05BE2657" w14:textId="77777777" w:rsidR="00805138" w:rsidRPr="00BE3BBE" w:rsidRDefault="00805138">
      <w:pPr>
        <w:jc w:val="left"/>
        <w:rPr>
          <w:rFonts w:cs="Arial"/>
        </w:rPr>
      </w:pPr>
      <w:r w:rsidRPr="00BE3BBE">
        <w:rPr>
          <w:rFonts w:cs="Arial"/>
        </w:rPr>
        <w:br w:type="page"/>
      </w:r>
    </w:p>
    <w:p w14:paraId="05BE2658" w14:textId="77777777" w:rsidR="00D47CCD" w:rsidRDefault="00805138" w:rsidP="00805138">
      <w:pPr>
        <w:pStyle w:val="Heading1"/>
        <w:rPr>
          <w:rFonts w:cs="Arial"/>
        </w:rPr>
      </w:pPr>
      <w:bookmarkStart w:id="33" w:name="_Toc103622122"/>
      <w:bookmarkStart w:id="34" w:name="_Toc103622163"/>
      <w:r w:rsidRPr="00BE3BBE">
        <w:rPr>
          <w:rFonts w:cs="Arial"/>
        </w:rPr>
        <w:lastRenderedPageBreak/>
        <w:t>Bibliography</w:t>
      </w:r>
      <w:bookmarkEnd w:id="33"/>
      <w:bookmarkEnd w:id="34"/>
    </w:p>
    <w:p w14:paraId="05BE2659" w14:textId="77777777" w:rsidR="000A7783" w:rsidRPr="002B43BF" w:rsidRDefault="000A7783" w:rsidP="000A7783">
      <w:pPr>
        <w:spacing w:after="120" w:line="360" w:lineRule="auto"/>
        <w:rPr>
          <w:rFonts w:cs="Arial"/>
        </w:rPr>
      </w:pPr>
      <w:r w:rsidRPr="002B43BF">
        <w:rPr>
          <w:rFonts w:cs="Arial"/>
        </w:rPr>
        <w:t xml:space="preserve">Herath, S.K. and </w:t>
      </w:r>
      <w:proofErr w:type="spellStart"/>
      <w:r w:rsidRPr="002B43BF">
        <w:rPr>
          <w:rFonts w:cs="Arial"/>
        </w:rPr>
        <w:t>Albarqi</w:t>
      </w:r>
      <w:proofErr w:type="spellEnd"/>
      <w:r w:rsidRPr="002B43BF">
        <w:rPr>
          <w:rFonts w:cs="Arial"/>
        </w:rPr>
        <w:t xml:space="preserve">, N., 2017. Financial reporting quality: A literature review. </w:t>
      </w:r>
      <w:r w:rsidRPr="002B43BF">
        <w:rPr>
          <w:rFonts w:cs="Arial"/>
          <w:i/>
          <w:iCs/>
        </w:rPr>
        <w:t>International Journal of Business Management and Commerce</w:t>
      </w:r>
      <w:r w:rsidRPr="002B43BF">
        <w:rPr>
          <w:rFonts w:cs="Arial"/>
        </w:rPr>
        <w:t xml:space="preserve">, </w:t>
      </w:r>
      <w:r w:rsidRPr="002B43BF">
        <w:rPr>
          <w:rFonts w:cs="Arial"/>
          <w:i/>
          <w:iCs/>
        </w:rPr>
        <w:t>2</w:t>
      </w:r>
      <w:r w:rsidRPr="002B43BF">
        <w:rPr>
          <w:rFonts w:cs="Arial"/>
        </w:rPr>
        <w:t>(2), pp.1-14.</w:t>
      </w:r>
    </w:p>
    <w:p w14:paraId="05BE265A" w14:textId="77777777" w:rsidR="000A7783" w:rsidRDefault="000A7783" w:rsidP="000A7783">
      <w:pPr>
        <w:spacing w:after="120" w:line="360" w:lineRule="auto"/>
        <w:rPr>
          <w:rFonts w:eastAsia="Times New Roman" w:cs="Arial"/>
          <w:szCs w:val="24"/>
        </w:rPr>
      </w:pPr>
      <w:proofErr w:type="spellStart"/>
      <w:r w:rsidRPr="00334953">
        <w:rPr>
          <w:rFonts w:eastAsia="Times New Roman" w:cs="Arial"/>
          <w:szCs w:val="24"/>
        </w:rPr>
        <w:t>Hidayat</w:t>
      </w:r>
      <w:proofErr w:type="spellEnd"/>
      <w:r w:rsidRPr="00334953">
        <w:rPr>
          <w:rFonts w:eastAsia="Times New Roman" w:cs="Arial"/>
          <w:szCs w:val="24"/>
        </w:rPr>
        <w:t xml:space="preserve">, F. and </w:t>
      </w:r>
      <w:proofErr w:type="spellStart"/>
      <w:r w:rsidRPr="00334953">
        <w:rPr>
          <w:rFonts w:eastAsia="Times New Roman" w:cs="Arial"/>
          <w:szCs w:val="24"/>
        </w:rPr>
        <w:t>Kurniasih</w:t>
      </w:r>
      <w:proofErr w:type="spellEnd"/>
      <w:r w:rsidRPr="00334953">
        <w:rPr>
          <w:rFonts w:eastAsia="Times New Roman" w:cs="Arial"/>
          <w:szCs w:val="24"/>
        </w:rPr>
        <w:t xml:space="preserve">, A., 2022. Financial Performance Determinants of Financing Companies Listed on the Indonesia Stock Exchange. </w:t>
      </w:r>
      <w:r w:rsidRPr="00334953">
        <w:rPr>
          <w:rFonts w:eastAsia="Times New Roman" w:cs="Arial"/>
          <w:i/>
          <w:iCs/>
          <w:szCs w:val="24"/>
        </w:rPr>
        <w:t>Saudi J Econ Fin</w:t>
      </w:r>
      <w:r w:rsidRPr="00334953">
        <w:rPr>
          <w:rFonts w:eastAsia="Times New Roman" w:cs="Arial"/>
          <w:szCs w:val="24"/>
        </w:rPr>
        <w:t xml:space="preserve">, </w:t>
      </w:r>
      <w:r w:rsidRPr="00334953">
        <w:rPr>
          <w:rFonts w:eastAsia="Times New Roman" w:cs="Arial"/>
          <w:i/>
          <w:iCs/>
          <w:szCs w:val="24"/>
        </w:rPr>
        <w:t>6</w:t>
      </w:r>
      <w:r w:rsidRPr="00334953">
        <w:rPr>
          <w:rFonts w:eastAsia="Times New Roman" w:cs="Arial"/>
          <w:szCs w:val="24"/>
        </w:rPr>
        <w:t>(4), pp.141-146.</w:t>
      </w:r>
    </w:p>
    <w:p w14:paraId="05BE265B" w14:textId="77777777" w:rsidR="000A7783" w:rsidRDefault="000A7783" w:rsidP="000A7783">
      <w:pPr>
        <w:spacing w:after="120" w:line="360" w:lineRule="auto"/>
        <w:rPr>
          <w:rFonts w:eastAsia="Times New Roman" w:cs="Arial"/>
          <w:szCs w:val="24"/>
        </w:rPr>
      </w:pPr>
      <w:r>
        <w:rPr>
          <w:rFonts w:eastAsia="Times New Roman" w:cs="Arial"/>
          <w:szCs w:val="24"/>
        </w:rPr>
        <w:t xml:space="preserve">Husain, T. and </w:t>
      </w:r>
      <w:proofErr w:type="spellStart"/>
      <w:r>
        <w:rPr>
          <w:rFonts w:eastAsia="Times New Roman" w:cs="Arial"/>
          <w:szCs w:val="24"/>
        </w:rPr>
        <w:t>Sunardi</w:t>
      </w:r>
      <w:proofErr w:type="spellEnd"/>
      <w:r>
        <w:rPr>
          <w:rFonts w:eastAsia="Times New Roman" w:cs="Arial"/>
          <w:szCs w:val="24"/>
        </w:rPr>
        <w:t>, N</w:t>
      </w:r>
      <w:r w:rsidRPr="0054451C">
        <w:rPr>
          <w:rFonts w:eastAsia="Times New Roman" w:cs="Arial"/>
          <w:szCs w:val="24"/>
        </w:rPr>
        <w:t xml:space="preserve"> 2020. Firm's Value Prediction Based on Profitability Ratios and Dividend Policy. </w:t>
      </w:r>
      <w:r w:rsidRPr="0054451C">
        <w:rPr>
          <w:rFonts w:eastAsia="Times New Roman" w:cs="Arial"/>
          <w:i/>
          <w:iCs/>
          <w:szCs w:val="24"/>
        </w:rPr>
        <w:t>Finance &amp; Economics Review</w:t>
      </w:r>
      <w:r w:rsidRPr="0054451C">
        <w:rPr>
          <w:rFonts w:eastAsia="Times New Roman" w:cs="Arial"/>
          <w:szCs w:val="24"/>
        </w:rPr>
        <w:t xml:space="preserve">, </w:t>
      </w:r>
      <w:r w:rsidRPr="0054451C">
        <w:rPr>
          <w:rFonts w:eastAsia="Times New Roman" w:cs="Arial"/>
          <w:i/>
          <w:iCs/>
          <w:szCs w:val="24"/>
        </w:rPr>
        <w:t>2</w:t>
      </w:r>
      <w:r w:rsidRPr="0054451C">
        <w:rPr>
          <w:rFonts w:eastAsia="Times New Roman" w:cs="Arial"/>
          <w:szCs w:val="24"/>
        </w:rPr>
        <w:t>(2), pp.13-26.</w:t>
      </w:r>
    </w:p>
    <w:p w14:paraId="05BE265C" w14:textId="77777777" w:rsidR="000A7783" w:rsidRPr="002B43BF" w:rsidRDefault="000A7783" w:rsidP="000A7783">
      <w:pPr>
        <w:spacing w:after="120" w:line="360" w:lineRule="auto"/>
        <w:rPr>
          <w:rFonts w:cs="Arial"/>
        </w:rPr>
      </w:pPr>
      <w:proofErr w:type="spellStart"/>
      <w:r w:rsidRPr="002B43BF">
        <w:rPr>
          <w:rFonts w:cs="Arial"/>
        </w:rPr>
        <w:t>Kadim</w:t>
      </w:r>
      <w:proofErr w:type="spellEnd"/>
      <w:r w:rsidRPr="002B43BF">
        <w:rPr>
          <w:rFonts w:cs="Arial"/>
        </w:rPr>
        <w:t xml:space="preserve">, A., </w:t>
      </w:r>
      <w:proofErr w:type="spellStart"/>
      <w:r w:rsidRPr="002B43BF">
        <w:rPr>
          <w:rFonts w:cs="Arial"/>
        </w:rPr>
        <w:t>Sunardi</w:t>
      </w:r>
      <w:proofErr w:type="spellEnd"/>
      <w:r w:rsidRPr="002B43BF">
        <w:rPr>
          <w:rFonts w:cs="Arial"/>
        </w:rPr>
        <w:t xml:space="preserve">, N. and Husain, T., 2020. The modeling firm's value based on financial ratios, intellectual capital and dividend policy. </w:t>
      </w:r>
      <w:r w:rsidRPr="002B43BF">
        <w:rPr>
          <w:rFonts w:cs="Arial"/>
          <w:i/>
          <w:iCs/>
        </w:rPr>
        <w:t>Accounting</w:t>
      </w:r>
      <w:r w:rsidRPr="002B43BF">
        <w:rPr>
          <w:rFonts w:cs="Arial"/>
        </w:rPr>
        <w:t xml:space="preserve">, </w:t>
      </w:r>
      <w:r w:rsidRPr="002B43BF">
        <w:rPr>
          <w:rFonts w:cs="Arial"/>
          <w:i/>
          <w:iCs/>
        </w:rPr>
        <w:t>6</w:t>
      </w:r>
      <w:r w:rsidRPr="002B43BF">
        <w:rPr>
          <w:rFonts w:cs="Arial"/>
        </w:rPr>
        <w:t>(5), pp.859-870.</w:t>
      </w:r>
    </w:p>
    <w:p w14:paraId="05BE265D" w14:textId="77777777" w:rsidR="000A7783" w:rsidRPr="00334953" w:rsidRDefault="000A7783" w:rsidP="000A7783">
      <w:pPr>
        <w:spacing w:after="120" w:line="360" w:lineRule="auto"/>
        <w:rPr>
          <w:rFonts w:eastAsia="Times New Roman" w:cs="Arial"/>
          <w:szCs w:val="24"/>
        </w:rPr>
      </w:pPr>
      <w:proofErr w:type="spellStart"/>
      <w:r w:rsidRPr="00334953">
        <w:rPr>
          <w:rFonts w:eastAsia="Times New Roman" w:cs="Arial"/>
          <w:szCs w:val="24"/>
        </w:rPr>
        <w:t>Kiarie</w:t>
      </w:r>
      <w:proofErr w:type="spellEnd"/>
      <w:r w:rsidRPr="00334953">
        <w:rPr>
          <w:rFonts w:eastAsia="Times New Roman" w:cs="Arial"/>
          <w:szCs w:val="24"/>
        </w:rPr>
        <w:t xml:space="preserve">, J., Kirori, G.N. and Wachira, D., 2019. Moderating Effect of Gearing Ratio on the Relationship between Loyalty Programs and Financial Performance of Selected Firms in Service Industry in Kenya. </w:t>
      </w:r>
      <w:r w:rsidRPr="00334953">
        <w:rPr>
          <w:rFonts w:eastAsia="Times New Roman" w:cs="Arial"/>
          <w:i/>
          <w:iCs/>
          <w:szCs w:val="24"/>
        </w:rPr>
        <w:t>Journal of Economics</w:t>
      </w:r>
      <w:r w:rsidRPr="00334953">
        <w:rPr>
          <w:rFonts w:eastAsia="Times New Roman" w:cs="Arial"/>
          <w:szCs w:val="24"/>
        </w:rPr>
        <w:t xml:space="preserve">, </w:t>
      </w:r>
      <w:r w:rsidRPr="00334953">
        <w:rPr>
          <w:rFonts w:eastAsia="Times New Roman" w:cs="Arial"/>
          <w:i/>
          <w:iCs/>
          <w:szCs w:val="24"/>
        </w:rPr>
        <w:t>3</w:t>
      </w:r>
      <w:r w:rsidRPr="00334953">
        <w:rPr>
          <w:rFonts w:eastAsia="Times New Roman" w:cs="Arial"/>
          <w:szCs w:val="24"/>
        </w:rPr>
        <w:t>(1), pp.1-14.</w:t>
      </w:r>
    </w:p>
    <w:p w14:paraId="05BE265E" w14:textId="77777777" w:rsidR="000A7783" w:rsidRDefault="000A7783" w:rsidP="000A7783">
      <w:pPr>
        <w:spacing w:after="120" w:line="360" w:lineRule="auto"/>
        <w:rPr>
          <w:rFonts w:eastAsia="Times New Roman" w:cs="Arial"/>
          <w:szCs w:val="24"/>
        </w:rPr>
      </w:pPr>
      <w:r w:rsidRPr="009B71AD">
        <w:rPr>
          <w:rFonts w:eastAsia="Times New Roman" w:cs="Arial"/>
          <w:szCs w:val="24"/>
        </w:rPr>
        <w:t xml:space="preserve">Li, Y. and </w:t>
      </w:r>
      <w:proofErr w:type="spellStart"/>
      <w:r w:rsidRPr="009B71AD">
        <w:rPr>
          <w:rFonts w:eastAsia="Times New Roman" w:cs="Arial"/>
          <w:szCs w:val="24"/>
        </w:rPr>
        <w:t>Singal</w:t>
      </w:r>
      <w:proofErr w:type="spellEnd"/>
      <w:r w:rsidRPr="009B71AD">
        <w:rPr>
          <w:rFonts w:eastAsia="Times New Roman" w:cs="Arial"/>
          <w:szCs w:val="24"/>
        </w:rPr>
        <w:t xml:space="preserve">, M., 2019. Capital structure in the hospitality industry: The role of the asset-light and fee-oriented strategy. </w:t>
      </w:r>
      <w:r w:rsidRPr="009B71AD">
        <w:rPr>
          <w:rFonts w:eastAsia="Times New Roman" w:cs="Arial"/>
          <w:i/>
          <w:iCs/>
          <w:szCs w:val="24"/>
        </w:rPr>
        <w:t>Tourism Management</w:t>
      </w:r>
      <w:r w:rsidRPr="009B71AD">
        <w:rPr>
          <w:rFonts w:eastAsia="Times New Roman" w:cs="Arial"/>
          <w:szCs w:val="24"/>
        </w:rPr>
        <w:t xml:space="preserve">, </w:t>
      </w:r>
      <w:r w:rsidRPr="009B71AD">
        <w:rPr>
          <w:rFonts w:eastAsia="Times New Roman" w:cs="Arial"/>
          <w:i/>
          <w:iCs/>
          <w:szCs w:val="24"/>
        </w:rPr>
        <w:t>70</w:t>
      </w:r>
      <w:r w:rsidRPr="009B71AD">
        <w:rPr>
          <w:rFonts w:eastAsia="Times New Roman" w:cs="Arial"/>
          <w:szCs w:val="24"/>
        </w:rPr>
        <w:t>, pp.124-133.</w:t>
      </w:r>
    </w:p>
    <w:p w14:paraId="05BE265F" w14:textId="77777777" w:rsidR="000A7783" w:rsidRPr="0054451C" w:rsidRDefault="000A7783" w:rsidP="000A7783">
      <w:pPr>
        <w:spacing w:after="120" w:line="360" w:lineRule="auto"/>
        <w:rPr>
          <w:rFonts w:eastAsia="Times New Roman" w:cs="Arial"/>
          <w:szCs w:val="24"/>
        </w:rPr>
      </w:pPr>
      <w:proofErr w:type="spellStart"/>
      <w:r w:rsidRPr="0054451C">
        <w:rPr>
          <w:rFonts w:eastAsia="Times New Roman" w:cs="Arial"/>
          <w:szCs w:val="24"/>
        </w:rPr>
        <w:t>Madus</w:t>
      </w:r>
      <w:r>
        <w:rPr>
          <w:rFonts w:eastAsia="Times New Roman" w:cs="Arial"/>
          <w:szCs w:val="24"/>
        </w:rPr>
        <w:t>hanka</w:t>
      </w:r>
      <w:proofErr w:type="spellEnd"/>
      <w:r>
        <w:rPr>
          <w:rFonts w:eastAsia="Times New Roman" w:cs="Arial"/>
          <w:szCs w:val="24"/>
        </w:rPr>
        <w:t xml:space="preserve">, K.H.I. and </w:t>
      </w:r>
      <w:proofErr w:type="spellStart"/>
      <w:r>
        <w:rPr>
          <w:rFonts w:eastAsia="Times New Roman" w:cs="Arial"/>
          <w:szCs w:val="24"/>
        </w:rPr>
        <w:t>Jathurika</w:t>
      </w:r>
      <w:proofErr w:type="spellEnd"/>
      <w:r>
        <w:rPr>
          <w:rFonts w:eastAsia="Times New Roman" w:cs="Arial"/>
          <w:szCs w:val="24"/>
        </w:rPr>
        <w:t>, M</w:t>
      </w:r>
      <w:r w:rsidRPr="0054451C">
        <w:rPr>
          <w:rFonts w:eastAsia="Times New Roman" w:cs="Arial"/>
          <w:szCs w:val="24"/>
        </w:rPr>
        <w:t xml:space="preserve"> 2018. The impact of liquidity ratios on profitability. </w:t>
      </w:r>
      <w:r w:rsidRPr="0054451C">
        <w:rPr>
          <w:rFonts w:eastAsia="Times New Roman" w:cs="Arial"/>
          <w:i/>
          <w:iCs/>
          <w:szCs w:val="24"/>
        </w:rPr>
        <w:t>International Research Journal of Advanced Engineering and Science</w:t>
      </w:r>
      <w:r w:rsidRPr="0054451C">
        <w:rPr>
          <w:rFonts w:eastAsia="Times New Roman" w:cs="Arial"/>
          <w:szCs w:val="24"/>
        </w:rPr>
        <w:t xml:space="preserve">, </w:t>
      </w:r>
      <w:r w:rsidRPr="0054451C">
        <w:rPr>
          <w:rFonts w:eastAsia="Times New Roman" w:cs="Arial"/>
          <w:i/>
          <w:iCs/>
          <w:szCs w:val="24"/>
        </w:rPr>
        <w:t>3</w:t>
      </w:r>
      <w:r w:rsidRPr="0054451C">
        <w:rPr>
          <w:rFonts w:eastAsia="Times New Roman" w:cs="Arial"/>
          <w:szCs w:val="24"/>
        </w:rPr>
        <w:t>(4), pp.157-161.</w:t>
      </w:r>
    </w:p>
    <w:p w14:paraId="05BE2660" w14:textId="77777777" w:rsidR="000A7783" w:rsidRPr="009B71AD" w:rsidRDefault="000A7783" w:rsidP="000A7783">
      <w:pPr>
        <w:spacing w:after="120" w:line="360" w:lineRule="auto"/>
        <w:rPr>
          <w:rFonts w:eastAsia="Times New Roman" w:cs="Arial"/>
          <w:szCs w:val="24"/>
        </w:rPr>
      </w:pPr>
      <w:r w:rsidRPr="009B71AD">
        <w:rPr>
          <w:rFonts w:eastAsia="Times New Roman" w:cs="Arial"/>
          <w:szCs w:val="24"/>
        </w:rPr>
        <w:t xml:space="preserve">Motta, V. and Sharma, A., 2020. Lending technologies and access to finance for SMEs in the hospitality industry. </w:t>
      </w:r>
      <w:r w:rsidRPr="009B71AD">
        <w:rPr>
          <w:rFonts w:eastAsia="Times New Roman" w:cs="Arial"/>
          <w:i/>
          <w:iCs/>
          <w:szCs w:val="24"/>
        </w:rPr>
        <w:t>International Journal of Hospitality Management</w:t>
      </w:r>
      <w:r w:rsidRPr="009B71AD">
        <w:rPr>
          <w:rFonts w:eastAsia="Times New Roman" w:cs="Arial"/>
          <w:szCs w:val="24"/>
        </w:rPr>
        <w:t xml:space="preserve">, </w:t>
      </w:r>
      <w:r w:rsidRPr="009B71AD">
        <w:rPr>
          <w:rFonts w:eastAsia="Times New Roman" w:cs="Arial"/>
          <w:i/>
          <w:iCs/>
          <w:szCs w:val="24"/>
        </w:rPr>
        <w:t>86</w:t>
      </w:r>
      <w:r w:rsidRPr="009B71AD">
        <w:rPr>
          <w:rFonts w:eastAsia="Times New Roman" w:cs="Arial"/>
          <w:szCs w:val="24"/>
        </w:rPr>
        <w:t>, p.102371.</w:t>
      </w:r>
    </w:p>
    <w:p w14:paraId="05BE2661" w14:textId="77777777" w:rsidR="000A7783" w:rsidRDefault="000A7783" w:rsidP="000A7783">
      <w:pPr>
        <w:spacing w:after="120" w:line="360" w:lineRule="auto"/>
        <w:rPr>
          <w:rFonts w:eastAsia="Times New Roman" w:cs="Arial"/>
          <w:szCs w:val="24"/>
        </w:rPr>
      </w:pPr>
      <w:proofErr w:type="spellStart"/>
      <w:r w:rsidRPr="0054451C">
        <w:rPr>
          <w:rFonts w:eastAsia="Times New Roman" w:cs="Arial"/>
          <w:szCs w:val="24"/>
        </w:rPr>
        <w:t>Patin</w:t>
      </w:r>
      <w:proofErr w:type="spellEnd"/>
      <w:r w:rsidRPr="0054451C">
        <w:rPr>
          <w:rFonts w:eastAsia="Times New Roman" w:cs="Arial"/>
          <w:szCs w:val="24"/>
        </w:rPr>
        <w:t>, J</w:t>
      </w:r>
      <w:r>
        <w:rPr>
          <w:rFonts w:eastAsia="Times New Roman" w:cs="Arial"/>
          <w:szCs w:val="24"/>
        </w:rPr>
        <w:t>.C., Rahman, M. and Mustafa, M</w:t>
      </w:r>
      <w:r w:rsidRPr="0054451C">
        <w:rPr>
          <w:rFonts w:eastAsia="Times New Roman" w:cs="Arial"/>
          <w:szCs w:val="24"/>
        </w:rPr>
        <w:t xml:space="preserve"> 2020. Impact of total asset turnover ratios on equity returns: dynamic panel data analyses. </w:t>
      </w:r>
      <w:r w:rsidRPr="0054451C">
        <w:rPr>
          <w:rFonts w:eastAsia="Times New Roman" w:cs="Arial"/>
          <w:i/>
          <w:iCs/>
          <w:szCs w:val="24"/>
        </w:rPr>
        <w:t>Journal of Accounting, Business and Management (JABM)</w:t>
      </w:r>
      <w:r w:rsidRPr="0054451C">
        <w:rPr>
          <w:rFonts w:eastAsia="Times New Roman" w:cs="Arial"/>
          <w:szCs w:val="24"/>
        </w:rPr>
        <w:t xml:space="preserve">, </w:t>
      </w:r>
      <w:r w:rsidRPr="0054451C">
        <w:rPr>
          <w:rFonts w:eastAsia="Times New Roman" w:cs="Arial"/>
          <w:i/>
          <w:iCs/>
          <w:szCs w:val="24"/>
        </w:rPr>
        <w:t>27</w:t>
      </w:r>
      <w:r w:rsidRPr="0054451C">
        <w:rPr>
          <w:rFonts w:eastAsia="Times New Roman" w:cs="Arial"/>
          <w:szCs w:val="24"/>
        </w:rPr>
        <w:t>(1), pp.19-29.</w:t>
      </w:r>
    </w:p>
    <w:p w14:paraId="05BE2662" w14:textId="77777777" w:rsidR="000A7783" w:rsidRDefault="000A7783" w:rsidP="000A7783">
      <w:pPr>
        <w:spacing w:after="120" w:line="360" w:lineRule="auto"/>
        <w:rPr>
          <w:color w:val="000000"/>
        </w:rPr>
      </w:pPr>
      <w:r>
        <w:rPr>
          <w:color w:val="000000"/>
        </w:rPr>
        <w:t xml:space="preserve">The KPI Examples Review 2017 </w:t>
      </w:r>
      <w:r w:rsidRPr="001443C1">
        <w:rPr>
          <w:i/>
          <w:color w:val="000000"/>
        </w:rPr>
        <w:t>List of Top 20 Financial KPI: Examples of the Most Popular Key Performance I</w:t>
      </w:r>
      <w:r>
        <w:rPr>
          <w:i/>
          <w:color w:val="000000"/>
        </w:rPr>
        <w:t xml:space="preserve">ndicators Defined by Categories </w:t>
      </w:r>
      <w:r>
        <w:rPr>
          <w:color w:val="000000"/>
        </w:rPr>
        <w:t>Available at:</w:t>
      </w:r>
      <w:r w:rsidRPr="001443C1">
        <w:t xml:space="preserve"> </w:t>
      </w:r>
      <w:r w:rsidRPr="007537EA">
        <w:rPr>
          <w:color w:val="000000"/>
        </w:rPr>
        <w:t>http://kpi-examples.blogspot.com/2017/06/what-are-key-financial-indicators-of-a-company.html</w:t>
      </w:r>
      <w:r>
        <w:rPr>
          <w:color w:val="000000"/>
        </w:rPr>
        <w:t xml:space="preserve"> Accessed: 16 May, 2022</w:t>
      </w:r>
    </w:p>
    <w:p w14:paraId="05BE2663" w14:textId="77777777" w:rsidR="000A7783" w:rsidRPr="000A7783" w:rsidRDefault="000A7783" w:rsidP="000A7783">
      <w:pPr>
        <w:spacing w:after="120" w:line="360" w:lineRule="auto"/>
        <w:rPr>
          <w:rFonts w:eastAsia="Times New Roman" w:cs="Arial"/>
          <w:szCs w:val="24"/>
        </w:rPr>
      </w:pPr>
      <w:proofErr w:type="spellStart"/>
      <w:r w:rsidRPr="000A7783">
        <w:rPr>
          <w:rFonts w:eastAsia="Times New Roman" w:cs="Arial"/>
          <w:szCs w:val="24"/>
        </w:rPr>
        <w:t>Vasilev</w:t>
      </w:r>
      <w:proofErr w:type="spellEnd"/>
      <w:r w:rsidRPr="000A7783">
        <w:rPr>
          <w:rFonts w:eastAsia="Times New Roman" w:cs="Arial"/>
          <w:szCs w:val="24"/>
        </w:rPr>
        <w:t xml:space="preserve">, D., </w:t>
      </w:r>
      <w:proofErr w:type="spellStart"/>
      <w:r w:rsidRPr="000A7783">
        <w:rPr>
          <w:rFonts w:eastAsia="Times New Roman" w:cs="Arial"/>
          <w:szCs w:val="24"/>
        </w:rPr>
        <w:t>Cvetković</w:t>
      </w:r>
      <w:proofErr w:type="spellEnd"/>
      <w:r w:rsidRPr="000A7783">
        <w:rPr>
          <w:rFonts w:eastAsia="Times New Roman" w:cs="Arial"/>
          <w:szCs w:val="24"/>
        </w:rPr>
        <w:t xml:space="preserve">, D. and </w:t>
      </w:r>
      <w:proofErr w:type="spellStart"/>
      <w:r w:rsidRPr="000A7783">
        <w:rPr>
          <w:rFonts w:eastAsia="Times New Roman" w:cs="Arial"/>
          <w:szCs w:val="24"/>
        </w:rPr>
        <w:t>Grgur</w:t>
      </w:r>
      <w:proofErr w:type="spellEnd"/>
      <w:r w:rsidRPr="000A7783">
        <w:rPr>
          <w:rFonts w:eastAsia="Times New Roman" w:cs="Arial"/>
          <w:szCs w:val="24"/>
        </w:rPr>
        <w:t xml:space="preserve">, A., 2019. Detection of fraudulent actions in the financial statements with particular emphasis on hotel companies. </w:t>
      </w:r>
      <w:proofErr w:type="spellStart"/>
      <w:r w:rsidRPr="000A7783">
        <w:rPr>
          <w:rFonts w:eastAsia="Times New Roman" w:cs="Arial"/>
          <w:i/>
          <w:iCs/>
          <w:szCs w:val="24"/>
        </w:rPr>
        <w:t>Менаџмент</w:t>
      </w:r>
      <w:proofErr w:type="spellEnd"/>
      <w:r w:rsidRPr="000A7783">
        <w:rPr>
          <w:rFonts w:eastAsia="Times New Roman" w:cs="Arial"/>
          <w:i/>
          <w:iCs/>
          <w:szCs w:val="24"/>
        </w:rPr>
        <w:t xml:space="preserve"> у </w:t>
      </w:r>
      <w:proofErr w:type="spellStart"/>
      <w:r w:rsidRPr="000A7783">
        <w:rPr>
          <w:rFonts w:eastAsia="Times New Roman" w:cs="Arial"/>
          <w:i/>
          <w:iCs/>
          <w:szCs w:val="24"/>
        </w:rPr>
        <w:t>хотелијерству</w:t>
      </w:r>
      <w:proofErr w:type="spellEnd"/>
      <w:r w:rsidRPr="000A7783">
        <w:rPr>
          <w:rFonts w:eastAsia="Times New Roman" w:cs="Arial"/>
          <w:i/>
          <w:iCs/>
          <w:szCs w:val="24"/>
        </w:rPr>
        <w:t xml:space="preserve"> и </w:t>
      </w:r>
      <w:proofErr w:type="spellStart"/>
      <w:r w:rsidRPr="000A7783">
        <w:rPr>
          <w:rFonts w:eastAsia="Times New Roman" w:cs="Arial"/>
          <w:i/>
          <w:iCs/>
          <w:szCs w:val="24"/>
        </w:rPr>
        <w:t>туризму</w:t>
      </w:r>
      <w:proofErr w:type="spellEnd"/>
      <w:r w:rsidRPr="000A7783">
        <w:rPr>
          <w:rFonts w:eastAsia="Times New Roman" w:cs="Arial"/>
          <w:szCs w:val="24"/>
        </w:rPr>
        <w:t xml:space="preserve">, </w:t>
      </w:r>
      <w:r w:rsidRPr="000A7783">
        <w:rPr>
          <w:rFonts w:eastAsia="Times New Roman" w:cs="Arial"/>
          <w:i/>
          <w:iCs/>
          <w:szCs w:val="24"/>
        </w:rPr>
        <w:t>7</w:t>
      </w:r>
      <w:r w:rsidRPr="000A7783">
        <w:rPr>
          <w:rFonts w:eastAsia="Times New Roman" w:cs="Arial"/>
          <w:szCs w:val="24"/>
        </w:rPr>
        <w:t>(1), pp.115-125.</w:t>
      </w:r>
    </w:p>
    <w:p w14:paraId="05BE2664" w14:textId="77777777" w:rsidR="000A7783" w:rsidRDefault="000A7783" w:rsidP="000A7783">
      <w:pPr>
        <w:spacing w:after="120" w:line="360" w:lineRule="auto"/>
        <w:rPr>
          <w:rFonts w:eastAsia="Times New Roman" w:cs="Arial"/>
          <w:szCs w:val="24"/>
        </w:rPr>
      </w:pPr>
      <w:r w:rsidRPr="0054451C">
        <w:rPr>
          <w:rFonts w:eastAsia="Times New Roman" w:cs="Arial"/>
          <w:szCs w:val="24"/>
        </w:rPr>
        <w:lastRenderedPageBreak/>
        <w:t>Zorn, A., Esteves, M., Baur, I. and Lip</w:t>
      </w:r>
      <w:r>
        <w:rPr>
          <w:rFonts w:eastAsia="Times New Roman" w:cs="Arial"/>
          <w:szCs w:val="24"/>
        </w:rPr>
        <w:t>s, M</w:t>
      </w:r>
      <w:r w:rsidRPr="0054451C">
        <w:rPr>
          <w:rFonts w:eastAsia="Times New Roman" w:cs="Arial"/>
          <w:szCs w:val="24"/>
        </w:rPr>
        <w:t xml:space="preserve"> 2018. Financial ratios as indicators of economic sustainability: A quantitative analysis for Swiss dairy farms. </w:t>
      </w:r>
      <w:r w:rsidRPr="0054451C">
        <w:rPr>
          <w:rFonts w:eastAsia="Times New Roman" w:cs="Arial"/>
          <w:i/>
          <w:iCs/>
          <w:szCs w:val="24"/>
        </w:rPr>
        <w:t>Sustainability</w:t>
      </w:r>
      <w:r w:rsidRPr="0054451C">
        <w:rPr>
          <w:rFonts w:eastAsia="Times New Roman" w:cs="Arial"/>
          <w:szCs w:val="24"/>
        </w:rPr>
        <w:t xml:space="preserve">, </w:t>
      </w:r>
      <w:r w:rsidRPr="0054451C">
        <w:rPr>
          <w:rFonts w:eastAsia="Times New Roman" w:cs="Arial"/>
          <w:i/>
          <w:iCs/>
          <w:szCs w:val="24"/>
        </w:rPr>
        <w:t>10</w:t>
      </w:r>
      <w:r w:rsidRPr="0054451C">
        <w:rPr>
          <w:rFonts w:eastAsia="Times New Roman" w:cs="Arial"/>
          <w:szCs w:val="24"/>
        </w:rPr>
        <w:t>(8), p.2942.</w:t>
      </w:r>
    </w:p>
    <w:p w14:paraId="05BE2665" w14:textId="77777777" w:rsidR="00CB07BE" w:rsidRPr="0054451C" w:rsidRDefault="00CB07BE" w:rsidP="0054451C">
      <w:pPr>
        <w:spacing w:after="0" w:line="360" w:lineRule="auto"/>
        <w:rPr>
          <w:rFonts w:eastAsia="Times New Roman" w:cs="Arial"/>
          <w:szCs w:val="24"/>
        </w:rPr>
      </w:pPr>
    </w:p>
    <w:p w14:paraId="05BE2666" w14:textId="77777777" w:rsidR="00A129AF" w:rsidRPr="0054451C" w:rsidRDefault="00A129AF" w:rsidP="0054451C">
      <w:pPr>
        <w:spacing w:after="0" w:line="360" w:lineRule="auto"/>
        <w:rPr>
          <w:rFonts w:eastAsia="Times New Roman" w:cs="Arial"/>
          <w:szCs w:val="24"/>
        </w:rPr>
      </w:pPr>
    </w:p>
    <w:p w14:paraId="05BE2667" w14:textId="77777777" w:rsidR="00A129AF" w:rsidRPr="0054451C" w:rsidRDefault="00A129AF" w:rsidP="0054451C">
      <w:pPr>
        <w:spacing w:line="360" w:lineRule="auto"/>
        <w:rPr>
          <w:rFonts w:cs="Arial"/>
        </w:rPr>
      </w:pPr>
    </w:p>
    <w:sectPr w:rsidR="00A129AF" w:rsidRPr="0054451C" w:rsidSect="006D5918">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E267A" w14:textId="77777777" w:rsidR="00363D21" w:rsidRDefault="00363D21" w:rsidP="00805138">
      <w:pPr>
        <w:spacing w:after="0" w:line="240" w:lineRule="auto"/>
      </w:pPr>
      <w:r>
        <w:separator/>
      </w:r>
    </w:p>
  </w:endnote>
  <w:endnote w:type="continuationSeparator" w:id="0">
    <w:p w14:paraId="05BE267B" w14:textId="77777777" w:rsidR="00363D21" w:rsidRDefault="00363D21" w:rsidP="00805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8608812"/>
      <w:docPartObj>
        <w:docPartGallery w:val="Page Numbers (Bottom of Page)"/>
        <w:docPartUnique/>
      </w:docPartObj>
    </w:sdtPr>
    <w:sdtEndPr>
      <w:rPr>
        <w:noProof/>
      </w:rPr>
    </w:sdtEndPr>
    <w:sdtContent>
      <w:p w14:paraId="05BE267C" w14:textId="77777777" w:rsidR="009B71AD" w:rsidRDefault="009B71AD">
        <w:pPr>
          <w:pStyle w:val="Footer"/>
          <w:jc w:val="center"/>
        </w:pPr>
        <w:r>
          <w:fldChar w:fldCharType="begin"/>
        </w:r>
        <w:r>
          <w:instrText xml:space="preserve"> PAGE   \* MERGEFORMAT </w:instrText>
        </w:r>
        <w:r>
          <w:fldChar w:fldCharType="separate"/>
        </w:r>
        <w:r w:rsidR="001E7409">
          <w:rPr>
            <w:noProof/>
          </w:rPr>
          <w:t>5</w:t>
        </w:r>
        <w:r>
          <w:rPr>
            <w:noProof/>
          </w:rPr>
          <w:fldChar w:fldCharType="end"/>
        </w:r>
      </w:p>
    </w:sdtContent>
  </w:sdt>
  <w:p w14:paraId="05BE267D" w14:textId="77777777" w:rsidR="009B71AD" w:rsidRDefault="009B71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E2678" w14:textId="77777777" w:rsidR="00363D21" w:rsidRDefault="00363D21" w:rsidP="00805138">
      <w:pPr>
        <w:spacing w:after="0" w:line="240" w:lineRule="auto"/>
      </w:pPr>
      <w:r>
        <w:separator/>
      </w:r>
    </w:p>
  </w:footnote>
  <w:footnote w:type="continuationSeparator" w:id="0">
    <w:p w14:paraId="05BE2679" w14:textId="77777777" w:rsidR="00363D21" w:rsidRDefault="00363D21" w:rsidP="008051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EF541F"/>
    <w:multiLevelType w:val="hybridMultilevel"/>
    <w:tmpl w:val="D0F850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872F53"/>
    <w:multiLevelType w:val="hybridMultilevel"/>
    <w:tmpl w:val="8DCC50D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DB57EE"/>
    <w:multiLevelType w:val="hybridMultilevel"/>
    <w:tmpl w:val="0AA6E9C2"/>
    <w:lvl w:ilvl="0" w:tplc="4B4ABBE8">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6805A7"/>
    <w:multiLevelType w:val="hybridMultilevel"/>
    <w:tmpl w:val="06FA011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5B646B"/>
    <w:multiLevelType w:val="hybridMultilevel"/>
    <w:tmpl w:val="408A3918"/>
    <w:lvl w:ilvl="0" w:tplc="4B4ABBE8">
      <w:start w:val="5"/>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0648974">
    <w:abstractNumId w:val="4"/>
  </w:num>
  <w:num w:numId="2" w16cid:durableId="1308126551">
    <w:abstractNumId w:val="1"/>
  </w:num>
  <w:num w:numId="3" w16cid:durableId="1785080893">
    <w:abstractNumId w:val="2"/>
  </w:num>
  <w:num w:numId="4" w16cid:durableId="10568936">
    <w:abstractNumId w:val="0"/>
  </w:num>
  <w:num w:numId="5" w16cid:durableId="1486121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CyNDaxMDQ1tjQ3NjJT0lEKTi0uzszPAykwqgUAWkiRqSwAAAA="/>
  </w:docVars>
  <w:rsids>
    <w:rsidRoot w:val="000A130C"/>
    <w:rsid w:val="00013BBE"/>
    <w:rsid w:val="00022921"/>
    <w:rsid w:val="00037988"/>
    <w:rsid w:val="00057670"/>
    <w:rsid w:val="00072043"/>
    <w:rsid w:val="000A130C"/>
    <w:rsid w:val="000A477E"/>
    <w:rsid w:val="000A7783"/>
    <w:rsid w:val="000C2F2B"/>
    <w:rsid w:val="000D27FA"/>
    <w:rsid w:val="000F123C"/>
    <w:rsid w:val="000F67CD"/>
    <w:rsid w:val="001001FF"/>
    <w:rsid w:val="0010618A"/>
    <w:rsid w:val="001443C1"/>
    <w:rsid w:val="00156CC3"/>
    <w:rsid w:val="00174B7F"/>
    <w:rsid w:val="001809DE"/>
    <w:rsid w:val="001842C7"/>
    <w:rsid w:val="001913F8"/>
    <w:rsid w:val="00193072"/>
    <w:rsid w:val="00196972"/>
    <w:rsid w:val="001A4D53"/>
    <w:rsid w:val="001B49CB"/>
    <w:rsid w:val="001B69AE"/>
    <w:rsid w:val="001C16A4"/>
    <w:rsid w:val="001D7174"/>
    <w:rsid w:val="001E7409"/>
    <w:rsid w:val="00206168"/>
    <w:rsid w:val="002171F7"/>
    <w:rsid w:val="00226E52"/>
    <w:rsid w:val="00227369"/>
    <w:rsid w:val="0026251A"/>
    <w:rsid w:val="00281689"/>
    <w:rsid w:val="00291999"/>
    <w:rsid w:val="002964FC"/>
    <w:rsid w:val="00296C4A"/>
    <w:rsid w:val="002A49B0"/>
    <w:rsid w:val="002B43BF"/>
    <w:rsid w:val="002D247F"/>
    <w:rsid w:val="002E336C"/>
    <w:rsid w:val="00304C7F"/>
    <w:rsid w:val="00311851"/>
    <w:rsid w:val="003164AC"/>
    <w:rsid w:val="003266B4"/>
    <w:rsid w:val="00334953"/>
    <w:rsid w:val="003411AA"/>
    <w:rsid w:val="00347B00"/>
    <w:rsid w:val="00354841"/>
    <w:rsid w:val="00363D21"/>
    <w:rsid w:val="00376EA0"/>
    <w:rsid w:val="00391884"/>
    <w:rsid w:val="003A33A3"/>
    <w:rsid w:val="003D5829"/>
    <w:rsid w:val="003F1FE2"/>
    <w:rsid w:val="004017FE"/>
    <w:rsid w:val="00401F0C"/>
    <w:rsid w:val="004256C9"/>
    <w:rsid w:val="00426869"/>
    <w:rsid w:val="004368ED"/>
    <w:rsid w:val="00445E52"/>
    <w:rsid w:val="00481DF5"/>
    <w:rsid w:val="0049712B"/>
    <w:rsid w:val="004A436A"/>
    <w:rsid w:val="004B16B7"/>
    <w:rsid w:val="004B21C6"/>
    <w:rsid w:val="004B4478"/>
    <w:rsid w:val="004C5A3B"/>
    <w:rsid w:val="004D2401"/>
    <w:rsid w:val="004D5C12"/>
    <w:rsid w:val="00507F3E"/>
    <w:rsid w:val="005122B7"/>
    <w:rsid w:val="00512A01"/>
    <w:rsid w:val="00514170"/>
    <w:rsid w:val="0054451C"/>
    <w:rsid w:val="00556A7F"/>
    <w:rsid w:val="00576206"/>
    <w:rsid w:val="00576A85"/>
    <w:rsid w:val="0058010D"/>
    <w:rsid w:val="005915DF"/>
    <w:rsid w:val="005A392F"/>
    <w:rsid w:val="005C2049"/>
    <w:rsid w:val="005E3167"/>
    <w:rsid w:val="005F77E3"/>
    <w:rsid w:val="006158F8"/>
    <w:rsid w:val="00637CD7"/>
    <w:rsid w:val="00651C40"/>
    <w:rsid w:val="00652DA8"/>
    <w:rsid w:val="00656263"/>
    <w:rsid w:val="00685575"/>
    <w:rsid w:val="00686179"/>
    <w:rsid w:val="006861CB"/>
    <w:rsid w:val="006979A6"/>
    <w:rsid w:val="006A0CA8"/>
    <w:rsid w:val="006A2314"/>
    <w:rsid w:val="006A490C"/>
    <w:rsid w:val="006B5C65"/>
    <w:rsid w:val="006B7F03"/>
    <w:rsid w:val="006C2C1C"/>
    <w:rsid w:val="006C30F3"/>
    <w:rsid w:val="006D0A77"/>
    <w:rsid w:val="006D518A"/>
    <w:rsid w:val="006D5918"/>
    <w:rsid w:val="006E2634"/>
    <w:rsid w:val="006E390D"/>
    <w:rsid w:val="006F73C8"/>
    <w:rsid w:val="00700990"/>
    <w:rsid w:val="007139B6"/>
    <w:rsid w:val="007168BD"/>
    <w:rsid w:val="00722307"/>
    <w:rsid w:val="007325A5"/>
    <w:rsid w:val="00734560"/>
    <w:rsid w:val="00734B64"/>
    <w:rsid w:val="007417B3"/>
    <w:rsid w:val="00750DD3"/>
    <w:rsid w:val="007511AE"/>
    <w:rsid w:val="007537EA"/>
    <w:rsid w:val="0075687B"/>
    <w:rsid w:val="00767283"/>
    <w:rsid w:val="0077132F"/>
    <w:rsid w:val="007771FD"/>
    <w:rsid w:val="00785915"/>
    <w:rsid w:val="007A6DA4"/>
    <w:rsid w:val="007B477D"/>
    <w:rsid w:val="007C284C"/>
    <w:rsid w:val="007D19F3"/>
    <w:rsid w:val="007D4898"/>
    <w:rsid w:val="007E6482"/>
    <w:rsid w:val="007F19DE"/>
    <w:rsid w:val="007F32F3"/>
    <w:rsid w:val="0080261B"/>
    <w:rsid w:val="00802F44"/>
    <w:rsid w:val="008041BC"/>
    <w:rsid w:val="00805138"/>
    <w:rsid w:val="008410A2"/>
    <w:rsid w:val="00842564"/>
    <w:rsid w:val="008458B7"/>
    <w:rsid w:val="008556A0"/>
    <w:rsid w:val="00863172"/>
    <w:rsid w:val="00877B06"/>
    <w:rsid w:val="00884205"/>
    <w:rsid w:val="00884954"/>
    <w:rsid w:val="008A7F53"/>
    <w:rsid w:val="008B0ABC"/>
    <w:rsid w:val="008B70AF"/>
    <w:rsid w:val="008C257C"/>
    <w:rsid w:val="008C6C0E"/>
    <w:rsid w:val="008D3E90"/>
    <w:rsid w:val="008E62BF"/>
    <w:rsid w:val="008E63B4"/>
    <w:rsid w:val="00930FF0"/>
    <w:rsid w:val="00935450"/>
    <w:rsid w:val="00937D97"/>
    <w:rsid w:val="00950BAC"/>
    <w:rsid w:val="009718FF"/>
    <w:rsid w:val="00991DD6"/>
    <w:rsid w:val="00996FF5"/>
    <w:rsid w:val="009B71AD"/>
    <w:rsid w:val="009D3B1D"/>
    <w:rsid w:val="009D70DD"/>
    <w:rsid w:val="009F545A"/>
    <w:rsid w:val="009F6069"/>
    <w:rsid w:val="00A129AF"/>
    <w:rsid w:val="00A31AB2"/>
    <w:rsid w:val="00A44C6A"/>
    <w:rsid w:val="00A5068E"/>
    <w:rsid w:val="00A63AAE"/>
    <w:rsid w:val="00A66C12"/>
    <w:rsid w:val="00A67D58"/>
    <w:rsid w:val="00A87621"/>
    <w:rsid w:val="00AB36C3"/>
    <w:rsid w:val="00AD1F5B"/>
    <w:rsid w:val="00AF1830"/>
    <w:rsid w:val="00AF54A9"/>
    <w:rsid w:val="00B07111"/>
    <w:rsid w:val="00B25DC2"/>
    <w:rsid w:val="00B34D23"/>
    <w:rsid w:val="00B35B57"/>
    <w:rsid w:val="00B376A6"/>
    <w:rsid w:val="00B516E8"/>
    <w:rsid w:val="00B568BB"/>
    <w:rsid w:val="00B707B2"/>
    <w:rsid w:val="00B70C23"/>
    <w:rsid w:val="00B76D6E"/>
    <w:rsid w:val="00BA2B76"/>
    <w:rsid w:val="00BB26DC"/>
    <w:rsid w:val="00BD58CD"/>
    <w:rsid w:val="00BD6665"/>
    <w:rsid w:val="00BE3BBE"/>
    <w:rsid w:val="00BE5733"/>
    <w:rsid w:val="00BF0EB7"/>
    <w:rsid w:val="00BF46FF"/>
    <w:rsid w:val="00BF7B94"/>
    <w:rsid w:val="00C023CD"/>
    <w:rsid w:val="00C17A57"/>
    <w:rsid w:val="00C22624"/>
    <w:rsid w:val="00C23A19"/>
    <w:rsid w:val="00C33243"/>
    <w:rsid w:val="00C34944"/>
    <w:rsid w:val="00C43E32"/>
    <w:rsid w:val="00C47981"/>
    <w:rsid w:val="00C47EC7"/>
    <w:rsid w:val="00C519E1"/>
    <w:rsid w:val="00C60783"/>
    <w:rsid w:val="00C619C9"/>
    <w:rsid w:val="00C655D9"/>
    <w:rsid w:val="00C65E4D"/>
    <w:rsid w:val="00CB07BE"/>
    <w:rsid w:val="00CC3766"/>
    <w:rsid w:val="00CE1262"/>
    <w:rsid w:val="00CE5B5D"/>
    <w:rsid w:val="00CE7F67"/>
    <w:rsid w:val="00CF64AC"/>
    <w:rsid w:val="00D22BB6"/>
    <w:rsid w:val="00D45705"/>
    <w:rsid w:val="00D47CCD"/>
    <w:rsid w:val="00D736F6"/>
    <w:rsid w:val="00D826BC"/>
    <w:rsid w:val="00DC296C"/>
    <w:rsid w:val="00DD0A8D"/>
    <w:rsid w:val="00DD3B6C"/>
    <w:rsid w:val="00DE0640"/>
    <w:rsid w:val="00DE21CB"/>
    <w:rsid w:val="00DF1C4D"/>
    <w:rsid w:val="00DF30FC"/>
    <w:rsid w:val="00DF3DAD"/>
    <w:rsid w:val="00DF4D4E"/>
    <w:rsid w:val="00DF540E"/>
    <w:rsid w:val="00E366AD"/>
    <w:rsid w:val="00E41D99"/>
    <w:rsid w:val="00E51D95"/>
    <w:rsid w:val="00E5245F"/>
    <w:rsid w:val="00E72288"/>
    <w:rsid w:val="00E77D3F"/>
    <w:rsid w:val="00E964BA"/>
    <w:rsid w:val="00EB198C"/>
    <w:rsid w:val="00EB1B17"/>
    <w:rsid w:val="00EB5D75"/>
    <w:rsid w:val="00EE31BD"/>
    <w:rsid w:val="00F04A7C"/>
    <w:rsid w:val="00F32371"/>
    <w:rsid w:val="00F52E65"/>
    <w:rsid w:val="00F70A6D"/>
    <w:rsid w:val="00F9376F"/>
    <w:rsid w:val="00F95E93"/>
    <w:rsid w:val="00FA72FE"/>
    <w:rsid w:val="00FD2F3C"/>
    <w:rsid w:val="00FD54B4"/>
    <w:rsid w:val="00FE1E7D"/>
    <w:rsid w:val="00FE5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E2532"/>
  <w15:chartTrackingRefBased/>
  <w15:docId w15:val="{AAF9D6F0-6FB3-45B7-BB23-36A4B9832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0FC"/>
    <w:pPr>
      <w:jc w:val="both"/>
    </w:pPr>
    <w:rPr>
      <w:rFonts w:ascii="Arial" w:hAnsi="Arial"/>
      <w:sz w:val="24"/>
    </w:rPr>
  </w:style>
  <w:style w:type="paragraph" w:styleId="Heading1">
    <w:name w:val="heading 1"/>
    <w:basedOn w:val="Normal"/>
    <w:next w:val="Normal"/>
    <w:link w:val="Heading1Char"/>
    <w:uiPriority w:val="9"/>
    <w:qFormat/>
    <w:rsid w:val="00DF30FC"/>
    <w:pPr>
      <w:keepNext/>
      <w:keepLines/>
      <w:spacing w:before="120" w:after="120" w:line="240" w:lineRule="auto"/>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652DA8"/>
    <w:pPr>
      <w:keepNext/>
      <w:keepLines/>
      <w:spacing w:before="40" w:after="0" w:line="360"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0FC"/>
    <w:rPr>
      <w:rFonts w:ascii="Arial" w:eastAsiaTheme="majorEastAsia" w:hAnsi="Arial" w:cstheme="majorBidi"/>
      <w:b/>
      <w:color w:val="2F5496" w:themeColor="accent5" w:themeShade="BF"/>
      <w:sz w:val="32"/>
      <w:szCs w:val="32"/>
    </w:rPr>
  </w:style>
  <w:style w:type="paragraph" w:styleId="ListParagraph">
    <w:name w:val="List Paragraph"/>
    <w:basedOn w:val="Normal"/>
    <w:uiPriority w:val="34"/>
    <w:qFormat/>
    <w:rsid w:val="00722307"/>
    <w:pPr>
      <w:ind w:left="720"/>
      <w:contextualSpacing/>
    </w:pPr>
  </w:style>
  <w:style w:type="character" w:customStyle="1" w:styleId="Heading2Char">
    <w:name w:val="Heading 2 Char"/>
    <w:basedOn w:val="DefaultParagraphFont"/>
    <w:link w:val="Heading2"/>
    <w:uiPriority w:val="9"/>
    <w:rsid w:val="00652DA8"/>
    <w:rPr>
      <w:rFonts w:ascii="Arial" w:eastAsiaTheme="majorEastAsia" w:hAnsi="Arial" w:cstheme="majorBidi"/>
      <w:b/>
      <w:color w:val="000000" w:themeColor="text1"/>
      <w:sz w:val="28"/>
      <w:szCs w:val="26"/>
    </w:rPr>
  </w:style>
  <w:style w:type="table" w:styleId="TableGrid">
    <w:name w:val="Table Grid"/>
    <w:basedOn w:val="TableNormal"/>
    <w:uiPriority w:val="39"/>
    <w:rsid w:val="00652D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E964B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6D5918"/>
    <w:pPr>
      <w:spacing w:after="0" w:line="240" w:lineRule="auto"/>
    </w:pPr>
    <w:rPr>
      <w:rFonts w:eastAsiaTheme="minorEastAsia"/>
    </w:rPr>
  </w:style>
  <w:style w:type="character" w:customStyle="1" w:styleId="NoSpacingChar">
    <w:name w:val="No Spacing Char"/>
    <w:basedOn w:val="DefaultParagraphFont"/>
    <w:link w:val="NoSpacing"/>
    <w:uiPriority w:val="1"/>
    <w:rsid w:val="006D5918"/>
    <w:rPr>
      <w:rFonts w:eastAsiaTheme="minorEastAsia"/>
    </w:rPr>
  </w:style>
  <w:style w:type="paragraph" w:styleId="Header">
    <w:name w:val="header"/>
    <w:basedOn w:val="Normal"/>
    <w:link w:val="HeaderChar"/>
    <w:uiPriority w:val="99"/>
    <w:unhideWhenUsed/>
    <w:rsid w:val="008051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5138"/>
    <w:rPr>
      <w:rFonts w:ascii="Arial" w:hAnsi="Arial"/>
      <w:sz w:val="24"/>
    </w:rPr>
  </w:style>
  <w:style w:type="paragraph" w:styleId="Footer">
    <w:name w:val="footer"/>
    <w:basedOn w:val="Normal"/>
    <w:link w:val="FooterChar"/>
    <w:uiPriority w:val="99"/>
    <w:unhideWhenUsed/>
    <w:rsid w:val="008051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5138"/>
    <w:rPr>
      <w:rFonts w:ascii="Arial" w:hAnsi="Arial"/>
      <w:sz w:val="24"/>
    </w:rPr>
  </w:style>
  <w:style w:type="paragraph" w:styleId="TOCHeading">
    <w:name w:val="TOC Heading"/>
    <w:basedOn w:val="Heading1"/>
    <w:next w:val="Normal"/>
    <w:uiPriority w:val="39"/>
    <w:unhideWhenUsed/>
    <w:qFormat/>
    <w:rsid w:val="00805138"/>
    <w:pPr>
      <w:spacing w:before="240" w:after="0"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05138"/>
    <w:pPr>
      <w:spacing w:after="100"/>
    </w:pPr>
  </w:style>
  <w:style w:type="paragraph" w:styleId="TOC2">
    <w:name w:val="toc 2"/>
    <w:basedOn w:val="Normal"/>
    <w:next w:val="Normal"/>
    <w:autoRedefine/>
    <w:uiPriority w:val="39"/>
    <w:unhideWhenUsed/>
    <w:rsid w:val="00805138"/>
    <w:pPr>
      <w:spacing w:after="100"/>
      <w:ind w:left="240"/>
    </w:pPr>
  </w:style>
  <w:style w:type="character" w:styleId="Hyperlink">
    <w:name w:val="Hyperlink"/>
    <w:basedOn w:val="DefaultParagraphFont"/>
    <w:uiPriority w:val="99"/>
    <w:unhideWhenUsed/>
    <w:rsid w:val="00805138"/>
    <w:rPr>
      <w:color w:val="0563C1" w:themeColor="hyperlink"/>
      <w:u w:val="single"/>
    </w:rPr>
  </w:style>
  <w:style w:type="character" w:customStyle="1" w:styleId="selectable">
    <w:name w:val="selectable"/>
    <w:basedOn w:val="DefaultParagraphFont"/>
    <w:rsid w:val="00A12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04028">
      <w:bodyDiv w:val="1"/>
      <w:marLeft w:val="0"/>
      <w:marRight w:val="0"/>
      <w:marTop w:val="0"/>
      <w:marBottom w:val="0"/>
      <w:divBdr>
        <w:top w:val="none" w:sz="0" w:space="0" w:color="auto"/>
        <w:left w:val="none" w:sz="0" w:space="0" w:color="auto"/>
        <w:bottom w:val="none" w:sz="0" w:space="0" w:color="auto"/>
        <w:right w:val="none" w:sz="0" w:space="0" w:color="auto"/>
      </w:divBdr>
      <w:divsChild>
        <w:div w:id="2141220141">
          <w:marLeft w:val="0"/>
          <w:marRight w:val="0"/>
          <w:marTop w:val="0"/>
          <w:marBottom w:val="0"/>
          <w:divBdr>
            <w:top w:val="none" w:sz="0" w:space="0" w:color="auto"/>
            <w:left w:val="none" w:sz="0" w:space="0" w:color="auto"/>
            <w:bottom w:val="none" w:sz="0" w:space="0" w:color="auto"/>
            <w:right w:val="none" w:sz="0" w:space="0" w:color="auto"/>
          </w:divBdr>
        </w:div>
      </w:divsChild>
    </w:div>
    <w:div w:id="306133629">
      <w:bodyDiv w:val="1"/>
      <w:marLeft w:val="0"/>
      <w:marRight w:val="0"/>
      <w:marTop w:val="0"/>
      <w:marBottom w:val="0"/>
      <w:divBdr>
        <w:top w:val="none" w:sz="0" w:space="0" w:color="auto"/>
        <w:left w:val="none" w:sz="0" w:space="0" w:color="auto"/>
        <w:bottom w:val="none" w:sz="0" w:space="0" w:color="auto"/>
        <w:right w:val="none" w:sz="0" w:space="0" w:color="auto"/>
      </w:divBdr>
    </w:div>
    <w:div w:id="477843178">
      <w:bodyDiv w:val="1"/>
      <w:marLeft w:val="0"/>
      <w:marRight w:val="0"/>
      <w:marTop w:val="0"/>
      <w:marBottom w:val="0"/>
      <w:divBdr>
        <w:top w:val="none" w:sz="0" w:space="0" w:color="auto"/>
        <w:left w:val="none" w:sz="0" w:space="0" w:color="auto"/>
        <w:bottom w:val="none" w:sz="0" w:space="0" w:color="auto"/>
        <w:right w:val="none" w:sz="0" w:space="0" w:color="auto"/>
      </w:divBdr>
    </w:div>
    <w:div w:id="574243253">
      <w:bodyDiv w:val="1"/>
      <w:marLeft w:val="0"/>
      <w:marRight w:val="0"/>
      <w:marTop w:val="0"/>
      <w:marBottom w:val="0"/>
      <w:divBdr>
        <w:top w:val="none" w:sz="0" w:space="0" w:color="auto"/>
        <w:left w:val="none" w:sz="0" w:space="0" w:color="auto"/>
        <w:bottom w:val="none" w:sz="0" w:space="0" w:color="auto"/>
        <w:right w:val="none" w:sz="0" w:space="0" w:color="auto"/>
      </w:divBdr>
    </w:div>
    <w:div w:id="687098101">
      <w:bodyDiv w:val="1"/>
      <w:marLeft w:val="0"/>
      <w:marRight w:val="0"/>
      <w:marTop w:val="0"/>
      <w:marBottom w:val="0"/>
      <w:divBdr>
        <w:top w:val="none" w:sz="0" w:space="0" w:color="auto"/>
        <w:left w:val="none" w:sz="0" w:space="0" w:color="auto"/>
        <w:bottom w:val="none" w:sz="0" w:space="0" w:color="auto"/>
        <w:right w:val="none" w:sz="0" w:space="0" w:color="auto"/>
      </w:divBdr>
      <w:divsChild>
        <w:div w:id="624309499">
          <w:marLeft w:val="0"/>
          <w:marRight w:val="0"/>
          <w:marTop w:val="0"/>
          <w:marBottom w:val="0"/>
          <w:divBdr>
            <w:top w:val="none" w:sz="0" w:space="0" w:color="auto"/>
            <w:left w:val="none" w:sz="0" w:space="0" w:color="auto"/>
            <w:bottom w:val="none" w:sz="0" w:space="0" w:color="auto"/>
            <w:right w:val="none" w:sz="0" w:space="0" w:color="auto"/>
          </w:divBdr>
        </w:div>
      </w:divsChild>
    </w:div>
    <w:div w:id="691305657">
      <w:bodyDiv w:val="1"/>
      <w:marLeft w:val="0"/>
      <w:marRight w:val="0"/>
      <w:marTop w:val="0"/>
      <w:marBottom w:val="0"/>
      <w:divBdr>
        <w:top w:val="none" w:sz="0" w:space="0" w:color="auto"/>
        <w:left w:val="none" w:sz="0" w:space="0" w:color="auto"/>
        <w:bottom w:val="none" w:sz="0" w:space="0" w:color="auto"/>
        <w:right w:val="none" w:sz="0" w:space="0" w:color="auto"/>
      </w:divBdr>
      <w:divsChild>
        <w:div w:id="788015788">
          <w:marLeft w:val="0"/>
          <w:marRight w:val="0"/>
          <w:marTop w:val="0"/>
          <w:marBottom w:val="0"/>
          <w:divBdr>
            <w:top w:val="none" w:sz="0" w:space="0" w:color="auto"/>
            <w:left w:val="none" w:sz="0" w:space="0" w:color="auto"/>
            <w:bottom w:val="none" w:sz="0" w:space="0" w:color="auto"/>
            <w:right w:val="none" w:sz="0" w:space="0" w:color="auto"/>
          </w:divBdr>
        </w:div>
      </w:divsChild>
    </w:div>
    <w:div w:id="708653318">
      <w:bodyDiv w:val="1"/>
      <w:marLeft w:val="0"/>
      <w:marRight w:val="0"/>
      <w:marTop w:val="0"/>
      <w:marBottom w:val="0"/>
      <w:divBdr>
        <w:top w:val="none" w:sz="0" w:space="0" w:color="auto"/>
        <w:left w:val="none" w:sz="0" w:space="0" w:color="auto"/>
        <w:bottom w:val="none" w:sz="0" w:space="0" w:color="auto"/>
        <w:right w:val="none" w:sz="0" w:space="0" w:color="auto"/>
      </w:divBdr>
      <w:divsChild>
        <w:div w:id="1683166420">
          <w:marLeft w:val="0"/>
          <w:marRight w:val="0"/>
          <w:marTop w:val="0"/>
          <w:marBottom w:val="0"/>
          <w:divBdr>
            <w:top w:val="none" w:sz="0" w:space="0" w:color="auto"/>
            <w:left w:val="none" w:sz="0" w:space="0" w:color="auto"/>
            <w:bottom w:val="none" w:sz="0" w:space="0" w:color="auto"/>
            <w:right w:val="none" w:sz="0" w:space="0" w:color="auto"/>
          </w:divBdr>
        </w:div>
      </w:divsChild>
    </w:div>
    <w:div w:id="814101936">
      <w:bodyDiv w:val="1"/>
      <w:marLeft w:val="0"/>
      <w:marRight w:val="0"/>
      <w:marTop w:val="0"/>
      <w:marBottom w:val="0"/>
      <w:divBdr>
        <w:top w:val="none" w:sz="0" w:space="0" w:color="auto"/>
        <w:left w:val="none" w:sz="0" w:space="0" w:color="auto"/>
        <w:bottom w:val="none" w:sz="0" w:space="0" w:color="auto"/>
        <w:right w:val="none" w:sz="0" w:space="0" w:color="auto"/>
      </w:divBdr>
      <w:divsChild>
        <w:div w:id="1319385216">
          <w:marLeft w:val="0"/>
          <w:marRight w:val="0"/>
          <w:marTop w:val="0"/>
          <w:marBottom w:val="0"/>
          <w:divBdr>
            <w:top w:val="none" w:sz="0" w:space="0" w:color="auto"/>
            <w:left w:val="none" w:sz="0" w:space="0" w:color="auto"/>
            <w:bottom w:val="none" w:sz="0" w:space="0" w:color="auto"/>
            <w:right w:val="none" w:sz="0" w:space="0" w:color="auto"/>
          </w:divBdr>
        </w:div>
      </w:divsChild>
    </w:div>
    <w:div w:id="869074372">
      <w:bodyDiv w:val="1"/>
      <w:marLeft w:val="0"/>
      <w:marRight w:val="0"/>
      <w:marTop w:val="0"/>
      <w:marBottom w:val="0"/>
      <w:divBdr>
        <w:top w:val="none" w:sz="0" w:space="0" w:color="auto"/>
        <w:left w:val="none" w:sz="0" w:space="0" w:color="auto"/>
        <w:bottom w:val="none" w:sz="0" w:space="0" w:color="auto"/>
        <w:right w:val="none" w:sz="0" w:space="0" w:color="auto"/>
      </w:divBdr>
      <w:divsChild>
        <w:div w:id="711077746">
          <w:marLeft w:val="0"/>
          <w:marRight w:val="0"/>
          <w:marTop w:val="0"/>
          <w:marBottom w:val="0"/>
          <w:divBdr>
            <w:top w:val="none" w:sz="0" w:space="0" w:color="auto"/>
            <w:left w:val="none" w:sz="0" w:space="0" w:color="auto"/>
            <w:bottom w:val="none" w:sz="0" w:space="0" w:color="auto"/>
            <w:right w:val="none" w:sz="0" w:space="0" w:color="auto"/>
          </w:divBdr>
        </w:div>
      </w:divsChild>
    </w:div>
    <w:div w:id="918247356">
      <w:bodyDiv w:val="1"/>
      <w:marLeft w:val="0"/>
      <w:marRight w:val="0"/>
      <w:marTop w:val="0"/>
      <w:marBottom w:val="0"/>
      <w:divBdr>
        <w:top w:val="none" w:sz="0" w:space="0" w:color="auto"/>
        <w:left w:val="none" w:sz="0" w:space="0" w:color="auto"/>
        <w:bottom w:val="none" w:sz="0" w:space="0" w:color="auto"/>
        <w:right w:val="none" w:sz="0" w:space="0" w:color="auto"/>
      </w:divBdr>
      <w:divsChild>
        <w:div w:id="60687662">
          <w:marLeft w:val="0"/>
          <w:marRight w:val="0"/>
          <w:marTop w:val="0"/>
          <w:marBottom w:val="0"/>
          <w:divBdr>
            <w:top w:val="none" w:sz="0" w:space="0" w:color="auto"/>
            <w:left w:val="none" w:sz="0" w:space="0" w:color="auto"/>
            <w:bottom w:val="none" w:sz="0" w:space="0" w:color="auto"/>
            <w:right w:val="none" w:sz="0" w:space="0" w:color="auto"/>
          </w:divBdr>
        </w:div>
      </w:divsChild>
    </w:div>
    <w:div w:id="1221474741">
      <w:bodyDiv w:val="1"/>
      <w:marLeft w:val="0"/>
      <w:marRight w:val="0"/>
      <w:marTop w:val="0"/>
      <w:marBottom w:val="0"/>
      <w:divBdr>
        <w:top w:val="none" w:sz="0" w:space="0" w:color="auto"/>
        <w:left w:val="none" w:sz="0" w:space="0" w:color="auto"/>
        <w:bottom w:val="none" w:sz="0" w:space="0" w:color="auto"/>
        <w:right w:val="none" w:sz="0" w:space="0" w:color="auto"/>
      </w:divBdr>
      <w:divsChild>
        <w:div w:id="719288594">
          <w:marLeft w:val="0"/>
          <w:marRight w:val="0"/>
          <w:marTop w:val="0"/>
          <w:marBottom w:val="0"/>
          <w:divBdr>
            <w:top w:val="none" w:sz="0" w:space="0" w:color="auto"/>
            <w:left w:val="none" w:sz="0" w:space="0" w:color="auto"/>
            <w:bottom w:val="none" w:sz="0" w:space="0" w:color="auto"/>
            <w:right w:val="none" w:sz="0" w:space="0" w:color="auto"/>
          </w:divBdr>
        </w:div>
      </w:divsChild>
    </w:div>
    <w:div w:id="1249971473">
      <w:bodyDiv w:val="1"/>
      <w:marLeft w:val="0"/>
      <w:marRight w:val="0"/>
      <w:marTop w:val="0"/>
      <w:marBottom w:val="0"/>
      <w:divBdr>
        <w:top w:val="none" w:sz="0" w:space="0" w:color="auto"/>
        <w:left w:val="none" w:sz="0" w:space="0" w:color="auto"/>
        <w:bottom w:val="none" w:sz="0" w:space="0" w:color="auto"/>
        <w:right w:val="none" w:sz="0" w:space="0" w:color="auto"/>
      </w:divBdr>
      <w:divsChild>
        <w:div w:id="812138769">
          <w:marLeft w:val="0"/>
          <w:marRight w:val="0"/>
          <w:marTop w:val="0"/>
          <w:marBottom w:val="0"/>
          <w:divBdr>
            <w:top w:val="none" w:sz="0" w:space="0" w:color="auto"/>
            <w:left w:val="none" w:sz="0" w:space="0" w:color="auto"/>
            <w:bottom w:val="none" w:sz="0" w:space="0" w:color="auto"/>
            <w:right w:val="none" w:sz="0" w:space="0" w:color="auto"/>
          </w:divBdr>
        </w:div>
      </w:divsChild>
    </w:div>
    <w:div w:id="1289699094">
      <w:bodyDiv w:val="1"/>
      <w:marLeft w:val="0"/>
      <w:marRight w:val="0"/>
      <w:marTop w:val="0"/>
      <w:marBottom w:val="0"/>
      <w:divBdr>
        <w:top w:val="none" w:sz="0" w:space="0" w:color="auto"/>
        <w:left w:val="none" w:sz="0" w:space="0" w:color="auto"/>
        <w:bottom w:val="none" w:sz="0" w:space="0" w:color="auto"/>
        <w:right w:val="none" w:sz="0" w:space="0" w:color="auto"/>
      </w:divBdr>
      <w:divsChild>
        <w:div w:id="1325353851">
          <w:marLeft w:val="0"/>
          <w:marRight w:val="0"/>
          <w:marTop w:val="0"/>
          <w:marBottom w:val="0"/>
          <w:divBdr>
            <w:top w:val="none" w:sz="0" w:space="0" w:color="auto"/>
            <w:left w:val="none" w:sz="0" w:space="0" w:color="auto"/>
            <w:bottom w:val="none" w:sz="0" w:space="0" w:color="auto"/>
            <w:right w:val="none" w:sz="0" w:space="0" w:color="auto"/>
          </w:divBdr>
        </w:div>
      </w:divsChild>
    </w:div>
    <w:div w:id="1299605943">
      <w:bodyDiv w:val="1"/>
      <w:marLeft w:val="0"/>
      <w:marRight w:val="0"/>
      <w:marTop w:val="0"/>
      <w:marBottom w:val="0"/>
      <w:divBdr>
        <w:top w:val="none" w:sz="0" w:space="0" w:color="auto"/>
        <w:left w:val="none" w:sz="0" w:space="0" w:color="auto"/>
        <w:bottom w:val="none" w:sz="0" w:space="0" w:color="auto"/>
        <w:right w:val="none" w:sz="0" w:space="0" w:color="auto"/>
      </w:divBdr>
      <w:divsChild>
        <w:div w:id="84572104">
          <w:marLeft w:val="0"/>
          <w:marRight w:val="0"/>
          <w:marTop w:val="0"/>
          <w:marBottom w:val="0"/>
          <w:divBdr>
            <w:top w:val="none" w:sz="0" w:space="0" w:color="auto"/>
            <w:left w:val="none" w:sz="0" w:space="0" w:color="auto"/>
            <w:bottom w:val="none" w:sz="0" w:space="0" w:color="auto"/>
            <w:right w:val="none" w:sz="0" w:space="0" w:color="auto"/>
          </w:divBdr>
        </w:div>
      </w:divsChild>
    </w:div>
    <w:div w:id="1530921442">
      <w:bodyDiv w:val="1"/>
      <w:marLeft w:val="0"/>
      <w:marRight w:val="0"/>
      <w:marTop w:val="0"/>
      <w:marBottom w:val="0"/>
      <w:divBdr>
        <w:top w:val="none" w:sz="0" w:space="0" w:color="auto"/>
        <w:left w:val="none" w:sz="0" w:space="0" w:color="auto"/>
        <w:bottom w:val="none" w:sz="0" w:space="0" w:color="auto"/>
        <w:right w:val="none" w:sz="0" w:space="0" w:color="auto"/>
      </w:divBdr>
      <w:divsChild>
        <w:div w:id="1464888063">
          <w:marLeft w:val="0"/>
          <w:marRight w:val="0"/>
          <w:marTop w:val="0"/>
          <w:marBottom w:val="0"/>
          <w:divBdr>
            <w:top w:val="none" w:sz="0" w:space="0" w:color="auto"/>
            <w:left w:val="none" w:sz="0" w:space="0" w:color="auto"/>
            <w:bottom w:val="none" w:sz="0" w:space="0" w:color="auto"/>
            <w:right w:val="none" w:sz="0" w:space="0" w:color="auto"/>
          </w:divBdr>
        </w:div>
      </w:divsChild>
    </w:div>
    <w:div w:id="1590196967">
      <w:bodyDiv w:val="1"/>
      <w:marLeft w:val="0"/>
      <w:marRight w:val="0"/>
      <w:marTop w:val="0"/>
      <w:marBottom w:val="0"/>
      <w:divBdr>
        <w:top w:val="none" w:sz="0" w:space="0" w:color="auto"/>
        <w:left w:val="none" w:sz="0" w:space="0" w:color="auto"/>
        <w:bottom w:val="none" w:sz="0" w:space="0" w:color="auto"/>
        <w:right w:val="none" w:sz="0" w:space="0" w:color="auto"/>
      </w:divBdr>
      <w:divsChild>
        <w:div w:id="1613435991">
          <w:marLeft w:val="0"/>
          <w:marRight w:val="0"/>
          <w:marTop w:val="0"/>
          <w:marBottom w:val="0"/>
          <w:divBdr>
            <w:top w:val="none" w:sz="0" w:space="0" w:color="auto"/>
            <w:left w:val="none" w:sz="0" w:space="0" w:color="auto"/>
            <w:bottom w:val="none" w:sz="0" w:space="0" w:color="auto"/>
            <w:right w:val="none" w:sz="0" w:space="0" w:color="auto"/>
          </w:divBdr>
        </w:div>
      </w:divsChild>
    </w:div>
    <w:div w:id="1616671610">
      <w:bodyDiv w:val="1"/>
      <w:marLeft w:val="0"/>
      <w:marRight w:val="0"/>
      <w:marTop w:val="0"/>
      <w:marBottom w:val="0"/>
      <w:divBdr>
        <w:top w:val="none" w:sz="0" w:space="0" w:color="auto"/>
        <w:left w:val="none" w:sz="0" w:space="0" w:color="auto"/>
        <w:bottom w:val="none" w:sz="0" w:space="0" w:color="auto"/>
        <w:right w:val="none" w:sz="0" w:space="0" w:color="auto"/>
      </w:divBdr>
      <w:divsChild>
        <w:div w:id="1087389196">
          <w:marLeft w:val="0"/>
          <w:marRight w:val="0"/>
          <w:marTop w:val="0"/>
          <w:marBottom w:val="0"/>
          <w:divBdr>
            <w:top w:val="none" w:sz="0" w:space="0" w:color="auto"/>
            <w:left w:val="none" w:sz="0" w:space="0" w:color="auto"/>
            <w:bottom w:val="none" w:sz="0" w:space="0" w:color="auto"/>
            <w:right w:val="none" w:sz="0" w:space="0" w:color="auto"/>
          </w:divBdr>
        </w:div>
      </w:divsChild>
    </w:div>
    <w:div w:id="1655914594">
      <w:bodyDiv w:val="1"/>
      <w:marLeft w:val="0"/>
      <w:marRight w:val="0"/>
      <w:marTop w:val="0"/>
      <w:marBottom w:val="0"/>
      <w:divBdr>
        <w:top w:val="none" w:sz="0" w:space="0" w:color="auto"/>
        <w:left w:val="none" w:sz="0" w:space="0" w:color="auto"/>
        <w:bottom w:val="none" w:sz="0" w:space="0" w:color="auto"/>
        <w:right w:val="none" w:sz="0" w:space="0" w:color="auto"/>
      </w:divBdr>
      <w:divsChild>
        <w:div w:id="746851071">
          <w:marLeft w:val="0"/>
          <w:marRight w:val="0"/>
          <w:marTop w:val="0"/>
          <w:marBottom w:val="0"/>
          <w:divBdr>
            <w:top w:val="none" w:sz="0" w:space="0" w:color="auto"/>
            <w:left w:val="none" w:sz="0" w:space="0" w:color="auto"/>
            <w:bottom w:val="none" w:sz="0" w:space="0" w:color="auto"/>
            <w:right w:val="none" w:sz="0" w:space="0" w:color="auto"/>
          </w:divBdr>
        </w:div>
      </w:divsChild>
    </w:div>
    <w:div w:id="1682389118">
      <w:bodyDiv w:val="1"/>
      <w:marLeft w:val="0"/>
      <w:marRight w:val="0"/>
      <w:marTop w:val="0"/>
      <w:marBottom w:val="0"/>
      <w:divBdr>
        <w:top w:val="none" w:sz="0" w:space="0" w:color="auto"/>
        <w:left w:val="none" w:sz="0" w:space="0" w:color="auto"/>
        <w:bottom w:val="none" w:sz="0" w:space="0" w:color="auto"/>
        <w:right w:val="none" w:sz="0" w:space="0" w:color="auto"/>
      </w:divBdr>
    </w:div>
    <w:div w:id="1761637284">
      <w:bodyDiv w:val="1"/>
      <w:marLeft w:val="0"/>
      <w:marRight w:val="0"/>
      <w:marTop w:val="0"/>
      <w:marBottom w:val="0"/>
      <w:divBdr>
        <w:top w:val="none" w:sz="0" w:space="0" w:color="auto"/>
        <w:left w:val="none" w:sz="0" w:space="0" w:color="auto"/>
        <w:bottom w:val="none" w:sz="0" w:space="0" w:color="auto"/>
        <w:right w:val="none" w:sz="0" w:space="0" w:color="auto"/>
      </w:divBdr>
      <w:divsChild>
        <w:div w:id="1658654400">
          <w:marLeft w:val="0"/>
          <w:marRight w:val="0"/>
          <w:marTop w:val="0"/>
          <w:marBottom w:val="0"/>
          <w:divBdr>
            <w:top w:val="none" w:sz="0" w:space="0" w:color="auto"/>
            <w:left w:val="none" w:sz="0" w:space="0" w:color="auto"/>
            <w:bottom w:val="none" w:sz="0" w:space="0" w:color="auto"/>
            <w:right w:val="none" w:sz="0" w:space="0" w:color="auto"/>
          </w:divBdr>
        </w:div>
      </w:divsChild>
    </w:div>
    <w:div w:id="1776897902">
      <w:bodyDiv w:val="1"/>
      <w:marLeft w:val="0"/>
      <w:marRight w:val="0"/>
      <w:marTop w:val="0"/>
      <w:marBottom w:val="0"/>
      <w:divBdr>
        <w:top w:val="none" w:sz="0" w:space="0" w:color="auto"/>
        <w:left w:val="none" w:sz="0" w:space="0" w:color="auto"/>
        <w:bottom w:val="none" w:sz="0" w:space="0" w:color="auto"/>
        <w:right w:val="none" w:sz="0" w:space="0" w:color="auto"/>
      </w:divBdr>
      <w:divsChild>
        <w:div w:id="61875038">
          <w:marLeft w:val="0"/>
          <w:marRight w:val="0"/>
          <w:marTop w:val="0"/>
          <w:marBottom w:val="0"/>
          <w:divBdr>
            <w:top w:val="none" w:sz="0" w:space="0" w:color="auto"/>
            <w:left w:val="none" w:sz="0" w:space="0" w:color="auto"/>
            <w:bottom w:val="none" w:sz="0" w:space="0" w:color="auto"/>
            <w:right w:val="none" w:sz="0" w:space="0" w:color="auto"/>
          </w:divBdr>
        </w:div>
      </w:divsChild>
    </w:div>
    <w:div w:id="1827240180">
      <w:bodyDiv w:val="1"/>
      <w:marLeft w:val="0"/>
      <w:marRight w:val="0"/>
      <w:marTop w:val="0"/>
      <w:marBottom w:val="0"/>
      <w:divBdr>
        <w:top w:val="none" w:sz="0" w:space="0" w:color="auto"/>
        <w:left w:val="none" w:sz="0" w:space="0" w:color="auto"/>
        <w:bottom w:val="none" w:sz="0" w:space="0" w:color="auto"/>
        <w:right w:val="none" w:sz="0" w:space="0" w:color="auto"/>
      </w:divBdr>
      <w:divsChild>
        <w:div w:id="1084686556">
          <w:marLeft w:val="0"/>
          <w:marRight w:val="0"/>
          <w:marTop w:val="0"/>
          <w:marBottom w:val="0"/>
          <w:divBdr>
            <w:top w:val="none" w:sz="0" w:space="0" w:color="auto"/>
            <w:left w:val="none" w:sz="0" w:space="0" w:color="auto"/>
            <w:bottom w:val="none" w:sz="0" w:space="0" w:color="auto"/>
            <w:right w:val="none" w:sz="0" w:space="0" w:color="auto"/>
          </w:divBdr>
        </w:div>
      </w:divsChild>
    </w:div>
    <w:div w:id="1948729715">
      <w:bodyDiv w:val="1"/>
      <w:marLeft w:val="0"/>
      <w:marRight w:val="0"/>
      <w:marTop w:val="0"/>
      <w:marBottom w:val="0"/>
      <w:divBdr>
        <w:top w:val="none" w:sz="0" w:space="0" w:color="auto"/>
        <w:left w:val="none" w:sz="0" w:space="0" w:color="auto"/>
        <w:bottom w:val="none" w:sz="0" w:space="0" w:color="auto"/>
        <w:right w:val="none" w:sz="0" w:space="0" w:color="auto"/>
      </w:divBdr>
    </w:div>
    <w:div w:id="2087654372">
      <w:bodyDiv w:val="1"/>
      <w:marLeft w:val="0"/>
      <w:marRight w:val="0"/>
      <w:marTop w:val="0"/>
      <w:marBottom w:val="0"/>
      <w:divBdr>
        <w:top w:val="none" w:sz="0" w:space="0" w:color="auto"/>
        <w:left w:val="none" w:sz="0" w:space="0" w:color="auto"/>
        <w:bottom w:val="none" w:sz="0" w:space="0" w:color="auto"/>
        <w:right w:val="none" w:sz="0" w:space="0" w:color="auto"/>
      </w:divBdr>
      <w:divsChild>
        <w:div w:id="20506425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emf"/><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2022-02-16T00:00:00</PublishDate>
  <Abstract/>
  <CompanyAddress/>
  <CompanyPhone/>
  <CompanyFax/>
  <CompanyEmail>MAY 16, 2022 UNIVERSITY OF WALES TRINITY SAINT DAVID</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257BF5-5856-4FA7-B110-20B191A5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2616</Words>
  <Characters>14915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ASSIGNMENT 1: hilton hotel</vt:lpstr>
    </vt:vector>
  </TitlesOfParts>
  <Company>UNIVERSITY OF WALES TRINITY SAINT DAVID</Company>
  <LinksUpToDate>false</LinksUpToDate>
  <CharactersWithSpaces>17497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hilton hotel</dc:title>
  <dc:subject>Ratio &amp; Trend Analysis</dc:subject>
  <dc:creator>HP</dc:creator>
  <cp:keywords/>
  <dc:description/>
  <cp:lastModifiedBy>Atikuz Zaman</cp:lastModifiedBy>
  <cp:revision>13</cp:revision>
  <dcterms:created xsi:type="dcterms:W3CDTF">2022-05-16T14:48:00Z</dcterms:created>
  <dcterms:modified xsi:type="dcterms:W3CDTF">2022-06-02T01:31:00Z</dcterms:modified>
</cp:coreProperties>
</file>