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70898" w14:textId="25404814" w:rsidR="002B4F94" w:rsidRDefault="00191197">
      <w:pPr>
        <w:rPr>
          <w:b/>
          <w:u w:val="single"/>
        </w:rPr>
      </w:pPr>
      <w:r w:rsidRPr="00191197">
        <w:rPr>
          <w:b/>
          <w:u w:val="single"/>
        </w:rPr>
        <w:t>FOI Reference P96490 SAB &amp; Highway Development Response</w:t>
      </w:r>
      <w:r>
        <w:rPr>
          <w:b/>
          <w:u w:val="single"/>
        </w:rPr>
        <w:t xml:space="preserve"> </w:t>
      </w:r>
    </w:p>
    <w:p w14:paraId="04E15F7A" w14:textId="77777777" w:rsidR="007D3A60" w:rsidRDefault="007D3A60">
      <w:pPr>
        <w:rPr>
          <w:b/>
          <w:u w:val="single"/>
        </w:rPr>
      </w:pPr>
    </w:p>
    <w:p w14:paraId="55188966" w14:textId="77777777" w:rsidR="00191197" w:rsidRDefault="00191197" w:rsidP="00040974">
      <w:pPr>
        <w:jc w:val="both"/>
      </w:pPr>
      <w:r w:rsidRPr="009F59EA">
        <w:rPr>
          <w:b/>
        </w:rPr>
        <w:t>The SAB &amp; Highway Development Section offer the following guidance in relation to points 5.4 and 5.10 of the FOI request</w:t>
      </w:r>
      <w:r>
        <w:t>.</w:t>
      </w:r>
    </w:p>
    <w:p w14:paraId="295BE77C" w14:textId="77777777" w:rsidR="00191197" w:rsidRDefault="00191197" w:rsidP="00040974">
      <w:pPr>
        <w:jc w:val="both"/>
      </w:pPr>
      <w:r>
        <w:t>Any highway implications and required improvements to the proposed site would be dictated by the outcome of a Transport Impact Assessment (TIA) in line with Planning Policy Wales – Technical Advice Note: 18 Transport.</w:t>
      </w:r>
    </w:p>
    <w:p w14:paraId="45CC3E89" w14:textId="77777777" w:rsidR="00191197" w:rsidRDefault="00191197" w:rsidP="00040974">
      <w:pPr>
        <w:pStyle w:val="ListParagraph"/>
        <w:numPr>
          <w:ilvl w:val="0"/>
          <w:numId w:val="1"/>
        </w:numPr>
        <w:jc w:val="both"/>
      </w:pPr>
      <w:r>
        <w:t>A typical TIA document should cover the following:</w:t>
      </w:r>
    </w:p>
    <w:p w14:paraId="4787FA57" w14:textId="77777777" w:rsidR="00191197" w:rsidRDefault="00191197" w:rsidP="00040974">
      <w:pPr>
        <w:pStyle w:val="ListParagraph"/>
        <w:numPr>
          <w:ilvl w:val="0"/>
          <w:numId w:val="1"/>
        </w:numPr>
        <w:jc w:val="both"/>
      </w:pPr>
      <w:r>
        <w:t>Existing highway conditions</w:t>
      </w:r>
    </w:p>
    <w:p w14:paraId="469BBD03" w14:textId="77777777" w:rsidR="00191197" w:rsidRDefault="00191197" w:rsidP="00040974">
      <w:pPr>
        <w:pStyle w:val="ListParagraph"/>
        <w:numPr>
          <w:ilvl w:val="0"/>
          <w:numId w:val="1"/>
        </w:numPr>
        <w:jc w:val="both"/>
      </w:pPr>
      <w:r>
        <w:t>Proposed development information</w:t>
      </w:r>
    </w:p>
    <w:p w14:paraId="5FAEFB06" w14:textId="77777777" w:rsidR="00191197" w:rsidRDefault="00191197" w:rsidP="00040974">
      <w:pPr>
        <w:pStyle w:val="ListParagraph"/>
        <w:numPr>
          <w:ilvl w:val="0"/>
          <w:numId w:val="1"/>
        </w:numPr>
        <w:jc w:val="both"/>
      </w:pPr>
      <w:r>
        <w:t>Planning policy context and transport implementation strategy</w:t>
      </w:r>
    </w:p>
    <w:p w14:paraId="56E0F456" w14:textId="77777777" w:rsidR="00191197" w:rsidRDefault="00191197" w:rsidP="00040974">
      <w:pPr>
        <w:pStyle w:val="ListParagraph"/>
        <w:numPr>
          <w:ilvl w:val="0"/>
          <w:numId w:val="1"/>
        </w:numPr>
        <w:jc w:val="both"/>
      </w:pPr>
      <w:r>
        <w:t>Accessibility</w:t>
      </w:r>
    </w:p>
    <w:p w14:paraId="0F0A7B4F" w14:textId="77777777" w:rsidR="00191197" w:rsidRDefault="00191197" w:rsidP="00040974">
      <w:pPr>
        <w:pStyle w:val="ListParagraph"/>
        <w:numPr>
          <w:ilvl w:val="0"/>
          <w:numId w:val="1"/>
        </w:numPr>
        <w:jc w:val="both"/>
      </w:pPr>
      <w:r>
        <w:t>Future baseline traffic flows</w:t>
      </w:r>
    </w:p>
    <w:p w14:paraId="2029470A" w14:textId="77777777" w:rsidR="00191197" w:rsidRDefault="00191197" w:rsidP="00040974">
      <w:pPr>
        <w:pStyle w:val="ListParagraph"/>
        <w:numPr>
          <w:ilvl w:val="0"/>
          <w:numId w:val="1"/>
        </w:numPr>
        <w:jc w:val="both"/>
      </w:pPr>
      <w:r>
        <w:t>Trip generation, distribution and assignment</w:t>
      </w:r>
    </w:p>
    <w:p w14:paraId="6A970D18" w14:textId="77777777" w:rsidR="00191197" w:rsidRDefault="00191197" w:rsidP="00040974">
      <w:pPr>
        <w:pStyle w:val="ListParagraph"/>
        <w:numPr>
          <w:ilvl w:val="0"/>
          <w:numId w:val="1"/>
        </w:numPr>
        <w:jc w:val="both"/>
      </w:pPr>
      <w:r>
        <w:t xml:space="preserve">The anticipated highway impact following traffic surveys, road safety record, information generated by the use of </w:t>
      </w:r>
      <w:proofErr w:type="spellStart"/>
      <w:r>
        <w:t>arcady</w:t>
      </w:r>
      <w:proofErr w:type="spellEnd"/>
      <w:r>
        <w:t xml:space="preserve">, </w:t>
      </w:r>
      <w:proofErr w:type="spellStart"/>
      <w:r>
        <w:t>picardy</w:t>
      </w:r>
      <w:proofErr w:type="spellEnd"/>
      <w:r>
        <w:t xml:space="preserve"> and </w:t>
      </w:r>
      <w:proofErr w:type="spellStart"/>
      <w:r>
        <w:t>linsig</w:t>
      </w:r>
      <w:proofErr w:type="spellEnd"/>
      <w:r>
        <w:t xml:space="preserve"> data – </w:t>
      </w:r>
      <w:r w:rsidR="005E779C">
        <w:t>which</w:t>
      </w:r>
      <w:r>
        <w:t>ever is appropriate</w:t>
      </w:r>
    </w:p>
    <w:p w14:paraId="3FDE2FFB" w14:textId="77777777" w:rsidR="00191197" w:rsidRDefault="003B4AA9" w:rsidP="00040974">
      <w:pPr>
        <w:jc w:val="both"/>
      </w:pPr>
      <w:r>
        <w:t>The proposed site is currently a public car park serving the Town Centre of Port Talbot, where would this displaced parking be accommodated? This should also be included in the proposals for the new development of a leisure centre for assessment/approval.</w:t>
      </w:r>
    </w:p>
    <w:p w14:paraId="49E376FE" w14:textId="77777777" w:rsidR="003B4AA9" w:rsidRDefault="003B4AA9" w:rsidP="00040974">
      <w:pPr>
        <w:jc w:val="both"/>
      </w:pPr>
      <w:r>
        <w:t>From the TIA results any negative transport impacts can be mitigated through the design process.</w:t>
      </w:r>
    </w:p>
    <w:p w14:paraId="3658BAB4" w14:textId="77777777" w:rsidR="003B4AA9" w:rsidRDefault="003B4AA9" w:rsidP="00040974">
      <w:pPr>
        <w:jc w:val="both"/>
      </w:pPr>
      <w:r>
        <w:t xml:space="preserve">Any highway design amendments/improvement proposals to the existing highway network to facilitate the development should </w:t>
      </w:r>
      <w:proofErr w:type="gramStart"/>
      <w:r>
        <w:t>be in compliance with</w:t>
      </w:r>
      <w:proofErr w:type="gramEnd"/>
      <w:r>
        <w:t xml:space="preserve"> NPTCBC Highway Technical Design Guide for Residential, Commercial and Industrial Developments and may be subject to a Road Safety Audit Stages 1-4.  A S278 Agreement of the Highways Act 1980 would also have to be entered into between the developer and the authority for any works within the adopted public highway.</w:t>
      </w:r>
    </w:p>
    <w:p w14:paraId="04FF495C" w14:textId="77777777" w:rsidR="003B4AA9" w:rsidRDefault="003B4AA9" w:rsidP="00040974">
      <w:pPr>
        <w:jc w:val="both"/>
      </w:pPr>
      <w:r>
        <w:t>The parking allocation would be dictated by NPTCBC</w:t>
      </w:r>
      <w:r w:rsidR="002700F0">
        <w:t xml:space="preserve"> </w:t>
      </w:r>
      <w:proofErr w:type="gramStart"/>
      <w:r w:rsidR="002700F0">
        <w:t xml:space="preserve">- </w:t>
      </w:r>
      <w:r>
        <w:t xml:space="preserve"> Parking</w:t>
      </w:r>
      <w:proofErr w:type="gramEnd"/>
      <w:r>
        <w:t xml:space="preserve"> Standard</w:t>
      </w:r>
      <w:r w:rsidR="002700F0">
        <w:t>s Supplementary Planning Guidance (October 2016).</w:t>
      </w:r>
    </w:p>
    <w:p w14:paraId="50AE0A37" w14:textId="77777777" w:rsidR="00C8654C" w:rsidRDefault="002700F0" w:rsidP="00040974">
      <w:pPr>
        <w:pStyle w:val="ListParagraph"/>
        <w:numPr>
          <w:ilvl w:val="0"/>
          <w:numId w:val="1"/>
        </w:numPr>
        <w:jc w:val="both"/>
      </w:pPr>
      <w:r>
        <w:t xml:space="preserve">It should be noted that there is a sustainability tool within this </w:t>
      </w:r>
      <w:proofErr w:type="gramStart"/>
      <w:r>
        <w:t>guidance,  which</w:t>
      </w:r>
      <w:proofErr w:type="gramEnd"/>
      <w:r>
        <w:t xml:space="preserve"> may be applied to a proposal such as this.  Given the town centre location, there may be scope to reduce the overall parking requirement.  However, this would need to be justified by a </w:t>
      </w:r>
      <w:r w:rsidR="00C8654C">
        <w:t>robust sustainability appraisal</w:t>
      </w:r>
    </w:p>
    <w:p w14:paraId="3FCAB7DF" w14:textId="77777777" w:rsidR="00C8654C" w:rsidRDefault="00C8654C" w:rsidP="00040974">
      <w:pPr>
        <w:pStyle w:val="ListParagraph"/>
        <w:numPr>
          <w:ilvl w:val="0"/>
          <w:numId w:val="1"/>
        </w:numPr>
        <w:jc w:val="both"/>
      </w:pPr>
      <w:r>
        <w:t>Active Travel should also form part of any proposals</w:t>
      </w:r>
    </w:p>
    <w:p w14:paraId="5EFCC252" w14:textId="77777777" w:rsidR="00C8654C" w:rsidRDefault="00C8654C" w:rsidP="00040974">
      <w:pPr>
        <w:pStyle w:val="ListParagraph"/>
        <w:numPr>
          <w:ilvl w:val="0"/>
          <w:numId w:val="1"/>
        </w:numPr>
        <w:jc w:val="both"/>
      </w:pPr>
      <w:r>
        <w:t>Electric Vehicle Parking and associated infrastructure should also form part of any parking provision</w:t>
      </w:r>
    </w:p>
    <w:p w14:paraId="21B7BB9A" w14:textId="77777777" w:rsidR="002700F0" w:rsidRDefault="002700F0" w:rsidP="00040974">
      <w:pPr>
        <w:jc w:val="both"/>
      </w:pPr>
      <w:r>
        <w:t>To manage the contractors on site activity and access</w:t>
      </w:r>
      <w:r w:rsidR="009F59EA">
        <w:t>,</w:t>
      </w:r>
      <w:r>
        <w:t xml:space="preserve"> a planning condition is usually placed, requesting the submission for approval of a Construction Method Statement.  This statement should cover the follow:</w:t>
      </w:r>
    </w:p>
    <w:p w14:paraId="20A4C76F" w14:textId="77777777" w:rsidR="009F59EA" w:rsidRPr="009F59EA" w:rsidRDefault="009F59EA" w:rsidP="00040974">
      <w:pPr>
        <w:jc w:val="both"/>
      </w:pPr>
      <w:r w:rsidRPr="009F59EA">
        <w:t>No development shall take place, including any works of demolition until a Construction Method Statement has been submitted to, and approved in writing by, the Local Planning Authority.  The approved Statement shall be adhered to throughout the construction period.  The Statement shall provide for:</w:t>
      </w:r>
    </w:p>
    <w:p w14:paraId="6C83A18C" w14:textId="77777777" w:rsidR="009F59EA" w:rsidRPr="009F59EA" w:rsidRDefault="009F59EA" w:rsidP="00040974">
      <w:pPr>
        <w:ind w:left="1440"/>
        <w:jc w:val="both"/>
      </w:pPr>
    </w:p>
    <w:p w14:paraId="10D968DB" w14:textId="77777777" w:rsidR="009F59EA" w:rsidRPr="009F59EA" w:rsidRDefault="009F59EA" w:rsidP="00040974">
      <w:pPr>
        <w:numPr>
          <w:ilvl w:val="0"/>
          <w:numId w:val="2"/>
        </w:numPr>
        <w:spacing w:after="0" w:line="240" w:lineRule="auto"/>
        <w:ind w:firstLine="0"/>
        <w:jc w:val="both"/>
      </w:pPr>
      <w:r w:rsidRPr="009F59EA">
        <w:t>the parking of vehicles of site operatives and visitors</w:t>
      </w:r>
    </w:p>
    <w:p w14:paraId="7F9849BC" w14:textId="77777777" w:rsidR="009F59EA" w:rsidRPr="009F59EA" w:rsidRDefault="009F59EA" w:rsidP="00040974">
      <w:pPr>
        <w:numPr>
          <w:ilvl w:val="0"/>
          <w:numId w:val="2"/>
        </w:numPr>
        <w:spacing w:after="0" w:line="240" w:lineRule="auto"/>
        <w:ind w:firstLine="0"/>
        <w:jc w:val="both"/>
      </w:pPr>
      <w:r w:rsidRPr="009F59EA">
        <w:t>loading and unloading of plant and materials</w:t>
      </w:r>
    </w:p>
    <w:p w14:paraId="1051A9A3" w14:textId="77777777" w:rsidR="009F59EA" w:rsidRPr="009F59EA" w:rsidRDefault="009F59EA" w:rsidP="00040974">
      <w:pPr>
        <w:numPr>
          <w:ilvl w:val="0"/>
          <w:numId w:val="2"/>
        </w:numPr>
        <w:tabs>
          <w:tab w:val="clear" w:pos="1440"/>
        </w:tabs>
        <w:spacing w:after="0" w:line="240" w:lineRule="auto"/>
        <w:ind w:left="2160"/>
        <w:jc w:val="both"/>
      </w:pPr>
      <w:r w:rsidRPr="009F59EA">
        <w:t>storage of plant and materials used in constructing the development</w:t>
      </w:r>
    </w:p>
    <w:p w14:paraId="27E57AE7" w14:textId="77777777" w:rsidR="009F59EA" w:rsidRPr="009F59EA" w:rsidRDefault="009F59EA" w:rsidP="00040974">
      <w:pPr>
        <w:numPr>
          <w:ilvl w:val="0"/>
          <w:numId w:val="2"/>
        </w:numPr>
        <w:tabs>
          <w:tab w:val="clear" w:pos="1440"/>
        </w:tabs>
        <w:spacing w:after="0" w:line="240" w:lineRule="auto"/>
        <w:ind w:left="2160"/>
        <w:jc w:val="both"/>
      </w:pPr>
      <w:r w:rsidRPr="009F59EA">
        <w:t>the erection and maintenance of security hoarding including decorative displays and facilities for public viewing, where appropriate</w:t>
      </w:r>
    </w:p>
    <w:p w14:paraId="29A8BB99" w14:textId="77777777" w:rsidR="009F59EA" w:rsidRPr="009F59EA" w:rsidRDefault="009F59EA" w:rsidP="00040974">
      <w:pPr>
        <w:numPr>
          <w:ilvl w:val="0"/>
          <w:numId w:val="2"/>
        </w:numPr>
        <w:spacing w:after="0" w:line="240" w:lineRule="auto"/>
        <w:ind w:firstLine="0"/>
        <w:jc w:val="both"/>
      </w:pPr>
      <w:r w:rsidRPr="009F59EA">
        <w:t>wheel washing facilities</w:t>
      </w:r>
    </w:p>
    <w:p w14:paraId="4931A197" w14:textId="77777777" w:rsidR="009F59EA" w:rsidRPr="009F59EA" w:rsidRDefault="009F59EA" w:rsidP="00040974">
      <w:pPr>
        <w:numPr>
          <w:ilvl w:val="0"/>
          <w:numId w:val="2"/>
        </w:numPr>
        <w:tabs>
          <w:tab w:val="clear" w:pos="1440"/>
        </w:tabs>
        <w:spacing w:after="0" w:line="240" w:lineRule="auto"/>
        <w:ind w:left="2160"/>
        <w:jc w:val="both"/>
      </w:pPr>
      <w:r w:rsidRPr="009F59EA">
        <w:t>measures to control the emission of dust and dirt during construction</w:t>
      </w:r>
    </w:p>
    <w:p w14:paraId="101102DD" w14:textId="77777777" w:rsidR="009F59EA" w:rsidRDefault="009F59EA" w:rsidP="00040974">
      <w:pPr>
        <w:numPr>
          <w:ilvl w:val="0"/>
          <w:numId w:val="2"/>
        </w:numPr>
        <w:tabs>
          <w:tab w:val="clear" w:pos="1440"/>
        </w:tabs>
        <w:spacing w:after="0" w:line="240" w:lineRule="auto"/>
        <w:ind w:left="2160"/>
        <w:jc w:val="both"/>
      </w:pPr>
      <w:r w:rsidRPr="009F59EA">
        <w:t>a scheme for recycling/disposing of waste resulting from demolition and construction works.</w:t>
      </w:r>
    </w:p>
    <w:p w14:paraId="77A78610" w14:textId="77777777" w:rsidR="009F59EA" w:rsidRDefault="009F59EA" w:rsidP="00040974">
      <w:pPr>
        <w:spacing w:after="0" w:line="240" w:lineRule="auto"/>
        <w:jc w:val="both"/>
      </w:pPr>
    </w:p>
    <w:p w14:paraId="70CF1356" w14:textId="77777777" w:rsidR="009F59EA" w:rsidRDefault="009F59EA" w:rsidP="00040974">
      <w:pPr>
        <w:jc w:val="both"/>
        <w:rPr>
          <w:rFonts w:ascii="Calibri" w:hAnsi="Calibri" w:cs="Calibri"/>
        </w:rPr>
      </w:pPr>
      <w:r w:rsidRPr="00040974">
        <w:rPr>
          <w:rFonts w:ascii="Calibri" w:hAnsi="Calibri" w:cs="Calibri"/>
          <w:b/>
        </w:rPr>
        <w:t>It should be noted that SAB approval will be required</w:t>
      </w:r>
      <w:r>
        <w:rPr>
          <w:rFonts w:ascii="Calibri" w:hAnsi="Calibri" w:cs="Calibri"/>
        </w:rPr>
        <w:t xml:space="preserve"> for any construction works of 100 metres squared or over,</w:t>
      </w:r>
      <w:r w:rsidRPr="009F59EA">
        <w:rPr>
          <w:rFonts w:ascii="Calibri" w:hAnsi="Calibri" w:cs="Calibri"/>
        </w:rPr>
        <w:t xml:space="preserve"> under Paragraph 7 (1) Schedule 3 of the Flood and Water Management Act 2010</w:t>
      </w:r>
      <w:r>
        <w:rPr>
          <w:rFonts w:ascii="Calibri" w:hAnsi="Calibri" w:cs="Calibri"/>
        </w:rPr>
        <w:t xml:space="preserve">.  </w:t>
      </w:r>
      <w:r w:rsidRPr="009F59EA">
        <w:rPr>
          <w:rFonts w:ascii="Calibri" w:hAnsi="Calibri" w:cs="Calibri"/>
        </w:rPr>
        <w:t>SAB permission is separate from any</w:t>
      </w:r>
      <w:r>
        <w:rPr>
          <w:rFonts w:ascii="Calibri" w:hAnsi="Calibri" w:cs="Calibri"/>
        </w:rPr>
        <w:t xml:space="preserve"> planning permission that might be</w:t>
      </w:r>
      <w:r w:rsidRPr="009F59EA">
        <w:rPr>
          <w:rFonts w:ascii="Calibri" w:hAnsi="Calibri" w:cs="Calibri"/>
        </w:rPr>
        <w:t xml:space="preserve"> granted</w:t>
      </w:r>
      <w:r>
        <w:rPr>
          <w:rFonts w:ascii="Calibri" w:hAnsi="Calibri" w:cs="Calibri"/>
        </w:rPr>
        <w:t>.  A</w:t>
      </w:r>
      <w:r w:rsidRPr="009F59EA">
        <w:rPr>
          <w:rFonts w:ascii="Calibri" w:hAnsi="Calibri" w:cs="Calibri"/>
        </w:rPr>
        <w:t>ny works commenced without SAB approval</w:t>
      </w:r>
      <w:r>
        <w:rPr>
          <w:rFonts w:ascii="Calibri" w:hAnsi="Calibri" w:cs="Calibri"/>
        </w:rPr>
        <w:t xml:space="preserve">, </w:t>
      </w:r>
      <w:r w:rsidRPr="009F59EA">
        <w:rPr>
          <w:rFonts w:ascii="Calibri" w:hAnsi="Calibri" w:cs="Calibri"/>
        </w:rPr>
        <w:t xml:space="preserve"> will be deemed a breach of approval</w:t>
      </w:r>
      <w:r>
        <w:rPr>
          <w:rFonts w:ascii="Calibri" w:hAnsi="Calibri" w:cs="Calibri"/>
        </w:rPr>
        <w:t>,</w:t>
      </w:r>
      <w:r w:rsidRPr="009F59EA">
        <w:rPr>
          <w:rFonts w:ascii="Calibri" w:hAnsi="Calibri" w:cs="Calibri"/>
        </w:rPr>
        <w:t xml:space="preserve"> required under Paragraph 7 (1) Schedule 3 of the Flood and Water Management Act 2010</w:t>
      </w:r>
      <w:r>
        <w:rPr>
          <w:rFonts w:ascii="Calibri" w:hAnsi="Calibri" w:cs="Calibri"/>
        </w:rPr>
        <w:t>,</w:t>
      </w:r>
      <w:r w:rsidRPr="009F59EA">
        <w:rPr>
          <w:rFonts w:ascii="Calibri" w:hAnsi="Calibri" w:cs="Calibri"/>
        </w:rPr>
        <w:t xml:space="preserve"> whereby action will be taken by the Authority under The Sustainable Drainage (Enforcement) (Wales) Order 2018, which could mean removing any work that has commenced.  As such under this legislation you are </w:t>
      </w:r>
      <w:r w:rsidRPr="009F59EA">
        <w:rPr>
          <w:rFonts w:ascii="Calibri" w:hAnsi="Calibri" w:cs="Calibri"/>
          <w:b/>
          <w:u w:val="single"/>
        </w:rPr>
        <w:t>not</w:t>
      </w:r>
      <w:r w:rsidRPr="009F59EA">
        <w:rPr>
          <w:rFonts w:ascii="Calibri" w:hAnsi="Calibri" w:cs="Calibri"/>
        </w:rPr>
        <w:t xml:space="preserve"> permitted to start work on site until SAB ap</w:t>
      </w:r>
      <w:r>
        <w:rPr>
          <w:rFonts w:ascii="Calibri" w:hAnsi="Calibri" w:cs="Calibri"/>
        </w:rPr>
        <w:t>proval has been granted for the</w:t>
      </w:r>
      <w:r w:rsidRPr="009F59EA">
        <w:rPr>
          <w:rFonts w:ascii="Calibri" w:hAnsi="Calibri" w:cs="Calibri"/>
        </w:rPr>
        <w:t xml:space="preserve"> proposed development. </w:t>
      </w:r>
    </w:p>
    <w:p w14:paraId="5325D070" w14:textId="77777777" w:rsidR="00C8654C" w:rsidRPr="00040974" w:rsidRDefault="00C8654C" w:rsidP="00040974">
      <w:pPr>
        <w:jc w:val="both"/>
        <w:rPr>
          <w:rFonts w:ascii="Calibri" w:hAnsi="Calibri" w:cs="Calibri"/>
          <w:b/>
        </w:rPr>
      </w:pPr>
      <w:r w:rsidRPr="00040974">
        <w:rPr>
          <w:rFonts w:ascii="Calibri" w:hAnsi="Calibri" w:cs="Calibri"/>
          <w:b/>
        </w:rPr>
        <w:t>It is recommended that the following documents are used as guidance</w:t>
      </w:r>
      <w:r w:rsidR="00040974">
        <w:rPr>
          <w:rFonts w:ascii="Calibri" w:hAnsi="Calibri" w:cs="Calibri"/>
          <w:b/>
        </w:rPr>
        <w:t>,</w:t>
      </w:r>
      <w:r w:rsidRPr="00040974">
        <w:rPr>
          <w:rFonts w:ascii="Calibri" w:hAnsi="Calibri" w:cs="Calibri"/>
          <w:b/>
        </w:rPr>
        <w:t xml:space="preserve"> which can be accessed on the Welsh Government and Neath Port Talbot County Borough Council’s websites.</w:t>
      </w:r>
    </w:p>
    <w:p w14:paraId="6CBA3ED0" w14:textId="77777777" w:rsidR="00C8654C" w:rsidRPr="00C8654C" w:rsidRDefault="00C8654C" w:rsidP="00040974">
      <w:pPr>
        <w:pStyle w:val="BodyText"/>
        <w:numPr>
          <w:ilvl w:val="0"/>
          <w:numId w:val="3"/>
        </w:numPr>
        <w:rPr>
          <w:rFonts w:asciiTheme="minorHAnsi" w:hAnsiTheme="minorHAnsi" w:cstheme="minorHAnsi"/>
          <w:b w:val="0"/>
          <w:sz w:val="22"/>
          <w:szCs w:val="22"/>
        </w:rPr>
      </w:pPr>
      <w:r w:rsidRPr="00C8654C">
        <w:rPr>
          <w:rFonts w:asciiTheme="minorHAnsi" w:hAnsiTheme="minorHAnsi" w:cstheme="minorHAnsi"/>
          <w:b w:val="0"/>
          <w:sz w:val="22"/>
          <w:szCs w:val="22"/>
        </w:rPr>
        <w:t>Neath Port Talbot County Borough Council - Parking Standards (Oct 2016).</w:t>
      </w:r>
    </w:p>
    <w:p w14:paraId="4008A181" w14:textId="77777777" w:rsidR="00C8654C" w:rsidRPr="00C8654C" w:rsidRDefault="00C8654C" w:rsidP="00040974">
      <w:pPr>
        <w:pStyle w:val="BodyText"/>
        <w:numPr>
          <w:ilvl w:val="0"/>
          <w:numId w:val="3"/>
        </w:numPr>
        <w:rPr>
          <w:rFonts w:asciiTheme="minorHAnsi" w:hAnsiTheme="minorHAnsi" w:cstheme="minorHAnsi"/>
          <w:b w:val="0"/>
          <w:sz w:val="22"/>
          <w:szCs w:val="22"/>
        </w:rPr>
      </w:pPr>
      <w:r w:rsidRPr="00C8654C">
        <w:rPr>
          <w:rFonts w:asciiTheme="minorHAnsi" w:hAnsiTheme="minorHAnsi" w:cstheme="minorHAnsi"/>
          <w:b w:val="0"/>
          <w:sz w:val="22"/>
          <w:szCs w:val="22"/>
        </w:rPr>
        <w:t>Neath Port Talbot Highway Technical Design Guide for Residential, Commercial &amp; Industrial Developments.</w:t>
      </w:r>
    </w:p>
    <w:p w14:paraId="2628BA17" w14:textId="77777777" w:rsidR="00C8654C" w:rsidRPr="00C8654C" w:rsidRDefault="00C8654C" w:rsidP="00040974">
      <w:pPr>
        <w:pStyle w:val="BodyText"/>
        <w:numPr>
          <w:ilvl w:val="0"/>
          <w:numId w:val="3"/>
        </w:numPr>
        <w:rPr>
          <w:rFonts w:asciiTheme="minorHAnsi" w:hAnsiTheme="minorHAnsi" w:cstheme="minorHAnsi"/>
          <w:b w:val="0"/>
          <w:sz w:val="22"/>
          <w:szCs w:val="22"/>
        </w:rPr>
      </w:pPr>
      <w:r w:rsidRPr="00C8654C">
        <w:rPr>
          <w:rFonts w:asciiTheme="minorHAnsi" w:hAnsiTheme="minorHAnsi" w:cstheme="minorHAnsi"/>
          <w:b w:val="0"/>
          <w:sz w:val="22"/>
          <w:szCs w:val="22"/>
        </w:rPr>
        <w:t>Planning Policy Wales Technical Advice Note 18: Transport</w:t>
      </w:r>
    </w:p>
    <w:p w14:paraId="0377D13C" w14:textId="77777777" w:rsidR="00C8654C" w:rsidRPr="00C8654C" w:rsidRDefault="00C8654C" w:rsidP="00040974">
      <w:pPr>
        <w:pStyle w:val="BodyText"/>
        <w:numPr>
          <w:ilvl w:val="0"/>
          <w:numId w:val="3"/>
        </w:numPr>
        <w:rPr>
          <w:rFonts w:asciiTheme="minorHAnsi" w:hAnsiTheme="minorHAnsi" w:cstheme="minorHAnsi"/>
          <w:b w:val="0"/>
          <w:sz w:val="22"/>
          <w:szCs w:val="22"/>
        </w:rPr>
      </w:pPr>
      <w:r w:rsidRPr="00C8654C">
        <w:rPr>
          <w:rFonts w:asciiTheme="minorHAnsi" w:hAnsiTheme="minorHAnsi" w:cstheme="minorHAnsi"/>
          <w:b w:val="0"/>
          <w:sz w:val="22"/>
          <w:szCs w:val="22"/>
        </w:rPr>
        <w:t>Schedule 3 of the Flood and Water Management Act (FWMA) 2010 requires surface water drainage for new developments to comply with Mandatory National Standards for Sustainable Drainage (</w:t>
      </w:r>
      <w:proofErr w:type="spellStart"/>
      <w:r w:rsidRPr="00C8654C">
        <w:rPr>
          <w:rFonts w:asciiTheme="minorHAnsi" w:hAnsiTheme="minorHAnsi" w:cstheme="minorHAnsi"/>
          <w:b w:val="0"/>
          <w:sz w:val="22"/>
          <w:szCs w:val="22"/>
        </w:rPr>
        <w:t>SuDS</w:t>
      </w:r>
      <w:proofErr w:type="spellEnd"/>
      <w:r w:rsidRPr="00C8654C">
        <w:rPr>
          <w:rFonts w:asciiTheme="minorHAnsi" w:hAnsiTheme="minorHAnsi" w:cstheme="minorHAnsi"/>
          <w:b w:val="0"/>
          <w:sz w:val="22"/>
          <w:szCs w:val="22"/>
        </w:rPr>
        <w:t>).  Reference to the Non-</w:t>
      </w:r>
      <w:r w:rsidR="00040974">
        <w:rPr>
          <w:rFonts w:asciiTheme="minorHAnsi" w:hAnsiTheme="minorHAnsi" w:cstheme="minorHAnsi"/>
          <w:b w:val="0"/>
          <w:sz w:val="22"/>
          <w:szCs w:val="22"/>
        </w:rPr>
        <w:t xml:space="preserve"> Statutory</w:t>
      </w:r>
      <w:r w:rsidRPr="00C8654C">
        <w:rPr>
          <w:rFonts w:asciiTheme="minorHAnsi" w:hAnsiTheme="minorHAnsi" w:cstheme="minorHAnsi"/>
          <w:b w:val="0"/>
          <w:sz w:val="22"/>
          <w:szCs w:val="22"/>
        </w:rPr>
        <w:t xml:space="preserve"> Ministerial National Standards and the CIRIA 753: The </w:t>
      </w:r>
      <w:proofErr w:type="spellStart"/>
      <w:r w:rsidRPr="00C8654C">
        <w:rPr>
          <w:rFonts w:asciiTheme="minorHAnsi" w:hAnsiTheme="minorHAnsi" w:cstheme="minorHAnsi"/>
          <w:b w:val="0"/>
          <w:sz w:val="22"/>
          <w:szCs w:val="22"/>
        </w:rPr>
        <w:t>SuDS</w:t>
      </w:r>
      <w:proofErr w:type="spellEnd"/>
      <w:r w:rsidRPr="00C8654C">
        <w:rPr>
          <w:rFonts w:asciiTheme="minorHAnsi" w:hAnsiTheme="minorHAnsi" w:cstheme="minorHAnsi"/>
          <w:b w:val="0"/>
          <w:sz w:val="22"/>
          <w:szCs w:val="22"/>
        </w:rPr>
        <w:t xml:space="preserve"> Manual is recommended.</w:t>
      </w:r>
    </w:p>
    <w:p w14:paraId="26A2AC36" w14:textId="77777777" w:rsidR="00C8654C" w:rsidRPr="00C8654C" w:rsidRDefault="00C8654C" w:rsidP="00040974">
      <w:pPr>
        <w:pStyle w:val="BodyText"/>
        <w:numPr>
          <w:ilvl w:val="0"/>
          <w:numId w:val="3"/>
        </w:numPr>
        <w:rPr>
          <w:rFonts w:asciiTheme="minorHAnsi" w:hAnsiTheme="minorHAnsi" w:cstheme="minorHAnsi"/>
          <w:b w:val="0"/>
          <w:sz w:val="22"/>
          <w:szCs w:val="22"/>
        </w:rPr>
      </w:pPr>
      <w:r w:rsidRPr="00C8654C">
        <w:rPr>
          <w:rFonts w:asciiTheme="minorHAnsi" w:hAnsiTheme="minorHAnsi" w:cstheme="minorHAnsi"/>
          <w:b w:val="0"/>
          <w:sz w:val="22"/>
          <w:szCs w:val="22"/>
        </w:rPr>
        <w:t>Welsh Government’s Active Travel Guidance</w:t>
      </w:r>
    </w:p>
    <w:p w14:paraId="49B55D0C" w14:textId="77777777" w:rsidR="00C8654C" w:rsidRDefault="00C8654C" w:rsidP="00040974">
      <w:pPr>
        <w:pStyle w:val="BodyText"/>
        <w:rPr>
          <w:rFonts w:ascii="Arial" w:hAnsi="Arial" w:cs="Arial"/>
          <w:b w:val="0"/>
          <w:sz w:val="24"/>
        </w:rPr>
      </w:pPr>
    </w:p>
    <w:p w14:paraId="4DBF6F7F" w14:textId="77777777" w:rsidR="00C8654C" w:rsidRDefault="00C8654C" w:rsidP="00040974">
      <w:pPr>
        <w:pStyle w:val="BodyText"/>
        <w:rPr>
          <w:rFonts w:ascii="Arial" w:hAnsi="Arial" w:cs="Arial"/>
          <w:sz w:val="24"/>
          <w:u w:val="single"/>
        </w:rPr>
      </w:pPr>
    </w:p>
    <w:p w14:paraId="442548AF" w14:textId="77777777" w:rsidR="00C8654C" w:rsidRPr="009F59EA" w:rsidRDefault="00C8654C" w:rsidP="009F59EA">
      <w:pPr>
        <w:jc w:val="both"/>
        <w:rPr>
          <w:rFonts w:ascii="Calibri" w:hAnsi="Calibri" w:cs="Calibri"/>
        </w:rPr>
      </w:pPr>
    </w:p>
    <w:p w14:paraId="65622A7A" w14:textId="77777777" w:rsidR="009F59EA" w:rsidRPr="009F59EA" w:rsidRDefault="009F59EA" w:rsidP="009F59EA">
      <w:pPr>
        <w:spacing w:after="0" w:line="240" w:lineRule="auto"/>
        <w:jc w:val="both"/>
      </w:pPr>
    </w:p>
    <w:p w14:paraId="02048069" w14:textId="77777777" w:rsidR="002700F0" w:rsidRPr="009F59EA" w:rsidRDefault="002700F0" w:rsidP="002700F0"/>
    <w:p w14:paraId="01BEF9D1" w14:textId="77777777" w:rsidR="002700F0" w:rsidRPr="009F59EA" w:rsidRDefault="002700F0" w:rsidP="002700F0"/>
    <w:p w14:paraId="168266DA" w14:textId="77777777" w:rsidR="00191197" w:rsidRPr="009F59EA" w:rsidRDefault="00191197"/>
    <w:p w14:paraId="23B06BD8" w14:textId="77777777" w:rsidR="00191197" w:rsidRDefault="00191197"/>
    <w:sectPr w:rsidR="001911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6403B"/>
    <w:multiLevelType w:val="hybridMultilevel"/>
    <w:tmpl w:val="10AE42E8"/>
    <w:lvl w:ilvl="0" w:tplc="ED62659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663B2"/>
    <w:multiLevelType w:val="hybridMultilevel"/>
    <w:tmpl w:val="94C02BFC"/>
    <w:lvl w:ilvl="0" w:tplc="F4389390">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4F33299A"/>
    <w:multiLevelType w:val="hybridMultilevel"/>
    <w:tmpl w:val="2F82DB3E"/>
    <w:lvl w:ilvl="0" w:tplc="F3AA562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5863173">
    <w:abstractNumId w:val="0"/>
  </w:num>
  <w:num w:numId="2" w16cid:durableId="1862235524">
    <w:abstractNumId w:val="1"/>
  </w:num>
  <w:num w:numId="3" w16cid:durableId="1452820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197"/>
    <w:rsid w:val="00040974"/>
    <w:rsid w:val="00191197"/>
    <w:rsid w:val="002700F0"/>
    <w:rsid w:val="002B4F94"/>
    <w:rsid w:val="003B4AA9"/>
    <w:rsid w:val="005E779C"/>
    <w:rsid w:val="007D3A60"/>
    <w:rsid w:val="009200B1"/>
    <w:rsid w:val="009F59EA"/>
    <w:rsid w:val="00C8654C"/>
    <w:rsid w:val="00F20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E167A"/>
  <w15:chartTrackingRefBased/>
  <w15:docId w15:val="{6412BEB9-94A9-470F-8A79-1B2D3F7D5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197"/>
    <w:pPr>
      <w:ind w:left="720"/>
      <w:contextualSpacing/>
    </w:pPr>
  </w:style>
  <w:style w:type="paragraph" w:styleId="BodyText">
    <w:name w:val="Body Text"/>
    <w:basedOn w:val="Normal"/>
    <w:link w:val="BodyTextChar"/>
    <w:rsid w:val="00C8654C"/>
    <w:pPr>
      <w:spacing w:after="0" w:line="240" w:lineRule="auto"/>
      <w:jc w:val="both"/>
    </w:pPr>
    <w:rPr>
      <w:rFonts w:ascii="Times New Roman" w:eastAsia="Times New Roman" w:hAnsi="Times New Roman" w:cs="Times New Roman"/>
      <w:b/>
      <w:bCs/>
      <w:sz w:val="28"/>
      <w:szCs w:val="24"/>
    </w:rPr>
  </w:style>
  <w:style w:type="character" w:customStyle="1" w:styleId="BodyTextChar">
    <w:name w:val="Body Text Char"/>
    <w:basedOn w:val="DefaultParagraphFont"/>
    <w:link w:val="BodyText"/>
    <w:rsid w:val="00C8654C"/>
    <w:rPr>
      <w:rFonts w:ascii="Times New Roman" w:eastAsia="Times New Roman" w:hAnsi="Times New Roman" w:cs="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706</Words>
  <Characters>4025</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Weeks</dc:creator>
  <cp:keywords/>
  <dc:description/>
  <cp:lastModifiedBy>Tom McConvey</cp:lastModifiedBy>
  <cp:revision>2</cp:revision>
  <dcterms:created xsi:type="dcterms:W3CDTF">2023-12-05T11:17:00Z</dcterms:created>
  <dcterms:modified xsi:type="dcterms:W3CDTF">2023-12-05T11:17:00Z</dcterms:modified>
</cp:coreProperties>
</file>