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8240"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a:extLst xmlns:a="http://schemas.openxmlformats.org/drawingml/2006/main">
                <a:ext uri="{FF2B5EF4-FFF2-40B4-BE49-F238E27FC236}">
                  <a16:creationId xmlns:a16="http://schemas.microsoft.com/office/drawing/2014/main" id="{AE5479D8-E21A-4E9B-A611-838D7EE09D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798C9292"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FA6835">
        <w:rPr>
          <w:rFonts w:ascii="Arial" w:hAnsi="Arial" w:cs="Arial"/>
          <w:sz w:val="28"/>
          <w:szCs w:val="28"/>
          <w:lang w:val="nl-NL"/>
        </w:rPr>
        <w:t>Robson De Souza Silva</w:t>
      </w:r>
    </w:p>
    <w:p w14:paraId="18D88AE2" w14:textId="2CE41DB1"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FA6835">
        <w:rPr>
          <w:rFonts w:ascii="Arial" w:hAnsi="Arial" w:cs="Arial"/>
          <w:sz w:val="28"/>
          <w:szCs w:val="28"/>
          <w:lang w:val="nl-NL"/>
        </w:rPr>
        <w:t>2426585</w:t>
      </w: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0D9F4626" w:rsidR="00C558B0" w:rsidRPr="00FA6835" w:rsidRDefault="00C558B0" w:rsidP="00594FAC">
      <w:pPr>
        <w:tabs>
          <w:tab w:val="left" w:pos="6540"/>
        </w:tabs>
        <w:spacing w:line="360" w:lineRule="auto"/>
        <w:rPr>
          <w:rFonts w:ascii="Arial" w:hAnsi="Arial" w:cs="Arial"/>
          <w:b/>
          <w:bCs/>
          <w:sz w:val="28"/>
          <w:szCs w:val="28"/>
        </w:rPr>
      </w:pPr>
      <w:r w:rsidRPr="00FA6835">
        <w:rPr>
          <w:rFonts w:ascii="Arial" w:hAnsi="Arial" w:cs="Arial"/>
          <w:b/>
          <w:bCs/>
          <w:sz w:val="28"/>
          <w:szCs w:val="28"/>
        </w:rPr>
        <w:t>Module name</w:t>
      </w:r>
      <w:r w:rsidRPr="00FA6835">
        <w:rPr>
          <w:rFonts w:ascii="Arial" w:hAnsi="Arial" w:cs="Arial"/>
          <w:sz w:val="28"/>
          <w:szCs w:val="28"/>
        </w:rPr>
        <w:t xml:space="preserve">: </w:t>
      </w:r>
      <w:r w:rsidR="00887FBB" w:rsidRPr="00FA6835">
        <w:rPr>
          <w:rFonts w:ascii="Arial" w:hAnsi="Arial" w:cs="Arial"/>
          <w:b/>
          <w:bCs/>
          <w:sz w:val="28"/>
          <w:szCs w:val="28"/>
        </w:rPr>
        <w:t>Principles of Health and Social Care Practice</w:t>
      </w:r>
    </w:p>
    <w:p w14:paraId="3E48CEF6" w14:textId="34265016" w:rsidR="00887FBB" w:rsidRPr="00FA6835" w:rsidRDefault="00887FBB" w:rsidP="00594FAC">
      <w:pPr>
        <w:tabs>
          <w:tab w:val="left" w:pos="6540"/>
        </w:tabs>
        <w:spacing w:line="360" w:lineRule="auto"/>
        <w:rPr>
          <w:rFonts w:ascii="Arial" w:hAnsi="Arial" w:cs="Arial"/>
          <w:sz w:val="28"/>
          <w:szCs w:val="28"/>
        </w:rPr>
      </w:pPr>
      <w:r w:rsidRPr="00FA6835">
        <w:rPr>
          <w:rFonts w:ascii="Arial" w:hAnsi="Arial" w:cs="Arial"/>
          <w:b/>
          <w:bCs/>
          <w:sz w:val="28"/>
          <w:szCs w:val="28"/>
        </w:rPr>
        <w:t>Component: 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741044DB"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Lecturer name</w:t>
      </w:r>
      <w:r w:rsidRPr="00FA6835">
        <w:rPr>
          <w:rFonts w:ascii="Arial" w:hAnsi="Arial" w:cs="Arial"/>
          <w:b/>
          <w:bCs/>
          <w:sz w:val="28"/>
          <w:szCs w:val="28"/>
        </w:rPr>
        <w:t>:</w:t>
      </w:r>
      <w:r w:rsidR="00FA6835" w:rsidRPr="00FA6835">
        <w:rPr>
          <w:rFonts w:ascii="Source Sans Pro" w:hAnsi="Source Sans Pro"/>
          <w:b/>
          <w:bCs/>
          <w:color w:val="242130"/>
          <w:sz w:val="28"/>
          <w:szCs w:val="28"/>
          <w:shd w:val="clear" w:color="auto" w:fill="FFFFFF"/>
        </w:rPr>
        <w:t xml:space="preserve">  </w:t>
      </w:r>
      <w:r w:rsidR="00FA6835" w:rsidRPr="00FA6835">
        <w:rPr>
          <w:rFonts w:ascii="Arial" w:hAnsi="Arial" w:cs="Arial"/>
          <w:color w:val="242130"/>
          <w:sz w:val="28"/>
          <w:szCs w:val="28"/>
          <w:shd w:val="clear" w:color="auto" w:fill="FFFFFF"/>
        </w:rPr>
        <w:t>I</w:t>
      </w:r>
      <w:r w:rsidR="00533F05">
        <w:rPr>
          <w:rFonts w:ascii="Arial" w:hAnsi="Arial" w:cs="Arial"/>
          <w:color w:val="242130"/>
          <w:sz w:val="28"/>
          <w:szCs w:val="28"/>
          <w:shd w:val="clear" w:color="auto" w:fill="FFFFFF"/>
        </w:rPr>
        <w:t>TSE</w:t>
      </w:r>
      <w:r w:rsidR="00FA6835" w:rsidRPr="00FA6835">
        <w:rPr>
          <w:rFonts w:ascii="Arial" w:hAnsi="Arial" w:cs="Arial"/>
          <w:color w:val="242130"/>
          <w:sz w:val="28"/>
          <w:szCs w:val="28"/>
          <w:shd w:val="clear" w:color="auto" w:fill="FFFFFF"/>
        </w:rPr>
        <w:t xml:space="preserve"> O</w:t>
      </w:r>
      <w:r w:rsidR="00156D81">
        <w:rPr>
          <w:rFonts w:ascii="Arial" w:hAnsi="Arial" w:cs="Arial"/>
          <w:color w:val="242130"/>
          <w:sz w:val="28"/>
          <w:szCs w:val="28"/>
          <w:shd w:val="clear" w:color="auto" w:fill="FFFFFF"/>
        </w:rPr>
        <w:t>LAOYE</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417B0607" w14:textId="51D26FCA" w:rsidR="00FA6835" w:rsidRPr="00F72055" w:rsidRDefault="006D2F2D" w:rsidP="00594FAC">
      <w:pPr>
        <w:spacing w:line="360" w:lineRule="auto"/>
        <w:rPr>
          <w:rFonts w:ascii="Arial" w:hAnsi="Arial" w:cs="Arial"/>
        </w:rPr>
      </w:pPr>
      <w:r w:rsidRPr="00594FAC">
        <w:rPr>
          <w:rFonts w:ascii="Arial" w:hAnsi="Arial" w:cs="Arial"/>
        </w:rPr>
        <w:br w:type="page"/>
      </w:r>
    </w:p>
    <w:p w14:paraId="1338C067" w14:textId="77777777" w:rsidR="001E2D85" w:rsidRDefault="001E2D85" w:rsidP="00594FAC">
      <w:pPr>
        <w:spacing w:line="360" w:lineRule="auto"/>
        <w:rPr>
          <w:rFonts w:ascii="Arial" w:hAnsi="Arial" w:cs="Arial"/>
          <w:b/>
          <w:bCs/>
          <w:sz w:val="28"/>
          <w:szCs w:val="28"/>
        </w:rPr>
      </w:pPr>
    </w:p>
    <w:p w14:paraId="5F15991C" w14:textId="64FCB648" w:rsidR="001E2D85" w:rsidRDefault="00CB1C0F" w:rsidP="00EC61A9">
      <w:pPr>
        <w:spacing w:line="360" w:lineRule="auto"/>
        <w:jc w:val="both"/>
        <w:rPr>
          <w:rFonts w:ascii="Arial" w:hAnsi="Arial" w:cs="Arial"/>
          <w:b/>
          <w:bCs/>
          <w:sz w:val="28"/>
          <w:szCs w:val="28"/>
        </w:rPr>
      </w:pPr>
      <w:r>
        <w:rPr>
          <w:rFonts w:ascii="Arial" w:hAnsi="Arial" w:cs="Arial"/>
          <w:b/>
          <w:bCs/>
          <w:sz w:val="28"/>
          <w:szCs w:val="28"/>
        </w:rPr>
        <w:t>Table of contents:</w:t>
      </w:r>
    </w:p>
    <w:p w14:paraId="065D4EBE" w14:textId="77777777" w:rsidR="00C024DF" w:rsidRPr="00D91912" w:rsidRDefault="00C024DF" w:rsidP="00EC61A9">
      <w:pPr>
        <w:spacing w:line="360" w:lineRule="auto"/>
        <w:jc w:val="both"/>
        <w:rPr>
          <w:rFonts w:ascii="Arial" w:hAnsi="Arial" w:cs="Arial"/>
          <w:b/>
          <w:bCs/>
          <w:sz w:val="22"/>
        </w:rPr>
      </w:pPr>
      <w:r w:rsidRPr="00D91912">
        <w:rPr>
          <w:rFonts w:ascii="Arial" w:hAnsi="Arial" w:cs="Arial"/>
          <w:b/>
          <w:bCs/>
          <w:sz w:val="22"/>
        </w:rPr>
        <w:t>Task 1: Reflection on the Importance of Principles of Health and Social Care Practice</w:t>
      </w:r>
    </w:p>
    <w:p w14:paraId="44A2746A" w14:textId="7AB1E83B" w:rsidR="00C024DF" w:rsidRPr="00C024DF" w:rsidRDefault="00C024DF" w:rsidP="00EC61A9">
      <w:pPr>
        <w:spacing w:line="360" w:lineRule="auto"/>
        <w:jc w:val="both"/>
        <w:rPr>
          <w:rFonts w:ascii="Arial" w:hAnsi="Arial" w:cs="Arial"/>
          <w:b/>
          <w:bCs/>
          <w:sz w:val="22"/>
        </w:rPr>
      </w:pPr>
      <w:r w:rsidRPr="00C024DF">
        <w:rPr>
          <w:rFonts w:ascii="Arial" w:hAnsi="Arial" w:cs="Arial"/>
          <w:b/>
          <w:bCs/>
          <w:sz w:val="22"/>
        </w:rPr>
        <w:t xml:space="preserve">1.1 </w:t>
      </w:r>
      <w:r>
        <w:rPr>
          <w:rFonts w:ascii="Arial" w:hAnsi="Arial" w:cs="Arial"/>
          <w:b/>
          <w:bCs/>
          <w:sz w:val="22"/>
        </w:rPr>
        <w:t>…………………………………………………</w:t>
      </w:r>
      <w:r w:rsidR="000B6F9E">
        <w:rPr>
          <w:rFonts w:ascii="Arial" w:hAnsi="Arial" w:cs="Arial"/>
          <w:b/>
          <w:bCs/>
          <w:sz w:val="22"/>
        </w:rPr>
        <w:t>…………………………………</w:t>
      </w:r>
      <w:r w:rsidR="008427E5">
        <w:rPr>
          <w:rFonts w:ascii="Arial" w:hAnsi="Arial" w:cs="Arial"/>
          <w:b/>
          <w:bCs/>
          <w:sz w:val="22"/>
        </w:rPr>
        <w:t>....</w:t>
      </w:r>
      <w:r w:rsidR="008427E5" w:rsidRPr="00C024DF">
        <w:rPr>
          <w:rFonts w:ascii="Arial" w:hAnsi="Arial" w:cs="Arial"/>
          <w:b/>
          <w:bCs/>
          <w:sz w:val="22"/>
        </w:rPr>
        <w:t xml:space="preserve"> Introduction</w:t>
      </w:r>
    </w:p>
    <w:p w14:paraId="2758D27D" w14:textId="5DFA4967" w:rsidR="00C024DF" w:rsidRPr="00C024DF" w:rsidRDefault="00C024DF" w:rsidP="00EC61A9">
      <w:pPr>
        <w:spacing w:line="360" w:lineRule="auto"/>
        <w:jc w:val="both"/>
        <w:rPr>
          <w:rFonts w:ascii="Arial" w:hAnsi="Arial" w:cs="Arial"/>
          <w:b/>
          <w:bCs/>
          <w:sz w:val="22"/>
        </w:rPr>
      </w:pPr>
      <w:r w:rsidRPr="00C024DF">
        <w:rPr>
          <w:rFonts w:ascii="Arial" w:hAnsi="Arial" w:cs="Arial"/>
          <w:b/>
          <w:bCs/>
          <w:sz w:val="22"/>
        </w:rPr>
        <w:t>1.2</w:t>
      </w:r>
      <w:r>
        <w:rPr>
          <w:rFonts w:ascii="Arial" w:hAnsi="Arial" w:cs="Arial"/>
          <w:b/>
          <w:bCs/>
          <w:sz w:val="22"/>
        </w:rPr>
        <w:t>…………………………………………………</w:t>
      </w:r>
      <w:r w:rsidR="000B6F9E">
        <w:rPr>
          <w:rFonts w:ascii="Arial" w:hAnsi="Arial" w:cs="Arial"/>
          <w:b/>
          <w:bCs/>
          <w:sz w:val="22"/>
        </w:rPr>
        <w:t>………………………….</w:t>
      </w:r>
      <w:r w:rsidRPr="00C024DF">
        <w:rPr>
          <w:rFonts w:ascii="Arial" w:hAnsi="Arial" w:cs="Arial"/>
          <w:b/>
          <w:bCs/>
          <w:sz w:val="22"/>
        </w:rPr>
        <w:t xml:space="preserve"> Person</w:t>
      </w:r>
      <w:r w:rsidRPr="00C024DF">
        <w:rPr>
          <w:rFonts w:ascii="Cambria Math" w:hAnsi="Cambria Math" w:cs="Cambria Math"/>
          <w:b/>
          <w:bCs/>
          <w:sz w:val="22"/>
        </w:rPr>
        <w:t>‑</w:t>
      </w:r>
      <w:r w:rsidRPr="00C024DF">
        <w:rPr>
          <w:rFonts w:ascii="Arial" w:hAnsi="Arial" w:cs="Arial"/>
          <w:b/>
          <w:bCs/>
          <w:sz w:val="22"/>
        </w:rPr>
        <w:t>Centred Care</w:t>
      </w:r>
    </w:p>
    <w:p w14:paraId="158FBFEF" w14:textId="64EB82F4" w:rsidR="00C024DF" w:rsidRPr="00C024DF" w:rsidRDefault="00C024DF" w:rsidP="00EC61A9">
      <w:pPr>
        <w:spacing w:line="360" w:lineRule="auto"/>
        <w:jc w:val="both"/>
        <w:rPr>
          <w:rFonts w:ascii="Arial" w:hAnsi="Arial" w:cs="Arial"/>
          <w:b/>
          <w:bCs/>
          <w:sz w:val="22"/>
        </w:rPr>
      </w:pPr>
      <w:r w:rsidRPr="00C024DF">
        <w:rPr>
          <w:rFonts w:ascii="Arial" w:hAnsi="Arial" w:cs="Arial"/>
          <w:b/>
          <w:bCs/>
          <w:sz w:val="22"/>
        </w:rPr>
        <w:t>1.3</w:t>
      </w:r>
      <w:r>
        <w:rPr>
          <w:rFonts w:ascii="Arial" w:hAnsi="Arial" w:cs="Arial"/>
          <w:b/>
          <w:bCs/>
          <w:sz w:val="22"/>
        </w:rPr>
        <w:t>……………………………………………………</w:t>
      </w:r>
      <w:r w:rsidR="000B6F9E">
        <w:rPr>
          <w:rFonts w:ascii="Arial" w:hAnsi="Arial" w:cs="Arial"/>
          <w:b/>
          <w:bCs/>
          <w:sz w:val="22"/>
        </w:rPr>
        <w:t>……………………….</w:t>
      </w:r>
      <w:r w:rsidRPr="00C024DF">
        <w:rPr>
          <w:rFonts w:ascii="Arial" w:hAnsi="Arial" w:cs="Arial"/>
          <w:b/>
          <w:bCs/>
          <w:sz w:val="22"/>
        </w:rPr>
        <w:t xml:space="preserve"> Partnership Working</w:t>
      </w:r>
    </w:p>
    <w:p w14:paraId="3D642FD4" w14:textId="5DCFCA11" w:rsidR="00C024DF" w:rsidRPr="00C024DF" w:rsidRDefault="00C024DF" w:rsidP="00EC61A9">
      <w:pPr>
        <w:spacing w:line="360" w:lineRule="auto"/>
        <w:jc w:val="both"/>
        <w:rPr>
          <w:rFonts w:ascii="Arial" w:hAnsi="Arial" w:cs="Arial"/>
          <w:b/>
          <w:bCs/>
          <w:sz w:val="22"/>
        </w:rPr>
      </w:pPr>
      <w:r w:rsidRPr="00C024DF">
        <w:rPr>
          <w:rFonts w:ascii="Arial" w:hAnsi="Arial" w:cs="Arial"/>
          <w:b/>
          <w:bCs/>
          <w:sz w:val="22"/>
        </w:rPr>
        <w:t>1.4</w:t>
      </w:r>
      <w:r>
        <w:rPr>
          <w:rFonts w:ascii="Arial" w:hAnsi="Arial" w:cs="Arial"/>
          <w:b/>
          <w:bCs/>
          <w:sz w:val="22"/>
        </w:rPr>
        <w:t>……………………………………………………</w:t>
      </w:r>
      <w:r w:rsidR="000B6F9E">
        <w:rPr>
          <w:rFonts w:ascii="Arial" w:hAnsi="Arial" w:cs="Arial"/>
          <w:b/>
          <w:bCs/>
          <w:sz w:val="22"/>
        </w:rPr>
        <w:t>…………………………</w:t>
      </w:r>
      <w:r w:rsidR="008427E5">
        <w:rPr>
          <w:rFonts w:ascii="Arial" w:hAnsi="Arial" w:cs="Arial"/>
          <w:b/>
          <w:bCs/>
          <w:sz w:val="22"/>
        </w:rPr>
        <w:t>….</w:t>
      </w:r>
      <w:r w:rsidRPr="00C024DF">
        <w:rPr>
          <w:rFonts w:ascii="Arial" w:hAnsi="Arial" w:cs="Arial"/>
          <w:b/>
          <w:bCs/>
          <w:sz w:val="22"/>
        </w:rPr>
        <w:t xml:space="preserve"> Ethical Practice</w:t>
      </w:r>
    </w:p>
    <w:p w14:paraId="478BA318" w14:textId="77777777" w:rsidR="00C024DF" w:rsidRPr="008E5531" w:rsidRDefault="00C024DF" w:rsidP="00EC61A9">
      <w:pPr>
        <w:spacing w:line="360" w:lineRule="auto"/>
        <w:jc w:val="both"/>
        <w:rPr>
          <w:rFonts w:ascii="Arial" w:hAnsi="Arial" w:cs="Arial"/>
          <w:b/>
          <w:bCs/>
          <w:sz w:val="22"/>
        </w:rPr>
      </w:pPr>
      <w:r w:rsidRPr="008E5531">
        <w:rPr>
          <w:rFonts w:ascii="Arial" w:hAnsi="Arial" w:cs="Arial"/>
          <w:b/>
          <w:bCs/>
          <w:sz w:val="22"/>
        </w:rPr>
        <w:t>Task 2: Practical Examples of Concepts in Practice</w:t>
      </w:r>
    </w:p>
    <w:p w14:paraId="52FCA9B5" w14:textId="2DE4C825" w:rsidR="00C024DF" w:rsidRPr="00C024DF" w:rsidRDefault="00C024DF" w:rsidP="00EC61A9">
      <w:pPr>
        <w:spacing w:line="360" w:lineRule="auto"/>
        <w:jc w:val="both"/>
        <w:rPr>
          <w:rFonts w:ascii="Arial" w:hAnsi="Arial" w:cs="Arial"/>
          <w:b/>
          <w:bCs/>
          <w:sz w:val="22"/>
        </w:rPr>
      </w:pPr>
      <w:r w:rsidRPr="00C024DF">
        <w:rPr>
          <w:rFonts w:ascii="Arial" w:hAnsi="Arial" w:cs="Arial"/>
          <w:b/>
          <w:bCs/>
          <w:sz w:val="22"/>
        </w:rPr>
        <w:t xml:space="preserve">2.1 </w:t>
      </w:r>
      <w:r>
        <w:rPr>
          <w:rFonts w:ascii="Arial" w:hAnsi="Arial" w:cs="Arial"/>
          <w:b/>
          <w:bCs/>
          <w:sz w:val="22"/>
        </w:rPr>
        <w:t>……………………………………</w:t>
      </w:r>
      <w:r w:rsidRPr="00C024DF">
        <w:rPr>
          <w:rFonts w:ascii="Arial" w:hAnsi="Arial" w:cs="Arial"/>
          <w:b/>
          <w:bCs/>
          <w:sz w:val="22"/>
        </w:rPr>
        <w:t>Introduction to Experience</w:t>
      </w:r>
      <w:r w:rsidRPr="00C024DF">
        <w:rPr>
          <w:rFonts w:ascii="Cambria Math" w:hAnsi="Cambria Math" w:cs="Cambria Math"/>
          <w:b/>
          <w:bCs/>
          <w:sz w:val="22"/>
        </w:rPr>
        <w:t>‑</w:t>
      </w:r>
      <w:r w:rsidRPr="00C024DF">
        <w:rPr>
          <w:rFonts w:ascii="Arial" w:hAnsi="Arial" w:cs="Arial"/>
          <w:b/>
          <w:bCs/>
          <w:sz w:val="22"/>
        </w:rPr>
        <w:t>Based Co</w:t>
      </w:r>
      <w:r w:rsidRPr="00C024DF">
        <w:rPr>
          <w:rFonts w:ascii="Cambria Math" w:hAnsi="Cambria Math" w:cs="Cambria Math"/>
          <w:b/>
          <w:bCs/>
          <w:sz w:val="22"/>
        </w:rPr>
        <w:t>‑</w:t>
      </w:r>
      <w:r w:rsidRPr="00C024DF">
        <w:rPr>
          <w:rFonts w:ascii="Arial" w:hAnsi="Arial" w:cs="Arial"/>
          <w:b/>
          <w:bCs/>
          <w:sz w:val="22"/>
        </w:rPr>
        <w:t>Design (EBCD)</w:t>
      </w:r>
    </w:p>
    <w:p w14:paraId="4207645D" w14:textId="6D43C749" w:rsidR="00C024DF" w:rsidRPr="00C024DF" w:rsidRDefault="00C024DF" w:rsidP="00EC61A9">
      <w:pPr>
        <w:spacing w:line="360" w:lineRule="auto"/>
        <w:jc w:val="both"/>
        <w:rPr>
          <w:rFonts w:ascii="Arial" w:hAnsi="Arial" w:cs="Arial"/>
          <w:b/>
          <w:bCs/>
          <w:sz w:val="22"/>
        </w:rPr>
      </w:pPr>
      <w:r w:rsidRPr="00C024DF">
        <w:rPr>
          <w:rFonts w:ascii="Arial" w:hAnsi="Arial" w:cs="Arial"/>
          <w:b/>
          <w:bCs/>
          <w:sz w:val="22"/>
        </w:rPr>
        <w:t>2.2</w:t>
      </w:r>
      <w:r>
        <w:rPr>
          <w:rFonts w:ascii="Arial" w:hAnsi="Arial" w:cs="Arial"/>
          <w:b/>
          <w:bCs/>
          <w:sz w:val="22"/>
        </w:rPr>
        <w:t>…………………</w:t>
      </w:r>
      <w:r w:rsidR="007509C8">
        <w:rPr>
          <w:rFonts w:ascii="Arial" w:hAnsi="Arial" w:cs="Arial"/>
          <w:b/>
          <w:bCs/>
          <w:sz w:val="22"/>
        </w:rPr>
        <w:t>………</w:t>
      </w:r>
      <w:r w:rsidR="008427E5">
        <w:rPr>
          <w:rFonts w:ascii="Arial" w:hAnsi="Arial" w:cs="Arial"/>
          <w:b/>
          <w:bCs/>
          <w:sz w:val="22"/>
        </w:rPr>
        <w:t>….</w:t>
      </w:r>
      <w:r w:rsidRPr="00C024DF">
        <w:rPr>
          <w:rFonts w:ascii="Arial" w:hAnsi="Arial" w:cs="Arial"/>
          <w:b/>
          <w:bCs/>
          <w:sz w:val="22"/>
        </w:rPr>
        <w:t xml:space="preserve"> Community Health Example: Diabetes Outpatient Pathway</w:t>
      </w:r>
    </w:p>
    <w:p w14:paraId="30A214EF" w14:textId="0AA76BBA" w:rsidR="00C024DF" w:rsidRPr="00C024DF" w:rsidRDefault="00C024DF" w:rsidP="00EC61A9">
      <w:pPr>
        <w:spacing w:line="360" w:lineRule="auto"/>
        <w:jc w:val="both"/>
        <w:rPr>
          <w:rFonts w:ascii="Arial" w:hAnsi="Arial" w:cs="Arial"/>
          <w:b/>
          <w:bCs/>
          <w:sz w:val="22"/>
        </w:rPr>
      </w:pPr>
      <w:r w:rsidRPr="00C024DF">
        <w:rPr>
          <w:rFonts w:ascii="Arial" w:hAnsi="Arial" w:cs="Arial"/>
          <w:b/>
          <w:bCs/>
          <w:sz w:val="22"/>
        </w:rPr>
        <w:t xml:space="preserve">2.3 </w:t>
      </w:r>
      <w:r w:rsidR="00743794">
        <w:rPr>
          <w:rFonts w:ascii="Arial" w:hAnsi="Arial" w:cs="Arial"/>
          <w:b/>
          <w:bCs/>
          <w:sz w:val="22"/>
        </w:rPr>
        <w:t>…………………………………………………………………………...</w:t>
      </w:r>
      <w:r w:rsidRPr="00C024DF">
        <w:rPr>
          <w:rFonts w:ascii="Arial" w:hAnsi="Arial" w:cs="Arial"/>
          <w:b/>
          <w:bCs/>
          <w:sz w:val="22"/>
        </w:rPr>
        <w:t>Published Case Study</w:t>
      </w:r>
    </w:p>
    <w:p w14:paraId="11B84786" w14:textId="77777777" w:rsidR="00C024DF" w:rsidRPr="003175D0" w:rsidRDefault="00C024DF" w:rsidP="00EC61A9">
      <w:pPr>
        <w:spacing w:line="360" w:lineRule="auto"/>
        <w:jc w:val="both"/>
        <w:rPr>
          <w:rFonts w:ascii="Arial" w:hAnsi="Arial" w:cs="Arial"/>
          <w:b/>
          <w:bCs/>
          <w:sz w:val="22"/>
        </w:rPr>
      </w:pPr>
      <w:r w:rsidRPr="003175D0">
        <w:rPr>
          <w:rFonts w:ascii="Arial" w:hAnsi="Arial" w:cs="Arial"/>
          <w:b/>
          <w:bCs/>
          <w:sz w:val="22"/>
        </w:rPr>
        <w:t>Task 3: Self</w:t>
      </w:r>
      <w:r w:rsidRPr="003175D0">
        <w:rPr>
          <w:rFonts w:ascii="Cambria Math" w:hAnsi="Cambria Math" w:cs="Cambria Math"/>
          <w:b/>
          <w:bCs/>
          <w:sz w:val="22"/>
        </w:rPr>
        <w:t>‑</w:t>
      </w:r>
      <w:r w:rsidRPr="003175D0">
        <w:rPr>
          <w:rFonts w:ascii="Arial" w:hAnsi="Arial" w:cs="Arial"/>
          <w:b/>
          <w:bCs/>
          <w:sz w:val="22"/>
        </w:rPr>
        <w:t>Reflection as a Health and Social Care Support Worker</w:t>
      </w:r>
    </w:p>
    <w:p w14:paraId="4272DAF4" w14:textId="544BA08F" w:rsidR="00C024DF" w:rsidRPr="003175D0" w:rsidRDefault="00C024DF" w:rsidP="00EC61A9">
      <w:pPr>
        <w:spacing w:line="360" w:lineRule="auto"/>
        <w:jc w:val="both"/>
        <w:rPr>
          <w:rFonts w:ascii="Arial" w:hAnsi="Arial" w:cs="Arial"/>
          <w:b/>
          <w:bCs/>
          <w:sz w:val="22"/>
        </w:rPr>
      </w:pPr>
      <w:r w:rsidRPr="003175D0">
        <w:rPr>
          <w:rFonts w:ascii="Arial" w:hAnsi="Arial" w:cs="Arial"/>
          <w:b/>
          <w:bCs/>
          <w:sz w:val="22"/>
        </w:rPr>
        <w:t>3.</w:t>
      </w:r>
      <w:r w:rsidR="0082419D" w:rsidRPr="003175D0">
        <w:rPr>
          <w:rFonts w:ascii="Arial" w:hAnsi="Arial" w:cs="Arial"/>
          <w:b/>
          <w:bCs/>
          <w:sz w:val="22"/>
        </w:rPr>
        <w:t>1</w:t>
      </w:r>
      <w:r w:rsidRPr="003175D0">
        <w:rPr>
          <w:rFonts w:ascii="Arial" w:hAnsi="Arial" w:cs="Arial"/>
          <w:b/>
          <w:bCs/>
          <w:sz w:val="22"/>
        </w:rPr>
        <w:t xml:space="preserve"> </w:t>
      </w:r>
      <w:r w:rsidR="00D759E2">
        <w:rPr>
          <w:rFonts w:ascii="Arial" w:hAnsi="Arial" w:cs="Arial"/>
          <w:b/>
          <w:bCs/>
          <w:sz w:val="22"/>
        </w:rPr>
        <w:t>…………………………………………………</w:t>
      </w:r>
      <w:r w:rsidR="008427E5">
        <w:rPr>
          <w:rFonts w:ascii="Arial" w:hAnsi="Arial" w:cs="Arial"/>
          <w:b/>
          <w:bCs/>
          <w:sz w:val="22"/>
        </w:rPr>
        <w:t>….</w:t>
      </w:r>
      <w:r w:rsidR="008427E5" w:rsidRPr="003175D0">
        <w:rPr>
          <w:rFonts w:ascii="Arial" w:hAnsi="Arial" w:cs="Arial"/>
          <w:b/>
          <w:bCs/>
          <w:sz w:val="22"/>
        </w:rPr>
        <w:t xml:space="preserve"> Person</w:t>
      </w:r>
      <w:r w:rsidRPr="003175D0">
        <w:rPr>
          <w:rFonts w:ascii="Cambria Math" w:hAnsi="Cambria Math" w:cs="Cambria Math"/>
          <w:b/>
          <w:bCs/>
          <w:sz w:val="22"/>
        </w:rPr>
        <w:t>‑</w:t>
      </w:r>
      <w:r w:rsidRPr="003175D0">
        <w:rPr>
          <w:rFonts w:ascii="Arial" w:hAnsi="Arial" w:cs="Arial"/>
          <w:b/>
          <w:bCs/>
          <w:sz w:val="22"/>
        </w:rPr>
        <w:t>Centred Care in Daily Practice</w:t>
      </w:r>
    </w:p>
    <w:p w14:paraId="4B46A073" w14:textId="4E9AA778" w:rsidR="00C024DF" w:rsidRPr="003175D0" w:rsidRDefault="00C024DF" w:rsidP="00EC61A9">
      <w:pPr>
        <w:spacing w:line="360" w:lineRule="auto"/>
        <w:jc w:val="both"/>
        <w:rPr>
          <w:rFonts w:ascii="Arial" w:hAnsi="Arial" w:cs="Arial"/>
          <w:b/>
          <w:bCs/>
          <w:sz w:val="22"/>
        </w:rPr>
      </w:pPr>
      <w:r w:rsidRPr="003175D0">
        <w:rPr>
          <w:rFonts w:ascii="Arial" w:hAnsi="Arial" w:cs="Arial"/>
          <w:b/>
          <w:bCs/>
          <w:sz w:val="22"/>
        </w:rPr>
        <w:t>3.</w:t>
      </w:r>
      <w:r w:rsidR="0082419D" w:rsidRPr="003175D0">
        <w:rPr>
          <w:rFonts w:ascii="Arial" w:hAnsi="Arial" w:cs="Arial"/>
          <w:b/>
          <w:bCs/>
          <w:sz w:val="22"/>
        </w:rPr>
        <w:t>2</w:t>
      </w:r>
      <w:r w:rsidR="008427E5">
        <w:rPr>
          <w:rFonts w:ascii="Arial" w:hAnsi="Arial" w:cs="Arial"/>
          <w:b/>
          <w:bCs/>
          <w:sz w:val="22"/>
        </w:rPr>
        <w:t>……………………………………………………</w:t>
      </w:r>
      <w:r w:rsidRPr="003175D0">
        <w:rPr>
          <w:rFonts w:ascii="Arial" w:hAnsi="Arial" w:cs="Arial"/>
          <w:b/>
          <w:bCs/>
          <w:sz w:val="22"/>
        </w:rPr>
        <w:t xml:space="preserve"> Partnership Working and Collaboration</w:t>
      </w:r>
    </w:p>
    <w:p w14:paraId="6F864580" w14:textId="1753C1C6" w:rsidR="00C024DF" w:rsidRPr="003175D0" w:rsidRDefault="00C024DF" w:rsidP="00EC61A9">
      <w:pPr>
        <w:spacing w:line="360" w:lineRule="auto"/>
        <w:jc w:val="both"/>
        <w:rPr>
          <w:rFonts w:ascii="Arial" w:hAnsi="Arial" w:cs="Arial"/>
          <w:b/>
          <w:bCs/>
          <w:sz w:val="22"/>
        </w:rPr>
      </w:pPr>
      <w:r w:rsidRPr="003175D0">
        <w:rPr>
          <w:rFonts w:ascii="Arial" w:hAnsi="Arial" w:cs="Arial"/>
          <w:b/>
          <w:bCs/>
          <w:sz w:val="22"/>
        </w:rPr>
        <w:t>3.</w:t>
      </w:r>
      <w:r w:rsidR="0082419D" w:rsidRPr="003175D0">
        <w:rPr>
          <w:rFonts w:ascii="Arial" w:hAnsi="Arial" w:cs="Arial"/>
          <w:b/>
          <w:bCs/>
          <w:sz w:val="22"/>
        </w:rPr>
        <w:t>3</w:t>
      </w:r>
      <w:r w:rsidR="008427E5">
        <w:rPr>
          <w:rFonts w:ascii="Arial" w:hAnsi="Arial" w:cs="Arial"/>
          <w:b/>
          <w:bCs/>
          <w:sz w:val="22"/>
        </w:rPr>
        <w:t>…………………………………………</w:t>
      </w:r>
      <w:r w:rsidRPr="003175D0">
        <w:rPr>
          <w:rFonts w:ascii="Arial" w:hAnsi="Arial" w:cs="Arial"/>
          <w:b/>
          <w:bCs/>
          <w:sz w:val="22"/>
        </w:rPr>
        <w:t xml:space="preserve"> Ethical Practice and Professional Responsibility</w:t>
      </w:r>
    </w:p>
    <w:p w14:paraId="0D2524A8" w14:textId="12AC194B" w:rsidR="00C024DF" w:rsidRPr="003175D0" w:rsidRDefault="00C024DF" w:rsidP="00EC61A9">
      <w:pPr>
        <w:spacing w:line="360" w:lineRule="auto"/>
        <w:jc w:val="both"/>
        <w:rPr>
          <w:rFonts w:ascii="Arial" w:hAnsi="Arial" w:cs="Arial"/>
          <w:b/>
          <w:bCs/>
          <w:sz w:val="22"/>
        </w:rPr>
      </w:pPr>
      <w:r w:rsidRPr="003175D0">
        <w:rPr>
          <w:rFonts w:ascii="Arial" w:hAnsi="Arial" w:cs="Arial"/>
          <w:b/>
          <w:bCs/>
          <w:sz w:val="22"/>
        </w:rPr>
        <w:t>3.</w:t>
      </w:r>
      <w:r w:rsidR="0082419D" w:rsidRPr="003175D0">
        <w:rPr>
          <w:rFonts w:ascii="Arial" w:hAnsi="Arial" w:cs="Arial"/>
          <w:b/>
          <w:bCs/>
          <w:sz w:val="22"/>
        </w:rPr>
        <w:t>4</w:t>
      </w:r>
      <w:r w:rsidR="008427E5">
        <w:rPr>
          <w:rFonts w:ascii="Arial" w:hAnsi="Arial" w:cs="Arial"/>
          <w:b/>
          <w:bCs/>
          <w:sz w:val="22"/>
        </w:rPr>
        <w:t>…………………………………………………………………...</w:t>
      </w:r>
      <w:r w:rsidRPr="003175D0">
        <w:rPr>
          <w:rFonts w:ascii="Arial" w:hAnsi="Arial" w:cs="Arial"/>
          <w:b/>
          <w:bCs/>
          <w:sz w:val="22"/>
        </w:rPr>
        <w:t xml:space="preserve"> Current Skills and Strengths</w:t>
      </w:r>
    </w:p>
    <w:p w14:paraId="4F590E46" w14:textId="3463D4F7" w:rsidR="00C024DF" w:rsidRPr="003175D0" w:rsidRDefault="00C024DF" w:rsidP="00EC61A9">
      <w:pPr>
        <w:spacing w:line="360" w:lineRule="auto"/>
        <w:jc w:val="both"/>
        <w:rPr>
          <w:rFonts w:ascii="Arial" w:hAnsi="Arial" w:cs="Arial"/>
          <w:b/>
          <w:bCs/>
          <w:sz w:val="22"/>
        </w:rPr>
      </w:pPr>
      <w:r w:rsidRPr="003175D0">
        <w:rPr>
          <w:rFonts w:ascii="Arial" w:hAnsi="Arial" w:cs="Arial"/>
          <w:b/>
          <w:bCs/>
          <w:sz w:val="22"/>
        </w:rPr>
        <w:t>3.</w:t>
      </w:r>
      <w:r w:rsidR="00D759E2">
        <w:rPr>
          <w:rFonts w:ascii="Arial" w:hAnsi="Arial" w:cs="Arial"/>
          <w:b/>
          <w:bCs/>
          <w:sz w:val="22"/>
        </w:rPr>
        <w:t>5</w:t>
      </w:r>
      <w:r w:rsidR="008427E5">
        <w:rPr>
          <w:rFonts w:ascii="Arial" w:hAnsi="Arial" w:cs="Arial"/>
          <w:b/>
          <w:bCs/>
          <w:sz w:val="22"/>
        </w:rPr>
        <w:t>………………………………………………………………………………………...</w:t>
      </w:r>
      <w:r w:rsidRPr="003175D0">
        <w:rPr>
          <w:rFonts w:ascii="Arial" w:hAnsi="Arial" w:cs="Arial"/>
          <w:b/>
          <w:bCs/>
          <w:sz w:val="22"/>
        </w:rPr>
        <w:t xml:space="preserve"> Conclusion</w:t>
      </w:r>
    </w:p>
    <w:p w14:paraId="3DF5BEF5" w14:textId="77777777" w:rsidR="001E2D85" w:rsidRDefault="001E2D85" w:rsidP="00594FAC">
      <w:pPr>
        <w:spacing w:line="360" w:lineRule="auto"/>
        <w:rPr>
          <w:rFonts w:ascii="Arial" w:hAnsi="Arial" w:cs="Arial"/>
          <w:b/>
          <w:bCs/>
          <w:sz w:val="28"/>
          <w:szCs w:val="28"/>
        </w:rPr>
      </w:pPr>
    </w:p>
    <w:p w14:paraId="0397BC93" w14:textId="77777777" w:rsidR="00A53764" w:rsidRDefault="00A53764" w:rsidP="00594FAC">
      <w:pPr>
        <w:spacing w:line="360" w:lineRule="auto"/>
        <w:rPr>
          <w:rFonts w:ascii="Arial" w:hAnsi="Arial" w:cs="Arial"/>
          <w:b/>
          <w:bCs/>
          <w:sz w:val="28"/>
          <w:szCs w:val="28"/>
        </w:rPr>
      </w:pPr>
    </w:p>
    <w:p w14:paraId="37A1F694" w14:textId="77777777" w:rsidR="00A53764" w:rsidRDefault="00A53764" w:rsidP="00594FAC">
      <w:pPr>
        <w:spacing w:line="360" w:lineRule="auto"/>
        <w:rPr>
          <w:rFonts w:ascii="Arial" w:hAnsi="Arial" w:cs="Arial"/>
          <w:b/>
          <w:bCs/>
          <w:sz w:val="28"/>
          <w:szCs w:val="28"/>
        </w:rPr>
      </w:pPr>
    </w:p>
    <w:p w14:paraId="73FD84FF" w14:textId="67C1A8D1" w:rsidR="00A53764" w:rsidRDefault="00757E60" w:rsidP="00594FAC">
      <w:pPr>
        <w:spacing w:line="360" w:lineRule="auto"/>
        <w:rPr>
          <w:rFonts w:ascii="Arial" w:hAnsi="Arial" w:cs="Arial"/>
          <w:b/>
          <w:bCs/>
          <w:sz w:val="28"/>
          <w:szCs w:val="28"/>
        </w:rPr>
      </w:pPr>
      <w:r>
        <w:rPr>
          <w:rFonts w:ascii="Arial" w:hAnsi="Arial" w:cs="Arial"/>
          <w:b/>
          <w:bCs/>
          <w:sz w:val="28"/>
          <w:szCs w:val="28"/>
        </w:rPr>
        <w:t>Introduction.</w:t>
      </w:r>
    </w:p>
    <w:p w14:paraId="540DF0F2" w14:textId="46FA3D6B" w:rsidR="00757E60" w:rsidRPr="00757E60" w:rsidRDefault="00757E60" w:rsidP="00757E60">
      <w:pPr>
        <w:spacing w:line="360" w:lineRule="auto"/>
        <w:jc w:val="both"/>
        <w:rPr>
          <w:rFonts w:ascii="Arial" w:hAnsi="Arial" w:cs="Arial"/>
          <w:sz w:val="22"/>
        </w:rPr>
      </w:pPr>
      <w:r w:rsidRPr="00757E60">
        <w:rPr>
          <w:rFonts w:ascii="Arial" w:hAnsi="Arial" w:cs="Arial"/>
          <w:sz w:val="22"/>
        </w:rPr>
        <w:t>Person</w:t>
      </w:r>
      <w:r w:rsidRPr="00757E60">
        <w:rPr>
          <w:rFonts w:ascii="Cambria Math" w:hAnsi="Cambria Math" w:cs="Cambria Math"/>
          <w:sz w:val="22"/>
        </w:rPr>
        <w:t>‑</w:t>
      </w:r>
      <w:r w:rsidRPr="00757E60">
        <w:rPr>
          <w:rFonts w:ascii="Arial" w:hAnsi="Arial" w:cs="Arial"/>
          <w:sz w:val="22"/>
        </w:rPr>
        <w:t>centred care, partnership working, and ethical practice are core principles that shape high</w:t>
      </w:r>
      <w:r w:rsidRPr="00757E60">
        <w:rPr>
          <w:rFonts w:ascii="Cambria Math" w:hAnsi="Cambria Math" w:cs="Cambria Math"/>
          <w:sz w:val="22"/>
        </w:rPr>
        <w:t>‑</w:t>
      </w:r>
      <w:r w:rsidRPr="00757E60">
        <w:rPr>
          <w:rFonts w:ascii="Arial" w:hAnsi="Arial" w:cs="Arial"/>
          <w:sz w:val="22"/>
        </w:rPr>
        <w:t>quality health and social care in the UK. These principles ensure that support is compassionate, rights</w:t>
      </w:r>
      <w:r w:rsidRPr="00757E60">
        <w:rPr>
          <w:rFonts w:ascii="Cambria Math" w:hAnsi="Cambria Math" w:cs="Cambria Math"/>
          <w:sz w:val="22"/>
        </w:rPr>
        <w:t>‑</w:t>
      </w:r>
      <w:r w:rsidRPr="00757E60">
        <w:rPr>
          <w:rFonts w:ascii="Arial" w:hAnsi="Arial" w:cs="Arial"/>
          <w:sz w:val="22"/>
        </w:rPr>
        <w:t>based, and responsive to individual needs. Person</w:t>
      </w:r>
      <w:r w:rsidRPr="00757E60">
        <w:rPr>
          <w:rFonts w:ascii="Cambria Math" w:hAnsi="Cambria Math" w:cs="Cambria Math"/>
          <w:sz w:val="22"/>
        </w:rPr>
        <w:t>‑</w:t>
      </w:r>
      <w:r w:rsidRPr="00757E60">
        <w:rPr>
          <w:rFonts w:ascii="Arial" w:hAnsi="Arial" w:cs="Arial"/>
          <w:sz w:val="22"/>
        </w:rPr>
        <w:t>centred care places the individual at the heart of decision</w:t>
      </w:r>
      <w:r w:rsidRPr="00757E60">
        <w:rPr>
          <w:rFonts w:ascii="Cambria Math" w:hAnsi="Cambria Math" w:cs="Cambria Math"/>
          <w:sz w:val="22"/>
        </w:rPr>
        <w:t>‑</w:t>
      </w:r>
      <w:r w:rsidRPr="00757E60">
        <w:rPr>
          <w:rFonts w:ascii="Arial" w:hAnsi="Arial" w:cs="Arial"/>
          <w:sz w:val="22"/>
        </w:rPr>
        <w:t xml:space="preserve">making, emphasising dignity, autonomy, and respect. It focuses on understanding “what matters” to each person and tailoring care to their preferences </w:t>
      </w:r>
      <w:r w:rsidRPr="00757E60">
        <w:rPr>
          <w:rFonts w:ascii="Arial" w:hAnsi="Arial" w:cs="Arial"/>
          <w:sz w:val="22"/>
        </w:rPr>
        <w:lastRenderedPageBreak/>
        <w:t>and goals (Health Foundation, 2016; NHS, 2021). Partnership working strengthens this approach by promoting collaboration between professionals, agencies, families, and communities. Research highlights that effective collaboration improves continuity, communication, and outcomes, particularly for people with complex needs (Glasby and Dickinson, 2014). Ethical practice underpins both principles, guided by frameworks such as the Human Rights Act 1998, the Equality Act 2010, and professional codes that require practitioners to act with integrity, fairness, and respect. Together, these principles provide a foundation for reflective, safe, and person</w:t>
      </w:r>
      <w:r w:rsidRPr="00757E60">
        <w:rPr>
          <w:rFonts w:ascii="Cambria Math" w:hAnsi="Cambria Math" w:cs="Cambria Math"/>
          <w:sz w:val="22"/>
        </w:rPr>
        <w:t>‑</w:t>
      </w:r>
      <w:r w:rsidRPr="00757E60">
        <w:rPr>
          <w:rFonts w:ascii="Arial" w:hAnsi="Arial" w:cs="Arial"/>
          <w:sz w:val="22"/>
        </w:rPr>
        <w:t>centred professional practice.</w:t>
      </w:r>
    </w:p>
    <w:p w14:paraId="04D4E89E" w14:textId="77777777" w:rsidR="00757E60" w:rsidRPr="00757E60" w:rsidRDefault="00757E60" w:rsidP="00757E60">
      <w:pPr>
        <w:spacing w:line="360" w:lineRule="auto"/>
        <w:jc w:val="both"/>
        <w:rPr>
          <w:rFonts w:ascii="Arial" w:hAnsi="Arial" w:cs="Arial"/>
          <w:sz w:val="22"/>
        </w:rPr>
      </w:pPr>
    </w:p>
    <w:p w14:paraId="2E06A5A3" w14:textId="77777777" w:rsidR="00757E60" w:rsidRPr="00757E60" w:rsidRDefault="00757E60" w:rsidP="00757E60">
      <w:pPr>
        <w:spacing w:line="360" w:lineRule="auto"/>
        <w:jc w:val="both"/>
        <w:rPr>
          <w:rFonts w:ascii="Arial" w:hAnsi="Arial" w:cs="Arial"/>
          <w:sz w:val="22"/>
        </w:rPr>
      </w:pPr>
    </w:p>
    <w:p w14:paraId="4D46E321" w14:textId="77777777" w:rsidR="00A53764" w:rsidRDefault="00A53764" w:rsidP="00594FAC">
      <w:pPr>
        <w:spacing w:line="360" w:lineRule="auto"/>
        <w:rPr>
          <w:rFonts w:ascii="Arial" w:hAnsi="Arial" w:cs="Arial"/>
          <w:b/>
          <w:bCs/>
          <w:sz w:val="28"/>
          <w:szCs w:val="28"/>
        </w:rPr>
      </w:pPr>
    </w:p>
    <w:p w14:paraId="76ED0F30" w14:textId="77777777" w:rsidR="00A53764" w:rsidRDefault="00A53764" w:rsidP="00594FAC">
      <w:pPr>
        <w:spacing w:line="360" w:lineRule="auto"/>
        <w:rPr>
          <w:rFonts w:ascii="Arial" w:hAnsi="Arial" w:cs="Arial"/>
          <w:b/>
          <w:bCs/>
          <w:sz w:val="28"/>
          <w:szCs w:val="28"/>
        </w:rPr>
      </w:pPr>
    </w:p>
    <w:p w14:paraId="06E94E43" w14:textId="77777777" w:rsidR="00A53764" w:rsidRDefault="00A53764" w:rsidP="00594FAC">
      <w:pPr>
        <w:spacing w:line="360" w:lineRule="auto"/>
        <w:rPr>
          <w:rFonts w:ascii="Arial" w:hAnsi="Arial" w:cs="Arial"/>
          <w:b/>
          <w:bCs/>
          <w:sz w:val="28"/>
          <w:szCs w:val="28"/>
        </w:rPr>
      </w:pPr>
    </w:p>
    <w:p w14:paraId="7590A933" w14:textId="5A9FC281" w:rsidR="00FA6835" w:rsidRPr="00FA6835" w:rsidRDefault="00FA6835" w:rsidP="00594FAC">
      <w:pPr>
        <w:spacing w:line="360" w:lineRule="auto"/>
        <w:rPr>
          <w:rFonts w:ascii="Arial" w:hAnsi="Arial" w:cs="Arial"/>
          <w:b/>
          <w:bCs/>
          <w:sz w:val="28"/>
          <w:szCs w:val="28"/>
        </w:rPr>
      </w:pPr>
      <w:r w:rsidRPr="00FA6835">
        <w:rPr>
          <w:rFonts w:ascii="Arial" w:hAnsi="Arial" w:cs="Arial"/>
          <w:b/>
          <w:bCs/>
          <w:sz w:val="28"/>
          <w:szCs w:val="28"/>
        </w:rPr>
        <w:t>Task 1:</w:t>
      </w:r>
    </w:p>
    <w:p w14:paraId="699E5CF5" w14:textId="69E444FA" w:rsidR="00FA6835" w:rsidRDefault="00FA6835" w:rsidP="00B27E16">
      <w:pPr>
        <w:spacing w:line="360" w:lineRule="auto"/>
        <w:jc w:val="both"/>
        <w:rPr>
          <w:rFonts w:ascii="Arial" w:hAnsi="Arial" w:cs="Arial"/>
          <w:b/>
          <w:bCs/>
          <w:i/>
          <w:iCs/>
          <w:sz w:val="32"/>
          <w:szCs w:val="32"/>
        </w:rPr>
      </w:pPr>
      <w:r w:rsidRPr="00FA6835">
        <w:rPr>
          <w:rFonts w:ascii="Arial" w:hAnsi="Arial" w:cs="Arial"/>
        </w:rPr>
        <w:t xml:space="preserve"> </w:t>
      </w:r>
      <w:r w:rsidRPr="00B27E16">
        <w:rPr>
          <w:rFonts w:ascii="Arial" w:hAnsi="Arial" w:cs="Arial"/>
          <w:b/>
          <w:bCs/>
          <w:i/>
          <w:iCs/>
          <w:sz w:val="32"/>
          <w:szCs w:val="32"/>
        </w:rPr>
        <w:t>Reflection on the Importance of Principles of Health and Social Care.</w:t>
      </w:r>
    </w:p>
    <w:p w14:paraId="19EBB061" w14:textId="77777777" w:rsidR="009D4CBE" w:rsidRPr="00B27E16" w:rsidRDefault="009D4CBE" w:rsidP="00B27E16">
      <w:pPr>
        <w:spacing w:line="360" w:lineRule="auto"/>
        <w:jc w:val="both"/>
        <w:rPr>
          <w:rFonts w:ascii="Arial" w:hAnsi="Arial" w:cs="Arial"/>
          <w:b/>
          <w:bCs/>
          <w:i/>
          <w:iCs/>
          <w:sz w:val="32"/>
          <w:szCs w:val="32"/>
        </w:rPr>
      </w:pPr>
    </w:p>
    <w:p w14:paraId="2136EED4" w14:textId="168872C1" w:rsidR="009D4CBE" w:rsidRPr="009D4CBE" w:rsidRDefault="009D4CBE" w:rsidP="009D4CBE">
      <w:pPr>
        <w:spacing w:line="360" w:lineRule="auto"/>
        <w:jc w:val="both"/>
        <w:rPr>
          <w:rFonts w:ascii="Arial" w:hAnsi="Arial" w:cs="Arial"/>
          <w:sz w:val="22"/>
        </w:rPr>
      </w:pPr>
      <w:r w:rsidRPr="009D4CBE">
        <w:rPr>
          <w:rFonts w:ascii="Arial" w:hAnsi="Arial" w:cs="Arial"/>
          <w:sz w:val="22"/>
        </w:rPr>
        <w:t>Person</w:t>
      </w:r>
      <w:r w:rsidRPr="009D4CBE">
        <w:rPr>
          <w:rFonts w:ascii="Cambria Math" w:hAnsi="Cambria Math" w:cs="Cambria Math"/>
          <w:sz w:val="22"/>
        </w:rPr>
        <w:t>‑</w:t>
      </w:r>
      <w:r w:rsidRPr="009D4CBE">
        <w:rPr>
          <w:rFonts w:ascii="Arial" w:hAnsi="Arial" w:cs="Arial"/>
          <w:sz w:val="22"/>
        </w:rPr>
        <w:t>centred care, partnership working, and ethical practice are fundamental principles that shape high</w:t>
      </w:r>
      <w:r w:rsidRPr="009D4CBE">
        <w:rPr>
          <w:rFonts w:ascii="Cambria Math" w:hAnsi="Cambria Math" w:cs="Cambria Math"/>
          <w:sz w:val="22"/>
        </w:rPr>
        <w:t>‑</w:t>
      </w:r>
      <w:r w:rsidRPr="009D4CBE">
        <w:rPr>
          <w:rFonts w:ascii="Arial" w:hAnsi="Arial" w:cs="Arial"/>
          <w:sz w:val="22"/>
        </w:rPr>
        <w:t>quality health and social care in the UK. These principles ensure that support is compassionate, rights</w:t>
      </w:r>
      <w:r w:rsidRPr="009D4CBE">
        <w:rPr>
          <w:rFonts w:ascii="Cambria Math" w:hAnsi="Cambria Math" w:cs="Cambria Math"/>
          <w:sz w:val="22"/>
        </w:rPr>
        <w:t>‑</w:t>
      </w:r>
      <w:r w:rsidRPr="009D4CBE">
        <w:rPr>
          <w:rFonts w:ascii="Arial" w:hAnsi="Arial" w:cs="Arial"/>
          <w:sz w:val="22"/>
        </w:rPr>
        <w:t>based, and responsive to each</w:t>
      </w:r>
      <w:r w:rsidR="00E823BF">
        <w:rPr>
          <w:rFonts w:ascii="Arial" w:hAnsi="Arial" w:cs="Arial"/>
          <w:sz w:val="22"/>
        </w:rPr>
        <w:t xml:space="preserve"> </w:t>
      </w:r>
      <w:r w:rsidRPr="009D4CBE">
        <w:rPr>
          <w:rFonts w:ascii="Arial" w:hAnsi="Arial" w:cs="Arial"/>
          <w:sz w:val="22"/>
        </w:rPr>
        <w:t>individual’s unique needs. Person</w:t>
      </w:r>
      <w:r w:rsidRPr="009D4CBE">
        <w:rPr>
          <w:rFonts w:ascii="Cambria Math" w:hAnsi="Cambria Math" w:cs="Cambria Math"/>
          <w:sz w:val="22"/>
        </w:rPr>
        <w:t>‑</w:t>
      </w:r>
      <w:r w:rsidRPr="009D4CBE">
        <w:rPr>
          <w:rFonts w:ascii="Arial" w:hAnsi="Arial" w:cs="Arial"/>
          <w:sz w:val="22"/>
        </w:rPr>
        <w:t>centred care places the individual at the heart of all decisions, emphasising dignity, respect, independence, and personalisation. The Health Foundation (2016) highlights that person</w:t>
      </w:r>
      <w:r w:rsidRPr="009D4CBE">
        <w:rPr>
          <w:rFonts w:ascii="Cambria Math" w:hAnsi="Cambria Math" w:cs="Cambria Math"/>
          <w:sz w:val="22"/>
        </w:rPr>
        <w:t>‑</w:t>
      </w:r>
      <w:r w:rsidRPr="009D4CBE">
        <w:rPr>
          <w:rFonts w:ascii="Arial" w:hAnsi="Arial" w:cs="Arial"/>
          <w:sz w:val="22"/>
        </w:rPr>
        <w:t>centred care requires understanding “what matters” to the individual and working collaboratively to support their goals. This aligns with the NHS Constitution, which reinforces people’s rights to be involved in decisions about their care (NHS, 2021). Maslow’s Hierarchy of Needs provides a useful theoretical foundation, illustrating that individuals can only engage meaningfully in their care when their basic physical, emotional, and psychological needs are met. When these needs are supported, people feel safer, more respected, and more empowered to participate in their own wellbeing.</w:t>
      </w:r>
    </w:p>
    <w:p w14:paraId="5374FDA0" w14:textId="77777777" w:rsidR="009D4CBE" w:rsidRPr="009D4CBE" w:rsidRDefault="009D4CBE" w:rsidP="009D4CBE">
      <w:pPr>
        <w:spacing w:line="360" w:lineRule="auto"/>
        <w:jc w:val="both"/>
        <w:rPr>
          <w:rFonts w:ascii="Arial" w:hAnsi="Arial" w:cs="Arial"/>
          <w:sz w:val="22"/>
        </w:rPr>
      </w:pPr>
    </w:p>
    <w:p w14:paraId="4A32CF52" w14:textId="77777777" w:rsidR="009D4CBE" w:rsidRPr="009D4CBE" w:rsidRDefault="009D4CBE" w:rsidP="009D4CBE">
      <w:pPr>
        <w:spacing w:line="360" w:lineRule="auto"/>
        <w:jc w:val="both"/>
        <w:rPr>
          <w:rFonts w:ascii="Arial" w:hAnsi="Arial" w:cs="Arial"/>
          <w:sz w:val="22"/>
        </w:rPr>
      </w:pPr>
      <w:r w:rsidRPr="009D4CBE">
        <w:rPr>
          <w:rFonts w:ascii="Arial" w:hAnsi="Arial" w:cs="Arial"/>
          <w:sz w:val="22"/>
        </w:rPr>
        <w:lastRenderedPageBreak/>
        <w:t>Partnership working strengthens person</w:t>
      </w:r>
      <w:r w:rsidRPr="009D4CBE">
        <w:rPr>
          <w:rFonts w:ascii="Cambria Math" w:hAnsi="Cambria Math" w:cs="Cambria Math"/>
          <w:sz w:val="22"/>
        </w:rPr>
        <w:t>‑</w:t>
      </w:r>
      <w:r w:rsidRPr="009D4CBE">
        <w:rPr>
          <w:rFonts w:ascii="Arial" w:hAnsi="Arial" w:cs="Arial"/>
          <w:sz w:val="22"/>
        </w:rPr>
        <w:t>centred care by promoting collaboration between professionals, agencies, families, and communities. The Care Act 2014 places a statutory duty on services to work together to meet individuals’ needs, particularly those with complex or long</w:t>
      </w:r>
      <w:r w:rsidRPr="009D4CBE">
        <w:rPr>
          <w:rFonts w:ascii="Cambria Math" w:hAnsi="Cambria Math" w:cs="Cambria Math"/>
          <w:sz w:val="22"/>
        </w:rPr>
        <w:t>‑</w:t>
      </w:r>
      <w:r w:rsidRPr="009D4CBE">
        <w:rPr>
          <w:rFonts w:ascii="Arial" w:hAnsi="Arial" w:cs="Arial"/>
          <w:sz w:val="22"/>
        </w:rPr>
        <w:t>term conditions. Effective partnership working improves continuity, reduces duplication, and enhances communication across services (Glasby and Dickinson, 2014). Structures such as multidisciplinary teams (MDTs) and Integrated Care Systems (ICSs) bring together expertise from health, social care, mental health, and voluntary sectors. Maslow’s theory reinforces the value of partnership working by showing that individuals’ higher</w:t>
      </w:r>
      <w:r w:rsidRPr="009D4CBE">
        <w:rPr>
          <w:rFonts w:ascii="Cambria Math" w:hAnsi="Cambria Math" w:cs="Cambria Math"/>
          <w:sz w:val="22"/>
        </w:rPr>
        <w:t>‑</w:t>
      </w:r>
      <w:r w:rsidRPr="009D4CBE">
        <w:rPr>
          <w:rFonts w:ascii="Arial" w:hAnsi="Arial" w:cs="Arial"/>
          <w:sz w:val="22"/>
        </w:rPr>
        <w:t>level needs—such as belonging, esteem, and self</w:t>
      </w:r>
      <w:r w:rsidRPr="009D4CBE">
        <w:rPr>
          <w:rFonts w:ascii="Cambria Math" w:hAnsi="Cambria Math" w:cs="Cambria Math"/>
          <w:sz w:val="22"/>
        </w:rPr>
        <w:t>‑</w:t>
      </w:r>
      <w:r w:rsidRPr="009D4CBE">
        <w:rPr>
          <w:rFonts w:ascii="Arial" w:hAnsi="Arial" w:cs="Arial"/>
          <w:sz w:val="22"/>
        </w:rPr>
        <w:t>actualisation—are best supported when services collaborate, enabling people to feel valued, understood, and included in decisions about their care. This collaborative approach is essential for safeguarding, discharge planning, rehabilitation, and supporting individuals with multiple needs.</w:t>
      </w:r>
    </w:p>
    <w:p w14:paraId="1A4861B8" w14:textId="77777777" w:rsidR="009D4CBE" w:rsidRPr="009D4CBE" w:rsidRDefault="009D4CBE" w:rsidP="009D4CBE">
      <w:pPr>
        <w:spacing w:line="360" w:lineRule="auto"/>
        <w:jc w:val="both"/>
        <w:rPr>
          <w:rFonts w:ascii="Arial" w:hAnsi="Arial" w:cs="Arial"/>
          <w:sz w:val="22"/>
        </w:rPr>
      </w:pPr>
    </w:p>
    <w:p w14:paraId="3832E340" w14:textId="65D99D05" w:rsidR="005B24DC" w:rsidRDefault="009D4CBE" w:rsidP="009D4CBE">
      <w:pPr>
        <w:spacing w:line="360" w:lineRule="auto"/>
        <w:jc w:val="both"/>
        <w:rPr>
          <w:rFonts w:ascii="Arial" w:hAnsi="Arial" w:cs="Arial"/>
          <w:sz w:val="22"/>
        </w:rPr>
      </w:pPr>
      <w:r w:rsidRPr="009D4CBE">
        <w:rPr>
          <w:rFonts w:ascii="Arial" w:hAnsi="Arial" w:cs="Arial"/>
          <w:sz w:val="22"/>
        </w:rPr>
        <w:t>Ethical practice underpins both person</w:t>
      </w:r>
      <w:r w:rsidRPr="009D4CBE">
        <w:rPr>
          <w:rFonts w:ascii="Cambria Math" w:hAnsi="Cambria Math" w:cs="Cambria Math"/>
          <w:sz w:val="22"/>
        </w:rPr>
        <w:t>‑</w:t>
      </w:r>
      <w:r w:rsidRPr="009D4CBE">
        <w:rPr>
          <w:rFonts w:ascii="Arial" w:hAnsi="Arial" w:cs="Arial"/>
          <w:sz w:val="22"/>
        </w:rPr>
        <w:t>centred care and partnership working. Ethics in health and social care refers to the moral principles that guide professional behaviour, including autonomy, beneficence, non</w:t>
      </w:r>
      <w:r w:rsidRPr="009D4CBE">
        <w:rPr>
          <w:rFonts w:ascii="Cambria Math" w:hAnsi="Cambria Math" w:cs="Cambria Math"/>
          <w:sz w:val="22"/>
        </w:rPr>
        <w:t>‑</w:t>
      </w:r>
      <w:r w:rsidRPr="009D4CBE">
        <w:rPr>
          <w:rFonts w:ascii="Arial" w:hAnsi="Arial" w:cs="Arial"/>
          <w:sz w:val="22"/>
        </w:rPr>
        <w:t>maleficence, justice, confidentiality, and dignity. These principles are reinforced through professional codes such as the NMC Code (2018) and the HCPC Standards of Conduct (2016), which ensure that practitioners act in the best interests of individuals and maintain professional integrity. Legislation such as the Human Rights Act 1998 and the Equality Act 2010 further protects individuals’ rights, requiring services to treat people fairly, prevent discrimination, and uphold privacy. Maslow’s Hierarchy of Needs supports ethical practice by emphasising that individuals’ rights, safety, and wellbeing must be protected before higher</w:t>
      </w:r>
      <w:r w:rsidRPr="009D4CBE">
        <w:rPr>
          <w:rFonts w:ascii="Cambria Math" w:hAnsi="Cambria Math" w:cs="Cambria Math"/>
          <w:sz w:val="22"/>
        </w:rPr>
        <w:t>‑</w:t>
      </w:r>
      <w:r w:rsidRPr="009D4CBE">
        <w:rPr>
          <w:rFonts w:ascii="Arial" w:hAnsi="Arial" w:cs="Arial"/>
          <w:sz w:val="22"/>
        </w:rPr>
        <w:t>level needs can be met. Ethical decision</w:t>
      </w:r>
      <w:r w:rsidRPr="009D4CBE">
        <w:rPr>
          <w:rFonts w:ascii="Cambria Math" w:hAnsi="Cambria Math" w:cs="Cambria Math"/>
          <w:sz w:val="22"/>
        </w:rPr>
        <w:t>‑</w:t>
      </w:r>
      <w:r w:rsidRPr="009D4CBE">
        <w:rPr>
          <w:rFonts w:ascii="Arial" w:hAnsi="Arial" w:cs="Arial"/>
          <w:sz w:val="22"/>
        </w:rPr>
        <w:t>making therefore ensures that care is safe, respectful, and aligned with each person’s values and wishes.</w:t>
      </w:r>
    </w:p>
    <w:p w14:paraId="3DF23A73" w14:textId="77777777" w:rsidR="00B27E16" w:rsidRDefault="00B27E16" w:rsidP="00B27E16">
      <w:pPr>
        <w:spacing w:line="360" w:lineRule="auto"/>
        <w:jc w:val="both"/>
        <w:rPr>
          <w:rFonts w:ascii="Arial" w:hAnsi="Arial" w:cs="Arial"/>
          <w:sz w:val="22"/>
        </w:rPr>
      </w:pPr>
    </w:p>
    <w:p w14:paraId="27492B91" w14:textId="77777777" w:rsidR="00B27E16" w:rsidRDefault="00B27E16" w:rsidP="00B27E16">
      <w:pPr>
        <w:spacing w:line="360" w:lineRule="auto"/>
        <w:jc w:val="both"/>
        <w:rPr>
          <w:rFonts w:ascii="Arial" w:hAnsi="Arial" w:cs="Arial"/>
          <w:sz w:val="22"/>
        </w:rPr>
      </w:pPr>
    </w:p>
    <w:p w14:paraId="09C34D2C" w14:textId="77777777" w:rsidR="00B27E16" w:rsidRDefault="00B27E16" w:rsidP="00B27E16">
      <w:pPr>
        <w:spacing w:line="360" w:lineRule="auto"/>
        <w:jc w:val="both"/>
        <w:rPr>
          <w:rFonts w:ascii="Arial" w:hAnsi="Arial" w:cs="Arial"/>
          <w:sz w:val="22"/>
        </w:rPr>
      </w:pPr>
    </w:p>
    <w:p w14:paraId="1D379845" w14:textId="77777777" w:rsidR="00B27E16" w:rsidRPr="00B27E16" w:rsidRDefault="00B27E16" w:rsidP="00B27E16">
      <w:pPr>
        <w:spacing w:after="0" w:line="360" w:lineRule="auto"/>
        <w:rPr>
          <w:rFonts w:ascii="Arial" w:eastAsia="Arial" w:hAnsi="Arial" w:cs="Arial"/>
          <w:b/>
          <w:bCs/>
          <w:i/>
          <w:iCs/>
          <w:sz w:val="32"/>
          <w:szCs w:val="32"/>
        </w:rPr>
      </w:pPr>
      <w:r w:rsidRPr="00B27E16">
        <w:rPr>
          <w:rFonts w:ascii="Arial" w:eastAsia="Arial" w:hAnsi="Arial" w:cs="Arial"/>
          <w:b/>
          <w:bCs/>
          <w:i/>
          <w:iCs/>
          <w:sz w:val="32"/>
          <w:szCs w:val="32"/>
        </w:rPr>
        <w:t xml:space="preserve">Task 2: </w:t>
      </w:r>
    </w:p>
    <w:p w14:paraId="72F17E00" w14:textId="20598E6A" w:rsidR="00602E35" w:rsidRPr="00444FBD" w:rsidRDefault="00B27E16" w:rsidP="00B27E16">
      <w:pPr>
        <w:spacing w:line="360" w:lineRule="auto"/>
        <w:jc w:val="both"/>
        <w:rPr>
          <w:rFonts w:ascii="Arial" w:hAnsi="Arial" w:cs="Arial"/>
          <w:b/>
          <w:bCs/>
          <w:i/>
          <w:iCs/>
          <w:sz w:val="28"/>
          <w:szCs w:val="28"/>
        </w:rPr>
      </w:pPr>
      <w:r w:rsidRPr="00444FBD">
        <w:rPr>
          <w:rFonts w:ascii="Arial" w:hAnsi="Arial" w:cs="Arial"/>
          <w:b/>
          <w:bCs/>
          <w:i/>
          <w:iCs/>
          <w:sz w:val="28"/>
          <w:szCs w:val="28"/>
        </w:rPr>
        <w:t xml:space="preserve"> Practical Examples of Concepts in Practice </w:t>
      </w:r>
    </w:p>
    <w:p w14:paraId="2F56ACE6" w14:textId="7D3CD783" w:rsidR="001E6113" w:rsidRPr="00E27997" w:rsidRDefault="00E27997" w:rsidP="00B27E16">
      <w:pPr>
        <w:spacing w:line="360" w:lineRule="auto"/>
        <w:jc w:val="both"/>
        <w:rPr>
          <w:rFonts w:ascii="Arial" w:hAnsi="Arial" w:cs="Arial"/>
          <w:i/>
          <w:iCs/>
          <w:sz w:val="22"/>
        </w:rPr>
      </w:pPr>
      <w:r w:rsidRPr="00E27997">
        <w:rPr>
          <w:rFonts w:ascii="Arial" w:hAnsi="Arial" w:cs="Arial"/>
          <w:i/>
          <w:iCs/>
          <w:sz w:val="22"/>
        </w:rPr>
        <w:t>Experience</w:t>
      </w:r>
      <w:r w:rsidRPr="00E27997">
        <w:rPr>
          <w:rFonts w:ascii="Cambria Math" w:hAnsi="Cambria Math" w:cs="Cambria Math"/>
          <w:i/>
          <w:iCs/>
          <w:sz w:val="22"/>
        </w:rPr>
        <w:t>‑</w:t>
      </w:r>
      <w:r w:rsidRPr="00E27997">
        <w:rPr>
          <w:rFonts w:ascii="Arial" w:hAnsi="Arial" w:cs="Arial"/>
          <w:i/>
          <w:iCs/>
          <w:sz w:val="22"/>
        </w:rPr>
        <w:t>Based Co</w:t>
      </w:r>
      <w:r w:rsidRPr="00E27997">
        <w:rPr>
          <w:rFonts w:ascii="Cambria Math" w:hAnsi="Cambria Math" w:cs="Cambria Math"/>
          <w:i/>
          <w:iCs/>
          <w:sz w:val="22"/>
        </w:rPr>
        <w:t>‑</w:t>
      </w:r>
      <w:r w:rsidRPr="00E27997">
        <w:rPr>
          <w:rFonts w:ascii="Arial" w:hAnsi="Arial" w:cs="Arial"/>
          <w:i/>
          <w:iCs/>
          <w:sz w:val="22"/>
        </w:rPr>
        <w:t>Design (EBCD) is an evidence</w:t>
      </w:r>
      <w:r w:rsidRPr="00E27997">
        <w:rPr>
          <w:rFonts w:ascii="Cambria Math" w:hAnsi="Cambria Math" w:cs="Cambria Math"/>
          <w:i/>
          <w:iCs/>
          <w:sz w:val="22"/>
        </w:rPr>
        <w:t>‑</w:t>
      </w:r>
      <w:r w:rsidRPr="00E27997">
        <w:rPr>
          <w:rFonts w:ascii="Arial" w:hAnsi="Arial" w:cs="Arial"/>
          <w:i/>
          <w:iCs/>
          <w:sz w:val="22"/>
        </w:rPr>
        <w:t>based improvement methodology that brings patients, carers, and staff together to identify priorities for change and co</w:t>
      </w:r>
      <w:r w:rsidRPr="00E27997">
        <w:rPr>
          <w:rFonts w:ascii="Cambria Math" w:hAnsi="Cambria Math" w:cs="Cambria Math"/>
          <w:i/>
          <w:iCs/>
          <w:sz w:val="22"/>
        </w:rPr>
        <w:t>‑</w:t>
      </w:r>
      <w:r w:rsidRPr="00E27997">
        <w:rPr>
          <w:rFonts w:ascii="Arial" w:hAnsi="Arial" w:cs="Arial"/>
          <w:i/>
          <w:iCs/>
          <w:sz w:val="22"/>
        </w:rPr>
        <w:t xml:space="preserve">create solutions (Bate and Robert, 2006; King’s College London, 2013; Farr et al., 2021). By focusing on lived experience and emotional “touchpoints,” EBCD enables services to redesign </w:t>
      </w:r>
      <w:r w:rsidRPr="00E27997">
        <w:rPr>
          <w:rFonts w:ascii="Arial" w:hAnsi="Arial" w:cs="Arial"/>
          <w:i/>
          <w:iCs/>
          <w:sz w:val="22"/>
        </w:rPr>
        <w:lastRenderedPageBreak/>
        <w:t>pathways in ways that improve both care quality and health outcomes (Bate and Robert, 2006). The following examples illustrate how EBCD principles have been applied in practice and supported by research.</w:t>
      </w:r>
    </w:p>
    <w:p w14:paraId="10D445BE" w14:textId="77777777" w:rsidR="001E1D07" w:rsidRPr="00E27997" w:rsidRDefault="001E1D07" w:rsidP="001E1D07">
      <w:pPr>
        <w:spacing w:line="360" w:lineRule="auto"/>
        <w:jc w:val="both"/>
        <w:rPr>
          <w:rFonts w:ascii="Arial" w:eastAsia="Arial" w:hAnsi="Arial" w:cs="Arial"/>
          <w:sz w:val="22"/>
        </w:rPr>
      </w:pPr>
      <w:r w:rsidRPr="00E27997">
        <w:rPr>
          <w:rFonts w:ascii="Arial" w:eastAsia="Arial" w:hAnsi="Arial" w:cs="Arial"/>
          <w:sz w:val="22"/>
        </w:rPr>
        <w:t>A practical example from community health services involved improving communication within a diabetes outpatient pathway. Patients reported uncertainty about appointment flow and inconsistent explanations of care plans. Staff, meanwhile, described pressures related to clinic capacity and documentation. Through co</w:t>
      </w:r>
      <w:r w:rsidRPr="00E27997">
        <w:rPr>
          <w:rFonts w:ascii="Cambria Math" w:eastAsia="Arial" w:hAnsi="Cambria Math" w:cs="Cambria Math"/>
          <w:sz w:val="22"/>
        </w:rPr>
        <w:t>‑</w:t>
      </w:r>
      <w:r w:rsidRPr="00E27997">
        <w:rPr>
          <w:rFonts w:ascii="Arial" w:eastAsia="Arial" w:hAnsi="Arial" w:cs="Arial"/>
          <w:sz w:val="22"/>
        </w:rPr>
        <w:t>design workshops, both groups developed a simple “What to Expect Today” leaflet and a structured verbal summary delivered at the end of each consultation. These small, patient</w:t>
      </w:r>
      <w:r w:rsidRPr="00E27997">
        <w:rPr>
          <w:rFonts w:ascii="Cambria Math" w:eastAsia="Arial" w:hAnsi="Cambria Math" w:cs="Cambria Math"/>
          <w:sz w:val="22"/>
        </w:rPr>
        <w:t>‑</w:t>
      </w:r>
      <w:r w:rsidRPr="00E27997">
        <w:rPr>
          <w:rFonts w:ascii="Arial" w:eastAsia="Arial" w:hAnsi="Arial" w:cs="Arial"/>
          <w:sz w:val="22"/>
        </w:rPr>
        <w:t>informed changes reduced anxiety, improved understanding of treatment plans, and decreased follow</w:t>
      </w:r>
      <w:r w:rsidRPr="00E27997">
        <w:rPr>
          <w:rFonts w:ascii="Cambria Math" w:eastAsia="Arial" w:hAnsi="Cambria Math" w:cs="Cambria Math"/>
          <w:sz w:val="22"/>
        </w:rPr>
        <w:t>‑</w:t>
      </w:r>
      <w:r w:rsidRPr="00E27997">
        <w:rPr>
          <w:rFonts w:ascii="Arial" w:eastAsia="Arial" w:hAnsi="Arial" w:cs="Arial"/>
          <w:sz w:val="22"/>
        </w:rPr>
        <w:t>up calls for clarification. This aligns with research showing that EBCD often leads to improvements in communication, patient confidence, and shared decision</w:t>
      </w:r>
      <w:r w:rsidRPr="00E27997">
        <w:rPr>
          <w:rFonts w:ascii="Cambria Math" w:eastAsia="Arial" w:hAnsi="Cambria Math" w:cs="Cambria Math"/>
          <w:sz w:val="22"/>
        </w:rPr>
        <w:t>‑</w:t>
      </w:r>
      <w:r w:rsidRPr="00E27997">
        <w:rPr>
          <w:rFonts w:ascii="Arial" w:eastAsia="Arial" w:hAnsi="Arial" w:cs="Arial"/>
          <w:sz w:val="22"/>
        </w:rPr>
        <w:t>making (</w:t>
      </w:r>
      <w:proofErr w:type="spellStart"/>
      <w:r w:rsidRPr="00E27997">
        <w:rPr>
          <w:rFonts w:ascii="Arial" w:eastAsia="Arial" w:hAnsi="Arial" w:cs="Arial"/>
          <w:sz w:val="22"/>
        </w:rPr>
        <w:t>Locock</w:t>
      </w:r>
      <w:proofErr w:type="spellEnd"/>
      <w:r w:rsidRPr="00E27997">
        <w:rPr>
          <w:rFonts w:ascii="Arial" w:eastAsia="Arial" w:hAnsi="Arial" w:cs="Arial"/>
          <w:sz w:val="22"/>
        </w:rPr>
        <w:t xml:space="preserve"> et al., 2014).</w:t>
      </w:r>
    </w:p>
    <w:p w14:paraId="3A84443E" w14:textId="77777777" w:rsidR="001E1D07" w:rsidRPr="00C127B6" w:rsidRDefault="001E1D07" w:rsidP="001E1D07">
      <w:pPr>
        <w:spacing w:line="360" w:lineRule="auto"/>
        <w:jc w:val="both"/>
        <w:rPr>
          <w:rFonts w:ascii="Arial" w:eastAsia="Arial" w:hAnsi="Arial" w:cs="Arial"/>
          <w:sz w:val="22"/>
        </w:rPr>
      </w:pPr>
      <w:r w:rsidRPr="00E27997">
        <w:rPr>
          <w:rFonts w:ascii="Arial" w:eastAsia="Arial" w:hAnsi="Arial" w:cs="Arial"/>
          <w:sz w:val="22"/>
        </w:rPr>
        <w:t>A widely cited published case study from King’s College London demonstrated the impact of EBCD in head and neck cancer services. Patients identified distressing experiences around fragmented care, poor communication at diagnosis, and limited emotional support. Staff acknowledged challenges coordinating across surgical, radiotherapy, and speech therapy teams. Co</w:t>
      </w:r>
      <w:r w:rsidRPr="00E27997">
        <w:rPr>
          <w:rFonts w:ascii="Cambria Math" w:eastAsia="Arial" w:hAnsi="Cambria Math" w:cs="Cambria Math"/>
          <w:sz w:val="22"/>
        </w:rPr>
        <w:t>‑</w:t>
      </w:r>
      <w:r w:rsidRPr="00E27997">
        <w:rPr>
          <w:rFonts w:ascii="Arial" w:eastAsia="Arial" w:hAnsi="Arial" w:cs="Arial"/>
          <w:sz w:val="22"/>
        </w:rPr>
        <w:t>designed solutions included a new information pack, a dedicated quiet room for delivering difficult news, and a coordinated follow</w:t>
      </w:r>
      <w:r w:rsidRPr="00E27997">
        <w:rPr>
          <w:rFonts w:ascii="Cambria Math" w:eastAsia="Arial" w:hAnsi="Cambria Math" w:cs="Cambria Math"/>
          <w:sz w:val="22"/>
        </w:rPr>
        <w:t>‑</w:t>
      </w:r>
      <w:r w:rsidRPr="00E27997">
        <w:rPr>
          <w:rFonts w:ascii="Arial" w:eastAsia="Arial" w:hAnsi="Arial" w:cs="Arial"/>
          <w:sz w:val="22"/>
        </w:rPr>
        <w:t>up system. Evaluations showed improved emotional wellbeing, greater trust in clinicians, and enhanced continuity of care (King’s College London, 2013). This case illustrates how EBCD can reshape entire pathways, not just isolated</w:t>
      </w:r>
      <w:r w:rsidRPr="00C127B6">
        <w:rPr>
          <w:rFonts w:ascii="Arial" w:eastAsia="Arial" w:hAnsi="Arial" w:cs="Arial"/>
          <w:sz w:val="22"/>
        </w:rPr>
        <w:t xml:space="preserve"> processes.</w:t>
      </w:r>
    </w:p>
    <w:p w14:paraId="7F3ADD87" w14:textId="77777777" w:rsidR="001E1D07" w:rsidRPr="00C127B6" w:rsidRDefault="001E1D07" w:rsidP="001E1D07">
      <w:pPr>
        <w:spacing w:line="360" w:lineRule="auto"/>
        <w:jc w:val="both"/>
        <w:rPr>
          <w:rFonts w:ascii="Arial" w:eastAsia="Arial" w:hAnsi="Arial" w:cs="Arial"/>
          <w:sz w:val="22"/>
        </w:rPr>
      </w:pPr>
      <w:r w:rsidRPr="00C127B6">
        <w:rPr>
          <w:rFonts w:ascii="Arial" w:eastAsia="Arial" w:hAnsi="Arial" w:cs="Arial"/>
          <w:sz w:val="22"/>
        </w:rPr>
        <w:t>Research in mental health crisis services also highlights the value of EBCD. Service users frequently reported feeling excluded from decisions, while staff described tensions between risk management and person</w:t>
      </w:r>
      <w:r w:rsidRPr="00C127B6">
        <w:rPr>
          <w:rFonts w:ascii="Cambria Math" w:eastAsia="Arial" w:hAnsi="Cambria Math" w:cs="Cambria Math"/>
          <w:sz w:val="22"/>
        </w:rPr>
        <w:t>‑</w:t>
      </w:r>
      <w:r w:rsidRPr="00C127B6">
        <w:rPr>
          <w:rFonts w:ascii="Arial" w:eastAsia="Arial" w:hAnsi="Arial" w:cs="Arial"/>
          <w:sz w:val="22"/>
        </w:rPr>
        <w:t>centred practice. Co</w:t>
      </w:r>
      <w:r w:rsidRPr="00C127B6">
        <w:rPr>
          <w:rFonts w:ascii="Cambria Math" w:eastAsia="Arial" w:hAnsi="Cambria Math" w:cs="Cambria Math"/>
          <w:sz w:val="22"/>
        </w:rPr>
        <w:t>‑</w:t>
      </w:r>
      <w:r w:rsidRPr="00C127B6">
        <w:rPr>
          <w:rFonts w:ascii="Arial" w:eastAsia="Arial" w:hAnsi="Arial" w:cs="Arial"/>
          <w:sz w:val="22"/>
        </w:rPr>
        <w:t>design sessions led to the development of a “Crisis Care Agreement,” co</w:t>
      </w:r>
      <w:r w:rsidRPr="00C127B6">
        <w:rPr>
          <w:rFonts w:ascii="Cambria Math" w:eastAsia="Arial" w:hAnsi="Cambria Math" w:cs="Cambria Math"/>
          <w:sz w:val="22"/>
        </w:rPr>
        <w:t>‑</w:t>
      </w:r>
      <w:r w:rsidRPr="00C127B6">
        <w:rPr>
          <w:rFonts w:ascii="Arial" w:eastAsia="Arial" w:hAnsi="Arial" w:cs="Arial"/>
          <w:sz w:val="22"/>
        </w:rPr>
        <w:t>produced training modules, and a redesigned home</w:t>
      </w:r>
      <w:r w:rsidRPr="00C127B6">
        <w:rPr>
          <w:rFonts w:ascii="Cambria Math" w:eastAsia="Arial" w:hAnsi="Cambria Math" w:cs="Cambria Math"/>
          <w:sz w:val="22"/>
        </w:rPr>
        <w:t>‑</w:t>
      </w:r>
      <w:r w:rsidRPr="00C127B6">
        <w:rPr>
          <w:rFonts w:ascii="Arial" w:eastAsia="Arial" w:hAnsi="Arial" w:cs="Arial"/>
          <w:sz w:val="22"/>
        </w:rPr>
        <w:t>visit structure that prioritised collaborative safety planning. These changes improved therapeutic relationships, increased satisfaction, and reduced complaints related to communication (Farr et al., 2021). This example demonstrates how EBCD can support cultural as well as procedural change.</w:t>
      </w:r>
    </w:p>
    <w:p w14:paraId="413F8E1E" w14:textId="0E0DB271" w:rsidR="00FA6835" w:rsidRPr="009B338C" w:rsidRDefault="001E1D07" w:rsidP="00B27E16">
      <w:pPr>
        <w:spacing w:line="360" w:lineRule="auto"/>
        <w:jc w:val="both"/>
        <w:rPr>
          <w:rFonts w:ascii="Arial" w:eastAsia="Arial" w:hAnsi="Arial" w:cs="Arial"/>
          <w:sz w:val="22"/>
        </w:rPr>
      </w:pPr>
      <w:r w:rsidRPr="00C127B6">
        <w:rPr>
          <w:rFonts w:ascii="Arial" w:eastAsia="Arial" w:hAnsi="Arial" w:cs="Arial"/>
          <w:sz w:val="22"/>
        </w:rPr>
        <w:t>EBCD has also been applied in early years and carer settings. For example, carers and educators used EBCD principles to improve transitions for children with neurodevelopmental differences. Co</w:t>
      </w:r>
      <w:r w:rsidRPr="00C127B6">
        <w:rPr>
          <w:rFonts w:ascii="Cambria Math" w:eastAsia="Arial" w:hAnsi="Cambria Math" w:cs="Cambria Math"/>
          <w:sz w:val="22"/>
        </w:rPr>
        <w:t>‑</w:t>
      </w:r>
      <w:r w:rsidRPr="00C127B6">
        <w:rPr>
          <w:rFonts w:ascii="Arial" w:eastAsia="Arial" w:hAnsi="Arial" w:cs="Arial"/>
          <w:sz w:val="22"/>
        </w:rPr>
        <w:t>designed tools such as transition passports, visual schedules, and sensory</w:t>
      </w:r>
      <w:r w:rsidRPr="00C127B6">
        <w:rPr>
          <w:rFonts w:ascii="Cambria Math" w:eastAsia="Arial" w:hAnsi="Cambria Math" w:cs="Cambria Math"/>
          <w:sz w:val="22"/>
        </w:rPr>
        <w:t>‑</w:t>
      </w:r>
      <w:r w:rsidRPr="00C127B6">
        <w:rPr>
          <w:rFonts w:ascii="Arial" w:eastAsia="Arial" w:hAnsi="Arial" w:cs="Arial"/>
          <w:sz w:val="22"/>
        </w:rPr>
        <w:t>friendly spaces reduced distress during drop</w:t>
      </w:r>
      <w:r w:rsidRPr="00C127B6">
        <w:rPr>
          <w:rFonts w:ascii="Cambria Math" w:eastAsia="Arial" w:hAnsi="Cambria Math" w:cs="Cambria Math"/>
          <w:sz w:val="22"/>
        </w:rPr>
        <w:t>‑</w:t>
      </w:r>
      <w:r w:rsidRPr="00C127B6">
        <w:rPr>
          <w:rFonts w:ascii="Arial" w:eastAsia="Arial" w:hAnsi="Arial" w:cs="Arial"/>
          <w:sz w:val="22"/>
        </w:rPr>
        <w:t>off and strengthened relationships between carers and staff. This reflects evidence that co</w:t>
      </w:r>
      <w:r w:rsidRPr="00C127B6">
        <w:rPr>
          <w:rFonts w:ascii="Cambria Math" w:eastAsia="Arial" w:hAnsi="Cambria Math" w:cs="Cambria Math"/>
          <w:sz w:val="22"/>
        </w:rPr>
        <w:t>‑</w:t>
      </w:r>
      <w:r w:rsidRPr="00C127B6">
        <w:rPr>
          <w:rFonts w:ascii="Arial" w:eastAsia="Arial" w:hAnsi="Arial" w:cs="Arial"/>
          <w:sz w:val="22"/>
        </w:rPr>
        <w:t>design enhances inclusion and supports more responsive environments (Brady et al., 2020).</w:t>
      </w:r>
    </w:p>
    <w:p w14:paraId="4BD362E3" w14:textId="77777777" w:rsidR="00F72055" w:rsidRPr="00B27E16" w:rsidRDefault="00F72055" w:rsidP="00B27E16">
      <w:pPr>
        <w:spacing w:line="360" w:lineRule="auto"/>
        <w:jc w:val="both"/>
        <w:rPr>
          <w:rFonts w:ascii="Arial" w:hAnsi="Arial" w:cs="Arial"/>
          <w:sz w:val="22"/>
        </w:rPr>
      </w:pPr>
    </w:p>
    <w:p w14:paraId="1DD2774D" w14:textId="77777777" w:rsidR="0034388A" w:rsidRPr="00B3299E" w:rsidRDefault="0034388A" w:rsidP="00594FAC">
      <w:pPr>
        <w:spacing w:line="360" w:lineRule="auto"/>
        <w:rPr>
          <w:rFonts w:ascii="Arial" w:hAnsi="Arial" w:cs="Arial"/>
          <w:b/>
          <w:bCs/>
          <w:sz w:val="32"/>
          <w:szCs w:val="32"/>
        </w:rPr>
      </w:pPr>
      <w:r w:rsidRPr="00B3299E">
        <w:rPr>
          <w:rFonts w:ascii="Arial" w:hAnsi="Arial" w:cs="Arial"/>
          <w:b/>
          <w:bCs/>
          <w:sz w:val="32"/>
          <w:szCs w:val="32"/>
        </w:rPr>
        <w:t>Task 3:</w:t>
      </w:r>
    </w:p>
    <w:p w14:paraId="60F25843" w14:textId="57EC8699" w:rsidR="00FA6835" w:rsidRDefault="0034388A" w:rsidP="00B3299E">
      <w:pPr>
        <w:spacing w:line="360" w:lineRule="auto"/>
        <w:jc w:val="both"/>
        <w:rPr>
          <w:rFonts w:ascii="Arial" w:hAnsi="Arial" w:cs="Arial"/>
          <w:b/>
          <w:bCs/>
          <w:i/>
          <w:iCs/>
          <w:sz w:val="32"/>
          <w:szCs w:val="32"/>
        </w:rPr>
      </w:pPr>
      <w:r w:rsidRPr="00B3299E">
        <w:rPr>
          <w:rFonts w:ascii="Arial" w:hAnsi="Arial" w:cs="Arial"/>
          <w:b/>
          <w:bCs/>
          <w:i/>
          <w:iCs/>
          <w:sz w:val="32"/>
          <w:szCs w:val="32"/>
        </w:rPr>
        <w:t xml:space="preserve"> Self</w:t>
      </w:r>
      <w:r w:rsidRPr="00B3299E">
        <w:rPr>
          <w:rFonts w:ascii="Cambria Math" w:hAnsi="Cambria Math" w:cs="Cambria Math"/>
          <w:b/>
          <w:bCs/>
          <w:i/>
          <w:iCs/>
          <w:sz w:val="32"/>
          <w:szCs w:val="32"/>
        </w:rPr>
        <w:t>‑</w:t>
      </w:r>
      <w:r w:rsidRPr="00B3299E">
        <w:rPr>
          <w:rFonts w:ascii="Arial" w:hAnsi="Arial" w:cs="Arial"/>
          <w:b/>
          <w:bCs/>
          <w:i/>
          <w:iCs/>
          <w:sz w:val="32"/>
          <w:szCs w:val="32"/>
        </w:rPr>
        <w:t xml:space="preserve">Reflection as a Health and Social Care Support Worker </w:t>
      </w:r>
    </w:p>
    <w:p w14:paraId="687CA410" w14:textId="77777777" w:rsidR="00AD05DD" w:rsidRDefault="00AD05DD" w:rsidP="004A5989">
      <w:pPr>
        <w:spacing w:line="360" w:lineRule="auto"/>
        <w:jc w:val="both"/>
        <w:rPr>
          <w:rFonts w:ascii="Arial" w:hAnsi="Arial" w:cs="Arial"/>
          <w:sz w:val="22"/>
        </w:rPr>
      </w:pPr>
    </w:p>
    <w:p w14:paraId="5E5D74C9" w14:textId="10F37FDB" w:rsidR="009364C9" w:rsidRPr="009364C9" w:rsidRDefault="009364C9" w:rsidP="004A5989">
      <w:pPr>
        <w:spacing w:line="360" w:lineRule="auto"/>
        <w:jc w:val="both"/>
        <w:rPr>
          <w:rFonts w:ascii="Arial" w:hAnsi="Arial" w:cs="Arial"/>
          <w:sz w:val="22"/>
        </w:rPr>
      </w:pPr>
      <w:r w:rsidRPr="009364C9">
        <w:rPr>
          <w:rFonts w:ascii="Arial" w:hAnsi="Arial" w:cs="Arial"/>
          <w:sz w:val="22"/>
        </w:rPr>
        <w:t>As a developing health and social care professional, the principles of person</w:t>
      </w:r>
      <w:r w:rsidRPr="009364C9">
        <w:rPr>
          <w:rFonts w:ascii="Cambria Math" w:hAnsi="Cambria Math" w:cs="Cambria Math"/>
          <w:sz w:val="22"/>
        </w:rPr>
        <w:t>‑</w:t>
      </w:r>
      <w:r w:rsidRPr="009364C9">
        <w:rPr>
          <w:rFonts w:ascii="Arial" w:hAnsi="Arial" w:cs="Arial"/>
          <w:sz w:val="22"/>
        </w:rPr>
        <w:t>centred care, partnership working, and ethical practice shape not only how I support individuals but also how I understand my responsibilities within the wider system. Reflecting on these principles helps me identify my strengths, areas for improvement, and the actions I need to take to grow into a competent, compassionate practitioner. Using the diabetes outpatient example from Task 2, I will critically reflect on how these principles influence my day</w:t>
      </w:r>
      <w:r w:rsidRPr="009364C9">
        <w:rPr>
          <w:rFonts w:ascii="Cambria Math" w:hAnsi="Cambria Math" w:cs="Cambria Math"/>
          <w:sz w:val="22"/>
        </w:rPr>
        <w:t>‑</w:t>
      </w:r>
      <w:r w:rsidRPr="009364C9">
        <w:rPr>
          <w:rFonts w:ascii="Arial" w:hAnsi="Arial" w:cs="Arial"/>
          <w:sz w:val="22"/>
        </w:rPr>
        <w:t>to</w:t>
      </w:r>
      <w:r w:rsidRPr="009364C9">
        <w:rPr>
          <w:rFonts w:ascii="Cambria Math" w:hAnsi="Cambria Math" w:cs="Cambria Math"/>
          <w:sz w:val="22"/>
        </w:rPr>
        <w:t>‑</w:t>
      </w:r>
      <w:r w:rsidRPr="009364C9">
        <w:rPr>
          <w:rFonts w:ascii="Arial" w:hAnsi="Arial" w:cs="Arial"/>
          <w:sz w:val="22"/>
        </w:rPr>
        <w:t>day practice and future development.</w:t>
      </w:r>
    </w:p>
    <w:p w14:paraId="42562F11" w14:textId="77777777" w:rsidR="009364C9" w:rsidRPr="004A5989" w:rsidRDefault="009364C9" w:rsidP="004A5989">
      <w:pPr>
        <w:spacing w:line="360" w:lineRule="auto"/>
        <w:jc w:val="both"/>
        <w:rPr>
          <w:rFonts w:ascii="Arial" w:hAnsi="Arial" w:cs="Arial"/>
          <w:b/>
          <w:bCs/>
          <w:i/>
          <w:iCs/>
          <w:sz w:val="22"/>
        </w:rPr>
      </w:pPr>
      <w:r w:rsidRPr="004A5989">
        <w:rPr>
          <w:rFonts w:ascii="Arial" w:hAnsi="Arial" w:cs="Arial"/>
          <w:b/>
          <w:bCs/>
          <w:i/>
          <w:iCs/>
          <w:sz w:val="22"/>
        </w:rPr>
        <w:t>Person</w:t>
      </w:r>
      <w:r w:rsidRPr="004A5989">
        <w:rPr>
          <w:rFonts w:ascii="Cambria Math" w:hAnsi="Cambria Math" w:cs="Cambria Math"/>
          <w:b/>
          <w:bCs/>
          <w:i/>
          <w:iCs/>
          <w:sz w:val="22"/>
        </w:rPr>
        <w:t>‑</w:t>
      </w:r>
      <w:r w:rsidRPr="004A5989">
        <w:rPr>
          <w:rFonts w:ascii="Arial" w:hAnsi="Arial" w:cs="Arial"/>
          <w:b/>
          <w:bCs/>
          <w:i/>
          <w:iCs/>
          <w:sz w:val="22"/>
        </w:rPr>
        <w:t>Centred Care in Daily Practice</w:t>
      </w:r>
    </w:p>
    <w:p w14:paraId="7F58848D" w14:textId="50773D95" w:rsidR="009364C9" w:rsidRPr="009364C9" w:rsidRDefault="009364C9" w:rsidP="004A5989">
      <w:pPr>
        <w:spacing w:line="360" w:lineRule="auto"/>
        <w:jc w:val="both"/>
        <w:rPr>
          <w:rFonts w:ascii="Arial" w:hAnsi="Arial" w:cs="Arial"/>
          <w:sz w:val="22"/>
        </w:rPr>
      </w:pPr>
      <w:r w:rsidRPr="009364C9">
        <w:rPr>
          <w:rFonts w:ascii="Arial" w:hAnsi="Arial" w:cs="Arial"/>
          <w:sz w:val="22"/>
        </w:rPr>
        <w:t>Person</w:t>
      </w:r>
      <w:r w:rsidRPr="009364C9">
        <w:rPr>
          <w:rFonts w:ascii="Cambria Math" w:hAnsi="Cambria Math" w:cs="Cambria Math"/>
          <w:sz w:val="22"/>
        </w:rPr>
        <w:t>‑</w:t>
      </w:r>
      <w:r w:rsidRPr="009364C9">
        <w:rPr>
          <w:rFonts w:ascii="Arial" w:hAnsi="Arial" w:cs="Arial"/>
          <w:sz w:val="22"/>
        </w:rPr>
        <w:t xml:space="preserve">centred care requires me to see </w:t>
      </w:r>
      <w:r w:rsidR="00363265" w:rsidRPr="009364C9">
        <w:rPr>
          <w:rFonts w:ascii="Arial" w:hAnsi="Arial" w:cs="Arial"/>
          <w:sz w:val="22"/>
        </w:rPr>
        <w:t>everyone</w:t>
      </w:r>
      <w:r w:rsidRPr="009364C9">
        <w:rPr>
          <w:rFonts w:ascii="Arial" w:hAnsi="Arial" w:cs="Arial"/>
          <w:sz w:val="22"/>
        </w:rPr>
        <w:t xml:space="preserve"> as a whole person with unique needs, preferences, and experiences. In the diabetes clinic example, patients described feeling anxious and confused due to unclear communication. This highlighted for me how easily services can become task</w:t>
      </w:r>
      <w:r w:rsidRPr="009364C9">
        <w:rPr>
          <w:rFonts w:ascii="Cambria Math" w:hAnsi="Cambria Math" w:cs="Cambria Math"/>
          <w:sz w:val="22"/>
        </w:rPr>
        <w:t>‑</w:t>
      </w:r>
      <w:r w:rsidRPr="009364C9">
        <w:rPr>
          <w:rFonts w:ascii="Arial" w:hAnsi="Arial" w:cs="Arial"/>
          <w:sz w:val="22"/>
        </w:rPr>
        <w:t>focused rather than person</w:t>
      </w:r>
      <w:r w:rsidRPr="009364C9">
        <w:rPr>
          <w:rFonts w:ascii="Cambria Math" w:hAnsi="Cambria Math" w:cs="Cambria Math"/>
          <w:sz w:val="22"/>
        </w:rPr>
        <w:t>‑</w:t>
      </w:r>
      <w:r w:rsidRPr="009364C9">
        <w:rPr>
          <w:rFonts w:ascii="Arial" w:hAnsi="Arial" w:cs="Arial"/>
          <w:sz w:val="22"/>
        </w:rPr>
        <w:t>focused. In my own practice, I recognise that I sometimes prioritise efficiency—especially in busy environments—over taking the time to ensure that individuals fully understand their care or feel emotionally supported.</w:t>
      </w:r>
    </w:p>
    <w:p w14:paraId="01E20C37" w14:textId="77777777" w:rsidR="009364C9" w:rsidRPr="009364C9" w:rsidRDefault="009364C9" w:rsidP="004A5989">
      <w:pPr>
        <w:spacing w:line="360" w:lineRule="auto"/>
        <w:jc w:val="both"/>
        <w:rPr>
          <w:rFonts w:ascii="Arial" w:hAnsi="Arial" w:cs="Arial"/>
          <w:sz w:val="22"/>
        </w:rPr>
      </w:pPr>
      <w:r w:rsidRPr="009364C9">
        <w:rPr>
          <w:rFonts w:ascii="Arial" w:hAnsi="Arial" w:cs="Arial"/>
          <w:sz w:val="22"/>
        </w:rPr>
        <w:t>Maslow’s Hierarchy of Needs reinforces the importance of meeting emotional and psychological needs alongside physical ones. When patients feel safe, respected, and informed, they are more likely to engage positively with their care. This reflection has helped me understand that person</w:t>
      </w:r>
      <w:r w:rsidRPr="009364C9">
        <w:rPr>
          <w:rFonts w:ascii="Cambria Math" w:hAnsi="Cambria Math" w:cs="Cambria Math"/>
          <w:sz w:val="22"/>
        </w:rPr>
        <w:t>‑</w:t>
      </w:r>
      <w:r w:rsidRPr="009364C9">
        <w:rPr>
          <w:rFonts w:ascii="Arial" w:hAnsi="Arial" w:cs="Arial"/>
          <w:sz w:val="22"/>
        </w:rPr>
        <w:t>centred care is not simply about being kind; it is about enabling autonomy, dignity, and wellbeing.</w:t>
      </w:r>
    </w:p>
    <w:p w14:paraId="5BA6F7E8" w14:textId="77777777" w:rsidR="009364C9" w:rsidRPr="004A5989" w:rsidRDefault="009364C9" w:rsidP="004A5989">
      <w:pPr>
        <w:spacing w:line="360" w:lineRule="auto"/>
        <w:jc w:val="both"/>
        <w:rPr>
          <w:rFonts w:ascii="Arial" w:hAnsi="Arial" w:cs="Arial"/>
          <w:b/>
          <w:bCs/>
          <w:i/>
          <w:iCs/>
          <w:sz w:val="22"/>
        </w:rPr>
      </w:pPr>
      <w:r w:rsidRPr="004A5989">
        <w:rPr>
          <w:rFonts w:ascii="Arial" w:hAnsi="Arial" w:cs="Arial"/>
          <w:b/>
          <w:bCs/>
          <w:i/>
          <w:iCs/>
          <w:sz w:val="22"/>
        </w:rPr>
        <w:t>Partnership Working and Collaboration</w:t>
      </w:r>
    </w:p>
    <w:p w14:paraId="2F815CCB" w14:textId="77777777" w:rsidR="009364C9" w:rsidRPr="009364C9" w:rsidRDefault="009364C9" w:rsidP="004A5989">
      <w:pPr>
        <w:spacing w:line="360" w:lineRule="auto"/>
        <w:jc w:val="both"/>
        <w:rPr>
          <w:rFonts w:ascii="Arial" w:hAnsi="Arial" w:cs="Arial"/>
          <w:sz w:val="22"/>
        </w:rPr>
      </w:pPr>
      <w:r w:rsidRPr="009364C9">
        <w:rPr>
          <w:rFonts w:ascii="Arial" w:hAnsi="Arial" w:cs="Arial"/>
          <w:sz w:val="22"/>
        </w:rPr>
        <w:t>The EBCD example demonstrated how powerful partnership working can be when patients and staff collaborate to improve services. In my own practice, partnership working extends beyond patients to include colleagues, carers, families, and external agencies. Effective collaboration ensures continuity of care, reduces duplication, and supports holistic outcomes.</w:t>
      </w:r>
    </w:p>
    <w:p w14:paraId="10D1A59A" w14:textId="77777777" w:rsidR="009364C9" w:rsidRPr="009364C9" w:rsidRDefault="009364C9" w:rsidP="004A5989">
      <w:pPr>
        <w:spacing w:line="360" w:lineRule="auto"/>
        <w:jc w:val="both"/>
        <w:rPr>
          <w:rFonts w:ascii="Arial" w:hAnsi="Arial" w:cs="Arial"/>
          <w:sz w:val="22"/>
        </w:rPr>
      </w:pPr>
      <w:r w:rsidRPr="009364C9">
        <w:rPr>
          <w:rFonts w:ascii="Arial" w:hAnsi="Arial" w:cs="Arial"/>
          <w:sz w:val="22"/>
        </w:rPr>
        <w:t xml:space="preserve">However, I recognise that partnership working can be challenging. Differences in professional perspectives, communication styles, or organisational priorities can create barriers. I have sometimes felt hesitant to challenge decisions or raise concerns when working with more </w:t>
      </w:r>
      <w:r w:rsidRPr="009364C9">
        <w:rPr>
          <w:rFonts w:ascii="Arial" w:hAnsi="Arial" w:cs="Arial"/>
          <w:sz w:val="22"/>
        </w:rPr>
        <w:lastRenderedPageBreak/>
        <w:t>experienced colleagues. Reflecting on this, I realise that partnership working requires confidence, assertiveness, and a shared commitment to the individual’s best interests.</w:t>
      </w:r>
    </w:p>
    <w:p w14:paraId="55CAADDB" w14:textId="77777777" w:rsidR="009364C9" w:rsidRPr="009364C9" w:rsidRDefault="009364C9" w:rsidP="004A5989">
      <w:pPr>
        <w:spacing w:line="360" w:lineRule="auto"/>
        <w:jc w:val="both"/>
        <w:rPr>
          <w:rFonts w:ascii="Arial" w:hAnsi="Arial" w:cs="Arial"/>
          <w:sz w:val="22"/>
        </w:rPr>
      </w:pPr>
      <w:r w:rsidRPr="009364C9">
        <w:rPr>
          <w:rFonts w:ascii="Arial" w:hAnsi="Arial" w:cs="Arial"/>
          <w:sz w:val="22"/>
        </w:rPr>
        <w:t>Professional codes such as the NMC Code and HCPC Standards of Conduct emphasise the importance of working cooperatively, communicating clearly, and respecting the expertise of others. These standards guide me to build positive relationships, share information appropriately, and contribute to a culture of openness and learning. Moving forward, I aim to strengthen my collaborative skills by seeking opportunities to participate in multidisciplinary meetings, shadow colleagues from different roles, and practise assertive communication.</w:t>
      </w:r>
    </w:p>
    <w:p w14:paraId="5B7C8B24" w14:textId="7ADBD51D" w:rsidR="009364C9" w:rsidRDefault="009364C9" w:rsidP="004A5989">
      <w:pPr>
        <w:spacing w:line="360" w:lineRule="auto"/>
        <w:jc w:val="both"/>
        <w:rPr>
          <w:rFonts w:ascii="Arial" w:hAnsi="Arial" w:cs="Arial"/>
          <w:b/>
          <w:bCs/>
          <w:i/>
          <w:iCs/>
          <w:sz w:val="22"/>
        </w:rPr>
      </w:pPr>
      <w:r w:rsidRPr="004A5989">
        <w:rPr>
          <w:rFonts w:ascii="Arial" w:hAnsi="Arial" w:cs="Arial"/>
          <w:b/>
          <w:bCs/>
          <w:i/>
          <w:iCs/>
          <w:sz w:val="22"/>
        </w:rPr>
        <w:t>Ethical Practice and Professional Responsibility</w:t>
      </w:r>
      <w:r w:rsidR="00860AA2">
        <w:rPr>
          <w:rFonts w:ascii="Arial" w:hAnsi="Arial" w:cs="Arial"/>
          <w:b/>
          <w:bCs/>
          <w:i/>
          <w:iCs/>
          <w:sz w:val="22"/>
        </w:rPr>
        <w:t xml:space="preserve"> (</w:t>
      </w:r>
      <w:r w:rsidR="00860AA2" w:rsidRPr="00860AA2">
        <w:rPr>
          <w:rFonts w:ascii="Arial" w:hAnsi="Arial" w:cs="Arial"/>
          <w:b/>
          <w:bCs/>
          <w:i/>
          <w:iCs/>
          <w:sz w:val="22"/>
        </w:rPr>
        <w:t>Action plan</w:t>
      </w:r>
      <w:r w:rsidR="00860AA2">
        <w:rPr>
          <w:rFonts w:ascii="Arial" w:hAnsi="Arial" w:cs="Arial"/>
          <w:b/>
          <w:bCs/>
          <w:i/>
          <w:iCs/>
          <w:sz w:val="22"/>
        </w:rPr>
        <w:t>)</w:t>
      </w:r>
    </w:p>
    <w:p w14:paraId="53F2C316" w14:textId="77777777" w:rsidR="009364C9" w:rsidRPr="009364C9" w:rsidRDefault="009364C9" w:rsidP="004A5989">
      <w:pPr>
        <w:spacing w:line="360" w:lineRule="auto"/>
        <w:jc w:val="both"/>
        <w:rPr>
          <w:rFonts w:ascii="Arial" w:hAnsi="Arial" w:cs="Arial"/>
          <w:sz w:val="22"/>
        </w:rPr>
      </w:pPr>
      <w:r w:rsidRPr="009364C9">
        <w:rPr>
          <w:rFonts w:ascii="Arial" w:hAnsi="Arial" w:cs="Arial"/>
          <w:sz w:val="22"/>
        </w:rPr>
        <w:t>Ethical practice underpins every aspect of health and social care. The principles of autonomy, beneficence, non</w:t>
      </w:r>
      <w:r w:rsidRPr="009364C9">
        <w:rPr>
          <w:rFonts w:ascii="Cambria Math" w:hAnsi="Cambria Math" w:cs="Cambria Math"/>
          <w:sz w:val="22"/>
        </w:rPr>
        <w:t>‑</w:t>
      </w:r>
      <w:r w:rsidRPr="009364C9">
        <w:rPr>
          <w:rFonts w:ascii="Arial" w:hAnsi="Arial" w:cs="Arial"/>
          <w:sz w:val="22"/>
        </w:rPr>
        <w:t>maleficence, and justice guide my decision</w:t>
      </w:r>
      <w:r w:rsidRPr="009364C9">
        <w:rPr>
          <w:rFonts w:ascii="Cambria Math" w:hAnsi="Cambria Math" w:cs="Cambria Math"/>
          <w:sz w:val="22"/>
        </w:rPr>
        <w:t>‑</w:t>
      </w:r>
      <w:r w:rsidRPr="009364C9">
        <w:rPr>
          <w:rFonts w:ascii="Arial" w:hAnsi="Arial" w:cs="Arial"/>
          <w:sz w:val="22"/>
        </w:rPr>
        <w:t>making and interactions. In the diabetes example, the ethical issue was not clinical but relational: patients were unintentionally left feeling disempowered. This highlighted for me that ethical practice is not limited to safeguarding or confidentiality; it includes how I communicate, how I respect people’s experiences, and how I uphold their rights.</w:t>
      </w:r>
    </w:p>
    <w:p w14:paraId="2333091F" w14:textId="77777777" w:rsidR="009364C9" w:rsidRPr="009364C9" w:rsidRDefault="009364C9" w:rsidP="004A5989">
      <w:pPr>
        <w:spacing w:line="360" w:lineRule="auto"/>
        <w:jc w:val="both"/>
        <w:rPr>
          <w:rFonts w:ascii="Arial" w:hAnsi="Arial" w:cs="Arial"/>
          <w:sz w:val="22"/>
        </w:rPr>
      </w:pPr>
      <w:r w:rsidRPr="009364C9">
        <w:rPr>
          <w:rFonts w:ascii="Arial" w:hAnsi="Arial" w:cs="Arial"/>
          <w:sz w:val="22"/>
        </w:rPr>
        <w:t>The Care Act 2014 reinforces ethical duties by requiring professionals to prevent harm, promote independence, and protect individuals from abuse or neglect. The Mental Capacity Act 2005 further emphasises the importance of supporting individuals to make their own decisions wherever possible. Reflecting on these frameworks, I recognise that ethical practice requires continuous self</w:t>
      </w:r>
      <w:r w:rsidRPr="009364C9">
        <w:rPr>
          <w:rFonts w:ascii="Cambria Math" w:hAnsi="Cambria Math" w:cs="Cambria Math"/>
          <w:sz w:val="22"/>
        </w:rPr>
        <w:t>‑</w:t>
      </w:r>
      <w:r w:rsidRPr="009364C9">
        <w:rPr>
          <w:rFonts w:ascii="Arial" w:hAnsi="Arial" w:cs="Arial"/>
          <w:sz w:val="22"/>
        </w:rPr>
        <w:t>awareness, critical thinking, and a willingness to challenge poor practice.</w:t>
      </w:r>
    </w:p>
    <w:p w14:paraId="1E4563D2" w14:textId="68EE463B" w:rsidR="00C24690" w:rsidRDefault="00C24690" w:rsidP="004A5989">
      <w:pPr>
        <w:spacing w:line="360" w:lineRule="auto"/>
        <w:jc w:val="both"/>
        <w:rPr>
          <w:rFonts w:ascii="Arial" w:hAnsi="Arial" w:cs="Arial"/>
          <w:b/>
          <w:bCs/>
          <w:i/>
          <w:iCs/>
          <w:sz w:val="22"/>
        </w:rPr>
      </w:pPr>
    </w:p>
    <w:p w14:paraId="65A4F9CD" w14:textId="77777777" w:rsidR="00C24690" w:rsidRDefault="00C24690" w:rsidP="004A5989">
      <w:pPr>
        <w:spacing w:line="360" w:lineRule="auto"/>
        <w:jc w:val="both"/>
        <w:rPr>
          <w:rFonts w:ascii="Arial" w:hAnsi="Arial" w:cs="Arial"/>
          <w:b/>
          <w:bCs/>
          <w:i/>
          <w:iCs/>
          <w:sz w:val="22"/>
        </w:rPr>
      </w:pPr>
    </w:p>
    <w:p w14:paraId="4E918369" w14:textId="77777777" w:rsidR="009B338C" w:rsidRDefault="009B338C" w:rsidP="004A5989">
      <w:pPr>
        <w:spacing w:line="360" w:lineRule="auto"/>
        <w:jc w:val="both"/>
        <w:rPr>
          <w:rFonts w:ascii="Arial" w:hAnsi="Arial" w:cs="Arial"/>
          <w:b/>
          <w:bCs/>
          <w:i/>
          <w:iCs/>
          <w:sz w:val="22"/>
        </w:rPr>
      </w:pPr>
    </w:p>
    <w:p w14:paraId="0E8D272F" w14:textId="67132CA7" w:rsidR="009364C9" w:rsidRDefault="009364C9" w:rsidP="004A5989">
      <w:pPr>
        <w:spacing w:line="360" w:lineRule="auto"/>
        <w:jc w:val="both"/>
        <w:rPr>
          <w:rFonts w:ascii="Arial" w:hAnsi="Arial" w:cs="Arial"/>
          <w:b/>
          <w:bCs/>
          <w:i/>
          <w:iCs/>
          <w:sz w:val="22"/>
        </w:rPr>
      </w:pPr>
      <w:r w:rsidRPr="004A5989">
        <w:rPr>
          <w:rFonts w:ascii="Arial" w:hAnsi="Arial" w:cs="Arial"/>
          <w:b/>
          <w:bCs/>
          <w:i/>
          <w:iCs/>
          <w:sz w:val="22"/>
        </w:rPr>
        <w:t>My Current Skills and Strengths</w:t>
      </w:r>
    </w:p>
    <w:p w14:paraId="730648E1" w14:textId="77777777" w:rsidR="00226F99" w:rsidRPr="00226F99" w:rsidRDefault="00226F99" w:rsidP="00226F99">
      <w:pPr>
        <w:spacing w:line="360" w:lineRule="auto"/>
        <w:jc w:val="both"/>
        <w:rPr>
          <w:rFonts w:ascii="Arial" w:hAnsi="Arial" w:cs="Arial"/>
          <w:sz w:val="22"/>
        </w:rPr>
      </w:pPr>
      <w:r w:rsidRPr="00226F99">
        <w:rPr>
          <w:rFonts w:ascii="Arial" w:hAnsi="Arial" w:cs="Arial"/>
          <w:sz w:val="22"/>
        </w:rPr>
        <w:t>Through ongoing reflection and practical experience, I have identified several key strengths that support my development as a health and social care support worker. One of my core strengths is empathy, which enables me to build trusting relationships and create a safe, non</w:t>
      </w:r>
      <w:r w:rsidRPr="00226F99">
        <w:rPr>
          <w:rFonts w:ascii="Cambria Math" w:hAnsi="Cambria Math" w:cs="Cambria Math"/>
          <w:sz w:val="22"/>
        </w:rPr>
        <w:t>‑</w:t>
      </w:r>
      <w:r w:rsidRPr="00226F99">
        <w:rPr>
          <w:rFonts w:ascii="Arial" w:hAnsi="Arial" w:cs="Arial"/>
          <w:sz w:val="22"/>
        </w:rPr>
        <w:t>judgemental space for individuals to express their concerns. This is closely linked to my ability to actively listen, allowing me to understand not only what a person says but also the emotions behind their words. These skills are essential for delivering person</w:t>
      </w:r>
      <w:r w:rsidRPr="00226F99">
        <w:rPr>
          <w:rFonts w:ascii="Cambria Math" w:hAnsi="Cambria Math" w:cs="Cambria Math"/>
          <w:sz w:val="22"/>
        </w:rPr>
        <w:t>‑</w:t>
      </w:r>
      <w:r w:rsidRPr="00226F99">
        <w:rPr>
          <w:rFonts w:ascii="Arial" w:hAnsi="Arial" w:cs="Arial"/>
          <w:sz w:val="22"/>
        </w:rPr>
        <w:t>centred care, as they help me recognise each individual’s unique needs, preferences, and lived experiences.</w:t>
      </w:r>
    </w:p>
    <w:p w14:paraId="5326D8AC" w14:textId="77777777" w:rsidR="00226F99" w:rsidRPr="00226F99" w:rsidRDefault="00226F99" w:rsidP="00226F99">
      <w:pPr>
        <w:spacing w:line="360" w:lineRule="auto"/>
        <w:jc w:val="both"/>
        <w:rPr>
          <w:rFonts w:ascii="Arial" w:hAnsi="Arial" w:cs="Arial"/>
          <w:sz w:val="22"/>
        </w:rPr>
      </w:pPr>
      <w:r w:rsidRPr="00226F99">
        <w:rPr>
          <w:rFonts w:ascii="Arial" w:hAnsi="Arial" w:cs="Arial"/>
          <w:sz w:val="22"/>
        </w:rPr>
        <w:lastRenderedPageBreak/>
        <w:t>Another strength is my adaptability. Working in health and social care often involves unpredictable situations, diverse service users, and rapidly changing priorities. I am able to adjust my approach to meet different communication styles, cultural backgrounds, and levels of understanding. This flexibility supports effective partnership working and ensures that I can respond sensitively to a wide range of circumstances.</w:t>
      </w:r>
    </w:p>
    <w:p w14:paraId="7BD91C0C" w14:textId="53D5EE71" w:rsidR="00226F99" w:rsidRPr="00226F99" w:rsidRDefault="00226F99" w:rsidP="00226F99">
      <w:pPr>
        <w:spacing w:line="360" w:lineRule="auto"/>
        <w:jc w:val="both"/>
        <w:rPr>
          <w:rFonts w:ascii="Arial" w:hAnsi="Arial" w:cs="Arial"/>
          <w:sz w:val="22"/>
        </w:rPr>
      </w:pPr>
      <w:r w:rsidRPr="00226F99">
        <w:rPr>
          <w:rFonts w:ascii="Arial" w:hAnsi="Arial" w:cs="Arial"/>
          <w:sz w:val="22"/>
        </w:rPr>
        <w:t>Despite these strengths, I recognise several areas where I need to grow. These include building confidence in multidisciplinary settings, improving communication under pressure, strengthening my knowledge of legislation and policy, and developing skills in co</w:t>
      </w:r>
      <w:r w:rsidRPr="00226F99">
        <w:rPr>
          <w:rFonts w:ascii="Cambria Math" w:hAnsi="Cambria Math" w:cs="Cambria Math"/>
          <w:sz w:val="22"/>
        </w:rPr>
        <w:t>‑</w:t>
      </w:r>
      <w:r w:rsidRPr="00226F99">
        <w:rPr>
          <w:rFonts w:ascii="Arial" w:hAnsi="Arial" w:cs="Arial"/>
          <w:sz w:val="22"/>
        </w:rPr>
        <w:t>design and service improvement. Addressing these areas will support my progression into a more confident, competent, and reflective practitioner</w:t>
      </w:r>
    </w:p>
    <w:p w14:paraId="0E77052B" w14:textId="77777777" w:rsidR="00A11336" w:rsidRDefault="00A11336" w:rsidP="00A11336">
      <w:pPr>
        <w:spacing w:after="0" w:line="360" w:lineRule="auto"/>
        <w:rPr>
          <w:rFonts w:ascii="Arial" w:eastAsia="Arial" w:hAnsi="Arial" w:cs="Arial"/>
          <w:sz w:val="28"/>
          <w:szCs w:val="28"/>
        </w:rPr>
      </w:pPr>
    </w:p>
    <w:p w14:paraId="2F7213E9" w14:textId="77777777" w:rsidR="00A53764" w:rsidRDefault="00A53764" w:rsidP="00A11336">
      <w:pPr>
        <w:spacing w:after="0" w:line="360" w:lineRule="auto"/>
        <w:rPr>
          <w:rFonts w:ascii="Arial" w:eastAsia="Arial" w:hAnsi="Arial" w:cs="Arial"/>
          <w:sz w:val="28"/>
          <w:szCs w:val="28"/>
        </w:rPr>
      </w:pPr>
    </w:p>
    <w:p w14:paraId="36915815" w14:textId="77777777" w:rsidR="00A53764" w:rsidRDefault="00A53764" w:rsidP="00A11336">
      <w:pPr>
        <w:spacing w:after="0" w:line="360" w:lineRule="auto"/>
        <w:rPr>
          <w:rFonts w:ascii="Arial" w:eastAsia="Arial" w:hAnsi="Arial" w:cs="Arial"/>
          <w:sz w:val="28"/>
          <w:szCs w:val="28"/>
        </w:rPr>
      </w:pPr>
    </w:p>
    <w:p w14:paraId="1F42F83B" w14:textId="77777777" w:rsidR="00A53764" w:rsidRDefault="00A53764" w:rsidP="00A11336">
      <w:pPr>
        <w:spacing w:after="0" w:line="360" w:lineRule="auto"/>
        <w:rPr>
          <w:rFonts w:ascii="Arial" w:eastAsia="Arial" w:hAnsi="Arial" w:cs="Arial"/>
          <w:sz w:val="28"/>
          <w:szCs w:val="28"/>
        </w:rPr>
      </w:pPr>
    </w:p>
    <w:p w14:paraId="2D02B597" w14:textId="77777777" w:rsidR="00A53764" w:rsidRDefault="00A53764" w:rsidP="00A11336">
      <w:pPr>
        <w:spacing w:after="0" w:line="360" w:lineRule="auto"/>
        <w:rPr>
          <w:rFonts w:ascii="Arial" w:eastAsia="Arial" w:hAnsi="Arial" w:cs="Arial"/>
          <w:sz w:val="28"/>
          <w:szCs w:val="28"/>
        </w:rPr>
      </w:pPr>
    </w:p>
    <w:p w14:paraId="1AC8A5C8" w14:textId="77777777" w:rsidR="00A53764" w:rsidRPr="00EC61A9" w:rsidRDefault="00A53764" w:rsidP="00A11336">
      <w:pPr>
        <w:spacing w:after="0" w:line="360" w:lineRule="auto"/>
        <w:rPr>
          <w:rFonts w:ascii="Arial" w:eastAsia="Arial" w:hAnsi="Arial" w:cs="Arial"/>
          <w:sz w:val="28"/>
          <w:szCs w:val="28"/>
        </w:rPr>
      </w:pPr>
    </w:p>
    <w:p w14:paraId="5A4D465C" w14:textId="5F638AD7" w:rsidR="006524ED" w:rsidRPr="00EC61A9" w:rsidRDefault="006D2F2D" w:rsidP="00594FAC">
      <w:pPr>
        <w:spacing w:line="360" w:lineRule="auto"/>
        <w:rPr>
          <w:rFonts w:ascii="Arial" w:hAnsi="Arial" w:cs="Arial"/>
          <w:b/>
          <w:bCs/>
          <w:sz w:val="28"/>
          <w:szCs w:val="28"/>
        </w:rPr>
      </w:pPr>
      <w:r w:rsidRPr="00EC61A9">
        <w:rPr>
          <w:rFonts w:ascii="Arial" w:hAnsi="Arial" w:cs="Arial"/>
          <w:b/>
          <w:bCs/>
          <w:sz w:val="28"/>
          <w:szCs w:val="28"/>
        </w:rPr>
        <w:t>Conclusion</w:t>
      </w:r>
    </w:p>
    <w:p w14:paraId="7D0F2EF5" w14:textId="0BF40947" w:rsidR="00E43952" w:rsidRPr="00E43952" w:rsidRDefault="00E43952" w:rsidP="00E43952">
      <w:pPr>
        <w:spacing w:line="360" w:lineRule="auto"/>
        <w:jc w:val="both"/>
        <w:rPr>
          <w:rFonts w:ascii="Arial" w:hAnsi="Arial" w:cs="Arial"/>
          <w:sz w:val="22"/>
        </w:rPr>
      </w:pPr>
      <w:r w:rsidRPr="00E43952">
        <w:rPr>
          <w:rFonts w:ascii="Arial" w:hAnsi="Arial" w:cs="Arial"/>
          <w:sz w:val="22"/>
        </w:rPr>
        <w:t>In summary, the principles of person</w:t>
      </w:r>
      <w:r w:rsidRPr="00E43952">
        <w:rPr>
          <w:rFonts w:ascii="Cambria Math" w:hAnsi="Cambria Math" w:cs="Cambria Math"/>
          <w:sz w:val="22"/>
        </w:rPr>
        <w:t>‑</w:t>
      </w:r>
      <w:r w:rsidRPr="00E43952">
        <w:rPr>
          <w:rFonts w:ascii="Arial" w:hAnsi="Arial" w:cs="Arial"/>
          <w:sz w:val="22"/>
        </w:rPr>
        <w:t xml:space="preserve">centred care, partnership working, and ethical practice form the foundation of my role as a health and social care support worker. Reflecting on these principles has helped me recognise how essential it is to treat </w:t>
      </w:r>
      <w:r w:rsidR="00D1122C" w:rsidRPr="00E43952">
        <w:rPr>
          <w:rFonts w:ascii="Arial" w:hAnsi="Arial" w:cs="Arial"/>
          <w:sz w:val="22"/>
        </w:rPr>
        <w:t>everyone</w:t>
      </w:r>
      <w:r w:rsidRPr="00E43952">
        <w:rPr>
          <w:rFonts w:ascii="Arial" w:hAnsi="Arial" w:cs="Arial"/>
          <w:sz w:val="22"/>
        </w:rPr>
        <w:t xml:space="preserve"> with dignity, respect, and compassion while ensuring their needs, preferences, and rights remain central to all decisions. The reflection also highlighted the importance of effective collaboration with colleagues, families, and external agencies to deliver coordinated, holistic support that aligns with legislation such as the Care Act 2014, the Mental Capacity Act 2005, and the Health and Care Act 2022.</w:t>
      </w:r>
    </w:p>
    <w:p w14:paraId="75C7761C" w14:textId="6E5BAB8F" w:rsidR="00243932" w:rsidRPr="00EC61A9" w:rsidRDefault="00E43952" w:rsidP="00EC61A9">
      <w:pPr>
        <w:spacing w:line="360" w:lineRule="auto"/>
        <w:jc w:val="both"/>
        <w:rPr>
          <w:rFonts w:ascii="Arial" w:hAnsi="Arial" w:cs="Arial"/>
          <w:sz w:val="22"/>
        </w:rPr>
      </w:pPr>
      <w:r w:rsidRPr="00E43952">
        <w:rPr>
          <w:rFonts w:ascii="Arial" w:hAnsi="Arial" w:cs="Arial"/>
          <w:sz w:val="22"/>
        </w:rPr>
        <w:t>Through this process, I identified key strengths—such as empathy, adaptability, and a commitment to learning—as well as areas for development, including confidence in multidisciplinary settings, communication under pressure, and deeper knowledge of legislation. Ultimately, this reflection reinforces my responsibility to uphold professional standards, promote wellbeing, and contribute positively to high</w:t>
      </w:r>
      <w:r w:rsidRPr="00E43952">
        <w:rPr>
          <w:rFonts w:ascii="Cambria Math" w:hAnsi="Cambria Math" w:cs="Cambria Math"/>
          <w:sz w:val="22"/>
        </w:rPr>
        <w:t>‑</w:t>
      </w:r>
      <w:r w:rsidRPr="00E43952">
        <w:rPr>
          <w:rFonts w:ascii="Arial" w:hAnsi="Arial" w:cs="Arial"/>
          <w:sz w:val="22"/>
        </w:rPr>
        <w:t>quality care within the health and social care sector.</w:t>
      </w:r>
    </w:p>
    <w:p w14:paraId="411EA00A" w14:textId="77777777" w:rsidR="00243932" w:rsidRPr="00EC61A9" w:rsidRDefault="00243932" w:rsidP="00A45ADA">
      <w:pPr>
        <w:pStyle w:val="ListParagraph"/>
        <w:spacing w:line="360" w:lineRule="auto"/>
        <w:jc w:val="both"/>
        <w:rPr>
          <w:rFonts w:ascii="Arial" w:hAnsi="Arial" w:cs="Arial"/>
          <w:b/>
          <w:bCs/>
          <w:sz w:val="28"/>
          <w:szCs w:val="28"/>
        </w:rPr>
      </w:pPr>
    </w:p>
    <w:p w14:paraId="5A789721" w14:textId="5C672D7E" w:rsidR="006D2F2D" w:rsidRDefault="006D2F2D" w:rsidP="00F72055">
      <w:pPr>
        <w:pStyle w:val="ListParagraph"/>
        <w:spacing w:line="360" w:lineRule="auto"/>
        <w:jc w:val="both"/>
        <w:rPr>
          <w:rFonts w:ascii="Arial" w:hAnsi="Arial" w:cs="Arial"/>
          <w:b/>
          <w:bCs/>
          <w:sz w:val="28"/>
          <w:szCs w:val="28"/>
        </w:rPr>
      </w:pPr>
      <w:r w:rsidRPr="00EC61A9">
        <w:rPr>
          <w:rFonts w:ascii="Arial" w:hAnsi="Arial" w:cs="Arial"/>
          <w:b/>
          <w:bCs/>
          <w:sz w:val="28"/>
          <w:szCs w:val="28"/>
        </w:rPr>
        <w:lastRenderedPageBreak/>
        <w:t>Reference</w:t>
      </w:r>
      <w:r w:rsidR="001D345E" w:rsidRPr="00EC61A9">
        <w:rPr>
          <w:rFonts w:ascii="Arial" w:hAnsi="Arial" w:cs="Arial"/>
          <w:b/>
          <w:bCs/>
          <w:sz w:val="28"/>
          <w:szCs w:val="28"/>
        </w:rPr>
        <w:t>s</w:t>
      </w:r>
      <w:r w:rsidR="008A3D1B" w:rsidRPr="00EC61A9">
        <w:rPr>
          <w:rFonts w:ascii="Arial" w:hAnsi="Arial" w:cs="Arial"/>
          <w:b/>
          <w:bCs/>
          <w:sz w:val="28"/>
          <w:szCs w:val="28"/>
        </w:rPr>
        <w:t>:</w:t>
      </w:r>
    </w:p>
    <w:p w14:paraId="53F1630E" w14:textId="303AE687" w:rsidR="00100C30" w:rsidRDefault="00100C30" w:rsidP="009F03EE">
      <w:pPr>
        <w:spacing w:line="360" w:lineRule="auto"/>
        <w:jc w:val="both"/>
        <w:rPr>
          <w:rFonts w:ascii="Arial" w:hAnsi="Arial" w:cs="Arial"/>
          <w:b/>
          <w:bCs/>
          <w:sz w:val="28"/>
          <w:szCs w:val="28"/>
        </w:rPr>
      </w:pPr>
    </w:p>
    <w:p w14:paraId="5E5FBC61" w14:textId="77777777" w:rsidR="000155BE" w:rsidRPr="009F03EE" w:rsidRDefault="000155BE" w:rsidP="009F03EE">
      <w:pPr>
        <w:spacing w:line="360" w:lineRule="auto"/>
        <w:jc w:val="both"/>
        <w:rPr>
          <w:rFonts w:ascii="Arial" w:hAnsi="Arial" w:cs="Arial"/>
          <w:b/>
          <w:bCs/>
          <w:sz w:val="28"/>
          <w:szCs w:val="28"/>
        </w:rPr>
      </w:pPr>
    </w:p>
    <w:p w14:paraId="7268513D" w14:textId="4709F21B" w:rsidR="007812F5" w:rsidRPr="00520BF2" w:rsidRDefault="007812F5" w:rsidP="00520BF2">
      <w:pPr>
        <w:pStyle w:val="ListParagraph"/>
        <w:spacing w:before="240" w:after="0" w:line="360" w:lineRule="auto"/>
        <w:jc w:val="both"/>
        <w:rPr>
          <w:rFonts w:ascii="Arial" w:hAnsi="Arial" w:cs="Arial"/>
          <w:sz w:val="22"/>
        </w:rPr>
      </w:pPr>
      <w:r w:rsidRPr="000155BE">
        <w:rPr>
          <w:rFonts w:ascii="Arial" w:hAnsi="Arial" w:cs="Arial"/>
          <w:sz w:val="22"/>
        </w:rPr>
        <w:t xml:space="preserve">Act 2014 (2014) </w:t>
      </w:r>
      <w:r w:rsidRPr="00FD6373">
        <w:rPr>
          <w:rFonts w:ascii="Arial" w:hAnsi="Arial" w:cs="Arial"/>
          <w:i/>
          <w:iCs/>
          <w:sz w:val="22"/>
        </w:rPr>
        <w:t>Act 2014</w:t>
      </w:r>
      <w:r w:rsidRPr="000155BE">
        <w:rPr>
          <w:rFonts w:ascii="Arial" w:hAnsi="Arial" w:cs="Arial"/>
          <w:sz w:val="22"/>
        </w:rPr>
        <w:t>. London: The Stationery Office. Available at: (legislation.gov.uk in Bing) (Accessed: 3 March 2026).</w:t>
      </w:r>
    </w:p>
    <w:p w14:paraId="7EBFF628" w14:textId="3B2C0C6F" w:rsidR="007812F5" w:rsidRPr="00520BF2" w:rsidRDefault="007812F5" w:rsidP="00520BF2">
      <w:pPr>
        <w:pStyle w:val="ListParagraph"/>
        <w:spacing w:before="240" w:after="0" w:line="360" w:lineRule="auto"/>
        <w:jc w:val="both"/>
        <w:rPr>
          <w:rFonts w:ascii="Arial" w:hAnsi="Arial" w:cs="Arial"/>
          <w:sz w:val="22"/>
        </w:rPr>
      </w:pPr>
      <w:r w:rsidRPr="000155BE">
        <w:rPr>
          <w:rFonts w:ascii="Arial" w:hAnsi="Arial" w:cs="Arial"/>
          <w:sz w:val="22"/>
        </w:rPr>
        <w:t>Bate, P. and Robert, G. (2006) ‘Experience</w:t>
      </w:r>
      <w:r w:rsidRPr="000155BE">
        <w:rPr>
          <w:rFonts w:ascii="Cambria Math" w:hAnsi="Cambria Math" w:cs="Cambria Math"/>
          <w:sz w:val="22"/>
        </w:rPr>
        <w:t>‑</w:t>
      </w:r>
      <w:r w:rsidRPr="000155BE">
        <w:rPr>
          <w:rFonts w:ascii="Arial" w:hAnsi="Arial" w:cs="Arial"/>
          <w:sz w:val="22"/>
        </w:rPr>
        <w:t>based design: from redesigning the system around the patient to co</w:t>
      </w:r>
      <w:r w:rsidRPr="000155BE">
        <w:rPr>
          <w:rFonts w:ascii="Cambria Math" w:hAnsi="Cambria Math" w:cs="Cambria Math"/>
          <w:sz w:val="22"/>
        </w:rPr>
        <w:t>‑</w:t>
      </w:r>
      <w:r w:rsidRPr="000155BE">
        <w:rPr>
          <w:rFonts w:ascii="Arial" w:hAnsi="Arial" w:cs="Arial"/>
          <w:sz w:val="22"/>
        </w:rPr>
        <w:t xml:space="preserve">designing services with the patient’, </w:t>
      </w:r>
      <w:r w:rsidRPr="00622295">
        <w:rPr>
          <w:rFonts w:ascii="Arial" w:hAnsi="Arial" w:cs="Arial"/>
          <w:i/>
          <w:iCs/>
          <w:sz w:val="22"/>
        </w:rPr>
        <w:t>Quality and Safety in Health Care</w:t>
      </w:r>
      <w:r w:rsidRPr="000155BE">
        <w:rPr>
          <w:rFonts w:ascii="Arial" w:hAnsi="Arial" w:cs="Arial"/>
          <w:sz w:val="22"/>
        </w:rPr>
        <w:t>, 15(5), pp. 307–310.</w:t>
      </w:r>
    </w:p>
    <w:p w14:paraId="25535B76" w14:textId="77777777" w:rsidR="007812F5" w:rsidRDefault="007812F5" w:rsidP="000155BE">
      <w:pPr>
        <w:pStyle w:val="ListParagraph"/>
        <w:spacing w:before="240" w:after="0" w:line="360" w:lineRule="auto"/>
        <w:jc w:val="both"/>
        <w:rPr>
          <w:rFonts w:ascii="Arial" w:hAnsi="Arial" w:cs="Arial"/>
          <w:sz w:val="22"/>
        </w:rPr>
      </w:pPr>
      <w:r w:rsidRPr="000155BE">
        <w:rPr>
          <w:rFonts w:ascii="Arial" w:hAnsi="Arial" w:cs="Arial"/>
          <w:sz w:val="22"/>
        </w:rPr>
        <w:t>Brady, G., Lowe, P. and Lauritzen, S. (2020) ‘Children and families’ experiences of transitions in early years settings’</w:t>
      </w:r>
      <w:r w:rsidRPr="0000034E">
        <w:rPr>
          <w:rFonts w:ascii="Arial" w:hAnsi="Arial" w:cs="Arial"/>
          <w:i/>
          <w:iCs/>
          <w:sz w:val="22"/>
        </w:rPr>
        <w:t>, Children &amp; Society, 34</w:t>
      </w:r>
      <w:r w:rsidRPr="000155BE">
        <w:rPr>
          <w:rFonts w:ascii="Arial" w:hAnsi="Arial" w:cs="Arial"/>
          <w:sz w:val="22"/>
        </w:rPr>
        <w:t>(3), pp. 215–229.</w:t>
      </w:r>
    </w:p>
    <w:p w14:paraId="09E88C52" w14:textId="7529A6EC" w:rsidR="007812F5" w:rsidRPr="00520BF2" w:rsidRDefault="00520BF2" w:rsidP="00520BF2">
      <w:pPr>
        <w:pStyle w:val="ListParagraph"/>
        <w:spacing w:before="240" w:after="0" w:line="360" w:lineRule="auto"/>
        <w:jc w:val="both"/>
        <w:rPr>
          <w:rFonts w:ascii="Arial" w:hAnsi="Arial" w:cs="Arial"/>
          <w:sz w:val="22"/>
        </w:rPr>
      </w:pPr>
      <w:r w:rsidRPr="00520BF2">
        <w:rPr>
          <w:rFonts w:ascii="Arial" w:hAnsi="Arial" w:cs="Arial"/>
          <w:sz w:val="22"/>
        </w:rPr>
        <w:t>Bate, P. and Robert, G. (2006) ‘Experience</w:t>
      </w:r>
      <w:r w:rsidRPr="00520BF2">
        <w:rPr>
          <w:rFonts w:ascii="Cambria Math" w:hAnsi="Cambria Math" w:cs="Cambria Math"/>
          <w:sz w:val="22"/>
        </w:rPr>
        <w:t>‑</w:t>
      </w:r>
      <w:r w:rsidRPr="00520BF2">
        <w:rPr>
          <w:rFonts w:ascii="Arial" w:hAnsi="Arial" w:cs="Arial"/>
          <w:sz w:val="22"/>
        </w:rPr>
        <w:t>based design: from redesigning the system around the patient to co</w:t>
      </w:r>
      <w:r w:rsidRPr="00520BF2">
        <w:rPr>
          <w:rFonts w:ascii="Cambria Math" w:hAnsi="Cambria Math" w:cs="Cambria Math"/>
          <w:sz w:val="22"/>
        </w:rPr>
        <w:t>‑</w:t>
      </w:r>
      <w:r w:rsidRPr="00520BF2">
        <w:rPr>
          <w:rFonts w:ascii="Arial" w:hAnsi="Arial" w:cs="Arial"/>
          <w:sz w:val="22"/>
        </w:rPr>
        <w:t>designing services with the patient’, Quality and Safety in Health Care, 15(5), pp. 307–310.</w:t>
      </w:r>
    </w:p>
    <w:p w14:paraId="14B06B9C" w14:textId="324A6DE4" w:rsidR="007812F5" w:rsidRPr="00520BF2" w:rsidRDefault="007812F5" w:rsidP="00520BF2">
      <w:pPr>
        <w:pStyle w:val="ListParagraph"/>
        <w:spacing w:before="240" w:after="0" w:line="360" w:lineRule="auto"/>
        <w:jc w:val="both"/>
        <w:rPr>
          <w:rFonts w:ascii="Arial" w:hAnsi="Arial" w:cs="Arial"/>
          <w:sz w:val="22"/>
        </w:rPr>
      </w:pPr>
      <w:r w:rsidRPr="0000034E">
        <w:rPr>
          <w:rFonts w:ascii="Arial" w:hAnsi="Arial" w:cs="Arial"/>
          <w:i/>
          <w:iCs/>
          <w:sz w:val="22"/>
        </w:rPr>
        <w:t>Care Act (2014) Care Act 2014</w:t>
      </w:r>
      <w:r w:rsidRPr="000155BE">
        <w:rPr>
          <w:rFonts w:ascii="Arial" w:hAnsi="Arial" w:cs="Arial"/>
          <w:sz w:val="22"/>
        </w:rPr>
        <w:t>. London: UK Government. Available at: (legislation.gov.uk in Bing) (Accessed: 3 March 2026).</w:t>
      </w:r>
    </w:p>
    <w:p w14:paraId="25E21C62" w14:textId="0D42E38D" w:rsidR="007812F5" w:rsidRPr="00520BF2" w:rsidRDefault="007812F5" w:rsidP="00520BF2">
      <w:pPr>
        <w:pStyle w:val="ListParagraph"/>
        <w:spacing w:before="240" w:after="0" w:line="360" w:lineRule="auto"/>
        <w:jc w:val="both"/>
        <w:rPr>
          <w:rFonts w:ascii="Arial" w:hAnsi="Arial" w:cs="Arial"/>
          <w:sz w:val="22"/>
        </w:rPr>
      </w:pPr>
      <w:r w:rsidRPr="000155BE">
        <w:rPr>
          <w:rFonts w:ascii="Arial" w:hAnsi="Arial" w:cs="Arial"/>
          <w:sz w:val="22"/>
        </w:rPr>
        <w:t xml:space="preserve">Equality Act (2010) </w:t>
      </w:r>
      <w:r w:rsidRPr="00A757DD">
        <w:rPr>
          <w:rFonts w:ascii="Arial" w:hAnsi="Arial" w:cs="Arial"/>
          <w:i/>
          <w:iCs/>
          <w:sz w:val="22"/>
        </w:rPr>
        <w:t>Equality Act 2010</w:t>
      </w:r>
      <w:r w:rsidRPr="000155BE">
        <w:rPr>
          <w:rFonts w:ascii="Arial" w:hAnsi="Arial" w:cs="Arial"/>
          <w:sz w:val="22"/>
        </w:rPr>
        <w:t>. London: UK Government. Available at: (legislation.gov.uk in Bing) (Accessed: 3 March 2026).</w:t>
      </w:r>
    </w:p>
    <w:p w14:paraId="1783D172" w14:textId="7827D362" w:rsidR="007812F5" w:rsidRPr="00520BF2" w:rsidRDefault="007812F5" w:rsidP="00520BF2">
      <w:pPr>
        <w:pStyle w:val="ListParagraph"/>
        <w:spacing w:before="240" w:after="0" w:line="360" w:lineRule="auto"/>
        <w:jc w:val="both"/>
        <w:rPr>
          <w:rFonts w:ascii="Arial" w:hAnsi="Arial" w:cs="Arial"/>
          <w:sz w:val="22"/>
        </w:rPr>
      </w:pPr>
      <w:r w:rsidRPr="000155BE">
        <w:rPr>
          <w:rFonts w:ascii="Arial" w:hAnsi="Arial" w:cs="Arial"/>
          <w:sz w:val="22"/>
        </w:rPr>
        <w:t xml:space="preserve">Farr, M., Banks, J., Edwards, H. and </w:t>
      </w:r>
      <w:proofErr w:type="spellStart"/>
      <w:r w:rsidRPr="000155BE">
        <w:rPr>
          <w:rFonts w:ascii="Arial" w:hAnsi="Arial" w:cs="Arial"/>
          <w:sz w:val="22"/>
        </w:rPr>
        <w:t>Northstone</w:t>
      </w:r>
      <w:proofErr w:type="spellEnd"/>
      <w:r w:rsidRPr="000155BE">
        <w:rPr>
          <w:rFonts w:ascii="Arial" w:hAnsi="Arial" w:cs="Arial"/>
          <w:sz w:val="22"/>
        </w:rPr>
        <w:t>, K. (2021) ‘Experience</w:t>
      </w:r>
      <w:r w:rsidRPr="000155BE">
        <w:rPr>
          <w:rFonts w:ascii="Cambria Math" w:hAnsi="Cambria Math" w:cs="Cambria Math"/>
          <w:sz w:val="22"/>
        </w:rPr>
        <w:t>‑</w:t>
      </w:r>
      <w:r w:rsidRPr="000155BE">
        <w:rPr>
          <w:rFonts w:ascii="Arial" w:hAnsi="Arial" w:cs="Arial"/>
          <w:sz w:val="22"/>
        </w:rPr>
        <w:t>based co</w:t>
      </w:r>
      <w:r w:rsidRPr="000155BE">
        <w:rPr>
          <w:rFonts w:ascii="Cambria Math" w:hAnsi="Cambria Math" w:cs="Cambria Math"/>
          <w:sz w:val="22"/>
        </w:rPr>
        <w:t>‑</w:t>
      </w:r>
      <w:r w:rsidRPr="000155BE">
        <w:rPr>
          <w:rFonts w:ascii="Arial" w:hAnsi="Arial" w:cs="Arial"/>
          <w:sz w:val="22"/>
        </w:rPr>
        <w:t xml:space="preserve">design in mental health services: impacts and mechanisms’, </w:t>
      </w:r>
      <w:r w:rsidRPr="00FF0566">
        <w:rPr>
          <w:rFonts w:ascii="Arial" w:hAnsi="Arial" w:cs="Arial"/>
          <w:i/>
          <w:iCs/>
          <w:sz w:val="22"/>
        </w:rPr>
        <w:t>Health Expectations, 24</w:t>
      </w:r>
      <w:r w:rsidRPr="000155BE">
        <w:rPr>
          <w:rFonts w:ascii="Arial" w:hAnsi="Arial" w:cs="Arial"/>
          <w:sz w:val="22"/>
        </w:rPr>
        <w:t>(5), pp. 1738–1750.</w:t>
      </w:r>
    </w:p>
    <w:p w14:paraId="1B1A53DC" w14:textId="5D815B29" w:rsidR="007812F5" w:rsidRPr="00520BF2" w:rsidRDefault="007812F5" w:rsidP="00520BF2">
      <w:pPr>
        <w:pStyle w:val="ListParagraph"/>
        <w:spacing w:before="240" w:after="0" w:line="360" w:lineRule="auto"/>
        <w:jc w:val="both"/>
        <w:rPr>
          <w:rFonts w:ascii="Arial" w:hAnsi="Arial" w:cs="Arial"/>
          <w:sz w:val="22"/>
        </w:rPr>
      </w:pPr>
      <w:r w:rsidRPr="000155BE">
        <w:rPr>
          <w:rFonts w:ascii="Arial" w:hAnsi="Arial" w:cs="Arial"/>
          <w:sz w:val="22"/>
        </w:rPr>
        <w:t xml:space="preserve">Glasby, J. and Dickinson, H. (2014) </w:t>
      </w:r>
      <w:r w:rsidRPr="003E456A">
        <w:rPr>
          <w:rFonts w:ascii="Arial" w:hAnsi="Arial" w:cs="Arial"/>
          <w:i/>
          <w:iCs/>
          <w:sz w:val="22"/>
        </w:rPr>
        <w:t>Partnership working in health and social care</w:t>
      </w:r>
      <w:r w:rsidRPr="000155BE">
        <w:rPr>
          <w:rFonts w:ascii="Arial" w:hAnsi="Arial" w:cs="Arial"/>
          <w:sz w:val="22"/>
        </w:rPr>
        <w:t>. Bristol: Policy Press.</w:t>
      </w:r>
    </w:p>
    <w:p w14:paraId="6851CA58" w14:textId="11518E09" w:rsidR="007812F5" w:rsidRPr="00520BF2" w:rsidRDefault="007812F5" w:rsidP="00520BF2">
      <w:pPr>
        <w:pStyle w:val="ListParagraph"/>
        <w:spacing w:before="240" w:after="0" w:line="360" w:lineRule="auto"/>
        <w:jc w:val="both"/>
        <w:rPr>
          <w:rFonts w:ascii="Arial" w:hAnsi="Arial" w:cs="Arial"/>
          <w:sz w:val="22"/>
        </w:rPr>
      </w:pPr>
      <w:r w:rsidRPr="000155BE">
        <w:rPr>
          <w:rFonts w:ascii="Arial" w:hAnsi="Arial" w:cs="Arial"/>
          <w:sz w:val="22"/>
        </w:rPr>
        <w:t>Health and Care Act 2022 (2022) Health and Care Act 2022. London: The Stationery Office. Available at: (legislation.gov.uk in Bing) (Accessed: 3 March 2026).</w:t>
      </w:r>
    </w:p>
    <w:p w14:paraId="51BDF0F5" w14:textId="0089419F" w:rsidR="007812F5" w:rsidRPr="00520BF2" w:rsidRDefault="007812F5" w:rsidP="00520BF2">
      <w:pPr>
        <w:pStyle w:val="ListParagraph"/>
        <w:spacing w:before="240" w:after="0" w:line="360" w:lineRule="auto"/>
        <w:jc w:val="both"/>
        <w:rPr>
          <w:rFonts w:ascii="Arial" w:hAnsi="Arial" w:cs="Arial"/>
          <w:sz w:val="22"/>
        </w:rPr>
      </w:pPr>
      <w:r w:rsidRPr="000155BE">
        <w:rPr>
          <w:rFonts w:ascii="Arial" w:hAnsi="Arial" w:cs="Arial"/>
          <w:sz w:val="22"/>
        </w:rPr>
        <w:t xml:space="preserve">Health and Care Professions Council (HCPC) (2016) </w:t>
      </w:r>
      <w:r w:rsidRPr="003E456A">
        <w:rPr>
          <w:rFonts w:ascii="Arial" w:hAnsi="Arial" w:cs="Arial"/>
          <w:i/>
          <w:iCs/>
          <w:sz w:val="22"/>
        </w:rPr>
        <w:t>Standards of conduct, performance and ethics</w:t>
      </w:r>
      <w:r w:rsidRPr="000155BE">
        <w:rPr>
          <w:rFonts w:ascii="Arial" w:hAnsi="Arial" w:cs="Arial"/>
          <w:sz w:val="22"/>
        </w:rPr>
        <w:t>. London: HCPC. Available at: https://www.hcpc</w:t>
      </w:r>
      <w:r w:rsidRPr="000155BE">
        <w:rPr>
          <w:rFonts w:ascii="Cambria Math" w:hAnsi="Cambria Math" w:cs="Cambria Math"/>
          <w:sz w:val="22"/>
        </w:rPr>
        <w:t>‑</w:t>
      </w:r>
      <w:r w:rsidRPr="000155BE">
        <w:rPr>
          <w:rFonts w:ascii="Arial" w:hAnsi="Arial" w:cs="Arial"/>
          <w:sz w:val="22"/>
        </w:rPr>
        <w:t>uk.org (Accessed: 3 March 2026).</w:t>
      </w:r>
    </w:p>
    <w:p w14:paraId="4F55F659" w14:textId="1A8EB472" w:rsidR="007812F5" w:rsidRPr="00520BF2" w:rsidRDefault="007812F5" w:rsidP="00520BF2">
      <w:pPr>
        <w:pStyle w:val="ListParagraph"/>
        <w:spacing w:before="240" w:after="0" w:line="360" w:lineRule="auto"/>
        <w:jc w:val="both"/>
        <w:rPr>
          <w:rFonts w:ascii="Arial" w:hAnsi="Arial" w:cs="Arial"/>
          <w:sz w:val="22"/>
        </w:rPr>
      </w:pPr>
      <w:r w:rsidRPr="000155BE">
        <w:rPr>
          <w:rFonts w:ascii="Arial" w:hAnsi="Arial" w:cs="Arial"/>
          <w:sz w:val="22"/>
        </w:rPr>
        <w:t xml:space="preserve">Health Foundation (2016) </w:t>
      </w:r>
      <w:r w:rsidRPr="00A22BB2">
        <w:rPr>
          <w:rFonts w:ascii="Arial" w:hAnsi="Arial" w:cs="Arial"/>
          <w:i/>
          <w:iCs/>
          <w:sz w:val="22"/>
        </w:rPr>
        <w:t>Person</w:t>
      </w:r>
      <w:r w:rsidRPr="00A22BB2">
        <w:rPr>
          <w:rFonts w:ascii="Cambria Math" w:hAnsi="Cambria Math" w:cs="Cambria Math"/>
          <w:i/>
          <w:iCs/>
          <w:sz w:val="22"/>
        </w:rPr>
        <w:t>‑</w:t>
      </w:r>
      <w:r w:rsidRPr="00A22BB2">
        <w:rPr>
          <w:rFonts w:ascii="Arial" w:hAnsi="Arial" w:cs="Arial"/>
          <w:i/>
          <w:iCs/>
          <w:sz w:val="22"/>
        </w:rPr>
        <w:t>centred care made simple. London:</w:t>
      </w:r>
      <w:r w:rsidRPr="000155BE">
        <w:rPr>
          <w:rFonts w:ascii="Arial" w:hAnsi="Arial" w:cs="Arial"/>
          <w:sz w:val="22"/>
        </w:rPr>
        <w:t xml:space="preserve"> The Health Foundation. Available at: (health.org.uk in Bing) (Accessed: 3 March 2026).</w:t>
      </w:r>
    </w:p>
    <w:p w14:paraId="22AD75D4" w14:textId="733FBF47" w:rsidR="007812F5" w:rsidRPr="00520BF2" w:rsidRDefault="007812F5" w:rsidP="00520BF2">
      <w:pPr>
        <w:pStyle w:val="ListParagraph"/>
        <w:spacing w:before="240" w:after="0" w:line="360" w:lineRule="auto"/>
        <w:jc w:val="both"/>
        <w:rPr>
          <w:rFonts w:ascii="Arial" w:hAnsi="Arial" w:cs="Arial"/>
          <w:sz w:val="22"/>
        </w:rPr>
      </w:pPr>
      <w:r w:rsidRPr="000155BE">
        <w:rPr>
          <w:rFonts w:ascii="Arial" w:hAnsi="Arial" w:cs="Arial"/>
          <w:sz w:val="22"/>
        </w:rPr>
        <w:t xml:space="preserve">Human Rights Act (1998) </w:t>
      </w:r>
      <w:r w:rsidRPr="00A22BB2">
        <w:rPr>
          <w:rFonts w:ascii="Arial" w:hAnsi="Arial" w:cs="Arial"/>
          <w:i/>
          <w:iCs/>
          <w:sz w:val="22"/>
        </w:rPr>
        <w:t>Human Rights Act 1998.</w:t>
      </w:r>
      <w:r w:rsidRPr="000155BE">
        <w:rPr>
          <w:rFonts w:ascii="Arial" w:hAnsi="Arial" w:cs="Arial"/>
          <w:sz w:val="22"/>
        </w:rPr>
        <w:t xml:space="preserve"> London: UK Government. Available at: (legislation.gov.uk in Bing) (Accessed: 3 March 2026).</w:t>
      </w:r>
    </w:p>
    <w:p w14:paraId="2D6631DF" w14:textId="4D2D5F45" w:rsidR="007812F5" w:rsidRPr="00520BF2" w:rsidRDefault="007812F5" w:rsidP="00520BF2">
      <w:pPr>
        <w:pStyle w:val="ListParagraph"/>
        <w:spacing w:line="360" w:lineRule="auto"/>
        <w:jc w:val="both"/>
        <w:rPr>
          <w:rFonts w:ascii="Arial" w:hAnsi="Arial" w:cs="Arial"/>
          <w:sz w:val="22"/>
        </w:rPr>
      </w:pPr>
      <w:r w:rsidRPr="000155BE">
        <w:rPr>
          <w:rFonts w:ascii="Arial" w:hAnsi="Arial" w:cs="Arial"/>
          <w:sz w:val="22"/>
        </w:rPr>
        <w:t xml:space="preserve">King’s College London (2013) </w:t>
      </w:r>
      <w:r w:rsidRPr="00BA7ACD">
        <w:rPr>
          <w:rFonts w:ascii="Arial" w:hAnsi="Arial" w:cs="Arial"/>
          <w:i/>
          <w:iCs/>
          <w:sz w:val="22"/>
        </w:rPr>
        <w:t>Experience</w:t>
      </w:r>
      <w:r w:rsidRPr="00BA7ACD">
        <w:rPr>
          <w:rFonts w:ascii="Cambria Math" w:hAnsi="Cambria Math" w:cs="Cambria Math"/>
          <w:i/>
          <w:iCs/>
          <w:sz w:val="22"/>
        </w:rPr>
        <w:t>‑</w:t>
      </w:r>
      <w:r w:rsidRPr="00BA7ACD">
        <w:rPr>
          <w:rFonts w:ascii="Arial" w:hAnsi="Arial" w:cs="Arial"/>
          <w:i/>
          <w:iCs/>
          <w:sz w:val="22"/>
        </w:rPr>
        <w:t>Based Co</w:t>
      </w:r>
      <w:r w:rsidRPr="00BA7ACD">
        <w:rPr>
          <w:rFonts w:ascii="Cambria Math" w:hAnsi="Cambria Math" w:cs="Cambria Math"/>
          <w:i/>
          <w:iCs/>
          <w:sz w:val="22"/>
        </w:rPr>
        <w:t>‑</w:t>
      </w:r>
      <w:r w:rsidRPr="00BA7ACD">
        <w:rPr>
          <w:rFonts w:ascii="Arial" w:hAnsi="Arial" w:cs="Arial"/>
          <w:i/>
          <w:iCs/>
          <w:sz w:val="22"/>
        </w:rPr>
        <w:t>Design in Head and Neck Cancer Services: Final Report</w:t>
      </w:r>
      <w:r w:rsidRPr="000155BE">
        <w:rPr>
          <w:rFonts w:ascii="Arial" w:hAnsi="Arial" w:cs="Arial"/>
          <w:sz w:val="22"/>
        </w:rPr>
        <w:t>. London: King’s College London. Available at: https://www.kcl.ac.uk (Accessed: 3 March 2026).</w:t>
      </w:r>
    </w:p>
    <w:p w14:paraId="7D83C0A0" w14:textId="4EFA83CF" w:rsidR="007812F5" w:rsidRPr="00520BF2" w:rsidRDefault="007812F5" w:rsidP="00520BF2">
      <w:pPr>
        <w:pStyle w:val="ListParagraph"/>
        <w:spacing w:line="360" w:lineRule="auto"/>
        <w:jc w:val="both"/>
        <w:rPr>
          <w:rFonts w:ascii="Arial" w:hAnsi="Arial" w:cs="Arial"/>
          <w:sz w:val="22"/>
        </w:rPr>
      </w:pPr>
      <w:r w:rsidRPr="000155BE">
        <w:rPr>
          <w:rFonts w:ascii="Arial" w:hAnsi="Arial" w:cs="Arial"/>
          <w:sz w:val="22"/>
        </w:rPr>
        <w:lastRenderedPageBreak/>
        <w:t xml:space="preserve">Maslow, A. (1943) ‘A theory of human motivation’, </w:t>
      </w:r>
      <w:r w:rsidRPr="00BA7ACD">
        <w:rPr>
          <w:rFonts w:ascii="Arial" w:hAnsi="Arial" w:cs="Arial"/>
          <w:i/>
          <w:iCs/>
          <w:sz w:val="22"/>
        </w:rPr>
        <w:t>Psychological Review, 50(</w:t>
      </w:r>
      <w:r w:rsidRPr="000155BE">
        <w:rPr>
          <w:rFonts w:ascii="Arial" w:hAnsi="Arial" w:cs="Arial"/>
          <w:sz w:val="22"/>
        </w:rPr>
        <w:t>4), pp. 370–396. Available at: (psychclassics.yorku.ca in Bing) (Accessed: 3 March 2026).</w:t>
      </w:r>
    </w:p>
    <w:p w14:paraId="4281B648" w14:textId="77777777" w:rsidR="007812F5" w:rsidRPr="000155BE" w:rsidRDefault="007812F5" w:rsidP="007812F5">
      <w:pPr>
        <w:pStyle w:val="ListParagraph"/>
        <w:spacing w:line="360" w:lineRule="auto"/>
        <w:jc w:val="both"/>
        <w:rPr>
          <w:rFonts w:ascii="Arial" w:hAnsi="Arial" w:cs="Arial"/>
          <w:sz w:val="22"/>
        </w:rPr>
      </w:pPr>
      <w:r w:rsidRPr="000155BE">
        <w:rPr>
          <w:rFonts w:ascii="Arial" w:hAnsi="Arial" w:cs="Arial"/>
          <w:sz w:val="22"/>
        </w:rPr>
        <w:t xml:space="preserve">Mental Capacity Act 2005 (2005) </w:t>
      </w:r>
      <w:r w:rsidRPr="004B2691">
        <w:rPr>
          <w:rFonts w:ascii="Arial" w:hAnsi="Arial" w:cs="Arial"/>
          <w:i/>
          <w:iCs/>
          <w:sz w:val="22"/>
        </w:rPr>
        <w:t>Mental Capacity Act 2005</w:t>
      </w:r>
      <w:r w:rsidRPr="000155BE">
        <w:rPr>
          <w:rFonts w:ascii="Arial" w:hAnsi="Arial" w:cs="Arial"/>
          <w:sz w:val="22"/>
        </w:rPr>
        <w:t>. London: The Stationery Office. Available at: (legislation.gov.uk in Bing) (Accessed: 3 March 2026).</w:t>
      </w:r>
    </w:p>
    <w:p w14:paraId="053AC140" w14:textId="77777777" w:rsidR="007812F5" w:rsidRPr="000155BE" w:rsidRDefault="007812F5" w:rsidP="007812F5">
      <w:pPr>
        <w:pStyle w:val="ListParagraph"/>
        <w:spacing w:line="360" w:lineRule="auto"/>
        <w:jc w:val="both"/>
        <w:rPr>
          <w:rFonts w:ascii="Arial" w:hAnsi="Arial" w:cs="Arial"/>
          <w:sz w:val="22"/>
        </w:rPr>
      </w:pPr>
    </w:p>
    <w:p w14:paraId="159BD393" w14:textId="3A14669A" w:rsidR="00673D61" w:rsidRPr="000155BE" w:rsidRDefault="007812F5" w:rsidP="007812F5">
      <w:pPr>
        <w:pStyle w:val="ListParagraph"/>
        <w:spacing w:line="360" w:lineRule="auto"/>
        <w:jc w:val="both"/>
        <w:rPr>
          <w:rFonts w:ascii="Arial" w:hAnsi="Arial" w:cs="Arial"/>
          <w:sz w:val="22"/>
        </w:rPr>
      </w:pPr>
      <w:r w:rsidRPr="000155BE">
        <w:rPr>
          <w:rFonts w:ascii="Arial" w:hAnsi="Arial" w:cs="Arial"/>
          <w:sz w:val="22"/>
        </w:rPr>
        <w:t xml:space="preserve">NHS (2021) </w:t>
      </w:r>
      <w:r w:rsidRPr="004B2691">
        <w:rPr>
          <w:rFonts w:ascii="Arial" w:hAnsi="Arial" w:cs="Arial"/>
          <w:i/>
          <w:iCs/>
          <w:sz w:val="22"/>
        </w:rPr>
        <w:t>The NHS Constitution for England</w:t>
      </w:r>
      <w:r w:rsidRPr="000155BE">
        <w:rPr>
          <w:rFonts w:ascii="Arial" w:hAnsi="Arial" w:cs="Arial"/>
          <w:sz w:val="22"/>
        </w:rPr>
        <w:t>. London: Department of Health and Social Care. Available at: (gov.uk in Bing) (Accessed: 3 March 2026)</w:t>
      </w:r>
    </w:p>
    <w:sectPr w:rsidR="00673D61" w:rsidRPr="000155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8945D" w14:textId="77777777" w:rsidR="00AB342E" w:rsidRDefault="00AB342E" w:rsidP="00B21FE6">
      <w:pPr>
        <w:spacing w:after="0" w:line="240" w:lineRule="auto"/>
      </w:pPr>
      <w:r>
        <w:separator/>
      </w:r>
    </w:p>
  </w:endnote>
  <w:endnote w:type="continuationSeparator" w:id="0">
    <w:p w14:paraId="1B62B91B" w14:textId="77777777" w:rsidR="00AB342E" w:rsidRDefault="00AB342E"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ource Sans Pro">
    <w:altName w:val="Arial"/>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84DFB" w14:textId="77777777" w:rsidR="00AB342E" w:rsidRDefault="00AB342E" w:rsidP="00B21FE6">
      <w:pPr>
        <w:spacing w:after="0" w:line="240" w:lineRule="auto"/>
      </w:pPr>
      <w:r>
        <w:separator/>
      </w:r>
    </w:p>
  </w:footnote>
  <w:footnote w:type="continuationSeparator" w:id="0">
    <w:p w14:paraId="62D9AB28" w14:textId="77777777" w:rsidR="00AB342E" w:rsidRDefault="00AB342E"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5C7E5B"/>
    <w:multiLevelType w:val="hybridMultilevel"/>
    <w:tmpl w:val="5EE29FF6"/>
    <w:lvl w:ilvl="0" w:tplc="08090001">
      <w:start w:val="1"/>
      <w:numFmt w:val="bullet"/>
      <w:lvlText w:val=""/>
      <w:lvlJc w:val="left"/>
      <w:pPr>
        <w:ind w:left="720" w:hanging="360"/>
      </w:pPr>
      <w:rPr>
        <w:rFonts w:ascii="Symbol" w:hAnsi="Symbol" w:hint="default"/>
      </w:rPr>
    </w:lvl>
    <w:lvl w:ilvl="1" w:tplc="0AF46FE4">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5"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3E519B"/>
    <w:multiLevelType w:val="hybridMultilevel"/>
    <w:tmpl w:val="C0AE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CC5906"/>
    <w:multiLevelType w:val="hybridMultilevel"/>
    <w:tmpl w:val="2E9C8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D522E8"/>
    <w:multiLevelType w:val="hybridMultilevel"/>
    <w:tmpl w:val="B7D86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4057329">
    <w:abstractNumId w:val="6"/>
  </w:num>
  <w:num w:numId="2" w16cid:durableId="1848981545">
    <w:abstractNumId w:val="3"/>
  </w:num>
  <w:num w:numId="3" w16cid:durableId="201140407">
    <w:abstractNumId w:val="1"/>
  </w:num>
  <w:num w:numId="4" w16cid:durableId="2066105348">
    <w:abstractNumId w:val="5"/>
  </w:num>
  <w:num w:numId="5" w16cid:durableId="350911784">
    <w:abstractNumId w:val="2"/>
  </w:num>
  <w:num w:numId="6" w16cid:durableId="490028398">
    <w:abstractNumId w:val="0"/>
  </w:num>
  <w:num w:numId="7" w16cid:durableId="765539116">
    <w:abstractNumId w:val="8"/>
  </w:num>
  <w:num w:numId="8" w16cid:durableId="770779946">
    <w:abstractNumId w:val="7"/>
  </w:num>
  <w:num w:numId="9" w16cid:durableId="9175987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034E"/>
    <w:rsid w:val="000155BE"/>
    <w:rsid w:val="00020F96"/>
    <w:rsid w:val="00042D85"/>
    <w:rsid w:val="0005107D"/>
    <w:rsid w:val="00052089"/>
    <w:rsid w:val="000B107D"/>
    <w:rsid w:val="000B6F9E"/>
    <w:rsid w:val="000E1877"/>
    <w:rsid w:val="00100C30"/>
    <w:rsid w:val="001333C2"/>
    <w:rsid w:val="001354E7"/>
    <w:rsid w:val="00156D81"/>
    <w:rsid w:val="001C4772"/>
    <w:rsid w:val="001D345E"/>
    <w:rsid w:val="001E1D07"/>
    <w:rsid w:val="001E2D85"/>
    <w:rsid w:val="001E6113"/>
    <w:rsid w:val="00205B71"/>
    <w:rsid w:val="00220640"/>
    <w:rsid w:val="00226F99"/>
    <w:rsid w:val="00241638"/>
    <w:rsid w:val="00243932"/>
    <w:rsid w:val="00251594"/>
    <w:rsid w:val="00290DE4"/>
    <w:rsid w:val="002D39BD"/>
    <w:rsid w:val="002F09B5"/>
    <w:rsid w:val="00314948"/>
    <w:rsid w:val="003175D0"/>
    <w:rsid w:val="00317E3D"/>
    <w:rsid w:val="0034388A"/>
    <w:rsid w:val="00350D4F"/>
    <w:rsid w:val="00363265"/>
    <w:rsid w:val="00374148"/>
    <w:rsid w:val="00391C58"/>
    <w:rsid w:val="003922E7"/>
    <w:rsid w:val="003A54DD"/>
    <w:rsid w:val="003E456A"/>
    <w:rsid w:val="0042501E"/>
    <w:rsid w:val="00444FBD"/>
    <w:rsid w:val="00445263"/>
    <w:rsid w:val="00453A78"/>
    <w:rsid w:val="00483E5B"/>
    <w:rsid w:val="004A5989"/>
    <w:rsid w:val="004B11F7"/>
    <w:rsid w:val="004B2691"/>
    <w:rsid w:val="004D412C"/>
    <w:rsid w:val="004E2B32"/>
    <w:rsid w:val="004E5B06"/>
    <w:rsid w:val="004F5B88"/>
    <w:rsid w:val="00512C74"/>
    <w:rsid w:val="00520BF2"/>
    <w:rsid w:val="005232E3"/>
    <w:rsid w:val="005248D9"/>
    <w:rsid w:val="00533F05"/>
    <w:rsid w:val="0058218C"/>
    <w:rsid w:val="00594FAC"/>
    <w:rsid w:val="005B24DC"/>
    <w:rsid w:val="005D0C9C"/>
    <w:rsid w:val="005D78CD"/>
    <w:rsid w:val="00602E35"/>
    <w:rsid w:val="006037F5"/>
    <w:rsid w:val="00610A5B"/>
    <w:rsid w:val="00622295"/>
    <w:rsid w:val="0063696D"/>
    <w:rsid w:val="006524ED"/>
    <w:rsid w:val="00673D61"/>
    <w:rsid w:val="00685140"/>
    <w:rsid w:val="006C03CD"/>
    <w:rsid w:val="006D2F2D"/>
    <w:rsid w:val="006D7A4F"/>
    <w:rsid w:val="006E1FF9"/>
    <w:rsid w:val="006E38AB"/>
    <w:rsid w:val="006F2E8D"/>
    <w:rsid w:val="00716EEF"/>
    <w:rsid w:val="00743794"/>
    <w:rsid w:val="007509C8"/>
    <w:rsid w:val="00753759"/>
    <w:rsid w:val="00757E60"/>
    <w:rsid w:val="007732C6"/>
    <w:rsid w:val="007808FC"/>
    <w:rsid w:val="007812F5"/>
    <w:rsid w:val="00785886"/>
    <w:rsid w:val="007B7D12"/>
    <w:rsid w:val="007F3A6A"/>
    <w:rsid w:val="008150CF"/>
    <w:rsid w:val="00817D1C"/>
    <w:rsid w:val="0082419D"/>
    <w:rsid w:val="008427E5"/>
    <w:rsid w:val="008574CB"/>
    <w:rsid w:val="00860AA2"/>
    <w:rsid w:val="00887FBB"/>
    <w:rsid w:val="00897577"/>
    <w:rsid w:val="008A3D1B"/>
    <w:rsid w:val="008A700A"/>
    <w:rsid w:val="008B5DF6"/>
    <w:rsid w:val="008E5531"/>
    <w:rsid w:val="008F1BFA"/>
    <w:rsid w:val="008F6D4B"/>
    <w:rsid w:val="009364C9"/>
    <w:rsid w:val="00941849"/>
    <w:rsid w:val="009550A7"/>
    <w:rsid w:val="009B338C"/>
    <w:rsid w:val="009D4CBE"/>
    <w:rsid w:val="009E4988"/>
    <w:rsid w:val="009E5C5F"/>
    <w:rsid w:val="009F03EE"/>
    <w:rsid w:val="00A11336"/>
    <w:rsid w:val="00A22BB2"/>
    <w:rsid w:val="00A45ADA"/>
    <w:rsid w:val="00A53764"/>
    <w:rsid w:val="00A567AC"/>
    <w:rsid w:val="00A757DD"/>
    <w:rsid w:val="00AB342E"/>
    <w:rsid w:val="00AD05DD"/>
    <w:rsid w:val="00AE7DDA"/>
    <w:rsid w:val="00AF45E8"/>
    <w:rsid w:val="00B002E1"/>
    <w:rsid w:val="00B21FE6"/>
    <w:rsid w:val="00B27E16"/>
    <w:rsid w:val="00B3299E"/>
    <w:rsid w:val="00B364E4"/>
    <w:rsid w:val="00B557F7"/>
    <w:rsid w:val="00B93F50"/>
    <w:rsid w:val="00B96E40"/>
    <w:rsid w:val="00BA7ACD"/>
    <w:rsid w:val="00BB5224"/>
    <w:rsid w:val="00BC79FE"/>
    <w:rsid w:val="00C024DF"/>
    <w:rsid w:val="00C04A41"/>
    <w:rsid w:val="00C127B6"/>
    <w:rsid w:val="00C150B1"/>
    <w:rsid w:val="00C24690"/>
    <w:rsid w:val="00C462E6"/>
    <w:rsid w:val="00C542F7"/>
    <w:rsid w:val="00C558B0"/>
    <w:rsid w:val="00C76B6F"/>
    <w:rsid w:val="00CA42A3"/>
    <w:rsid w:val="00CB0D95"/>
    <w:rsid w:val="00CB1C0F"/>
    <w:rsid w:val="00CF0473"/>
    <w:rsid w:val="00D00A38"/>
    <w:rsid w:val="00D1122C"/>
    <w:rsid w:val="00D545BA"/>
    <w:rsid w:val="00D560C9"/>
    <w:rsid w:val="00D66C96"/>
    <w:rsid w:val="00D759E2"/>
    <w:rsid w:val="00D85128"/>
    <w:rsid w:val="00D91912"/>
    <w:rsid w:val="00DB4F85"/>
    <w:rsid w:val="00DC7DA9"/>
    <w:rsid w:val="00DD7BCC"/>
    <w:rsid w:val="00E24051"/>
    <w:rsid w:val="00E27997"/>
    <w:rsid w:val="00E43952"/>
    <w:rsid w:val="00E63735"/>
    <w:rsid w:val="00E81204"/>
    <w:rsid w:val="00E823BF"/>
    <w:rsid w:val="00EC61A9"/>
    <w:rsid w:val="00EF098A"/>
    <w:rsid w:val="00F07B10"/>
    <w:rsid w:val="00F10BD0"/>
    <w:rsid w:val="00F53F0A"/>
    <w:rsid w:val="00F72055"/>
    <w:rsid w:val="00F72362"/>
    <w:rsid w:val="00F7384B"/>
    <w:rsid w:val="00F749F8"/>
    <w:rsid w:val="00F76741"/>
    <w:rsid w:val="00F81510"/>
    <w:rsid w:val="00FA6248"/>
    <w:rsid w:val="00FA6835"/>
    <w:rsid w:val="00FB319A"/>
    <w:rsid w:val="00FD6373"/>
    <w:rsid w:val="00FD782C"/>
    <w:rsid w:val="00FF0566"/>
    <w:rsid w:val="00FF0B6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7AB11"/>
  <w15:chartTrackingRefBased/>
  <w15:docId w15:val="{F13561E3-849E-43FD-933A-488C0C4C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7122</TotalTime>
  <Pages>10</Pages>
  <Words>2423</Words>
  <Characters>15532</Characters>
  <Application>Microsoft Office Word</Application>
  <DocSecurity>0</DocSecurity>
  <Lines>277</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Robson Silva</cp:lastModifiedBy>
  <cp:revision>110</cp:revision>
  <dcterms:created xsi:type="dcterms:W3CDTF">2026-03-03T14:36:00Z</dcterms:created>
  <dcterms:modified xsi:type="dcterms:W3CDTF">2026-04-12T18:56:00Z</dcterms:modified>
</cp:coreProperties>
</file>