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E36D44" w14:textId="77777777" w:rsidR="00E65247" w:rsidRDefault="00E65247" w:rsidP="00E65247">
      <w:pPr>
        <w:rPr>
          <w:rFonts w:ascii="Arial" w:hAnsi="Arial" w:cs="Arial"/>
          <w:b/>
          <w:bCs/>
        </w:rPr>
      </w:pPr>
      <w:r w:rsidRPr="00055BD2">
        <w:rPr>
          <w:rFonts w:ascii="Arial" w:hAnsi="Arial" w:cs="Arial"/>
          <w:b/>
          <w:bCs/>
        </w:rPr>
        <w:t>Chapter 2 – Literature Review (2500)</w:t>
      </w:r>
    </w:p>
    <w:p w14:paraId="32E3A1D2" w14:textId="77777777" w:rsidR="00E65247" w:rsidRPr="00055BD2" w:rsidRDefault="00E65247" w:rsidP="00E65247">
      <w:pPr>
        <w:rPr>
          <w:rFonts w:ascii="Arial" w:hAnsi="Arial" w:cs="Arial"/>
          <w:b/>
          <w:bCs/>
        </w:rPr>
      </w:pPr>
    </w:p>
    <w:p w14:paraId="61C3C024" w14:textId="77777777" w:rsidR="00E65247" w:rsidRPr="00793880" w:rsidRDefault="00E65247" w:rsidP="00E65247">
      <w:pPr>
        <w:rPr>
          <w:rFonts w:ascii="Arial" w:hAnsi="Arial" w:cs="Arial"/>
          <w:u w:val="single"/>
        </w:rPr>
      </w:pPr>
    </w:p>
    <w:p w14:paraId="2DAF1087" w14:textId="77777777" w:rsidR="00E65247" w:rsidRDefault="00E65247" w:rsidP="00E65247">
      <w:pPr>
        <w:spacing w:line="480" w:lineRule="auto"/>
        <w:jc w:val="center"/>
        <w:rPr>
          <w:rFonts w:ascii="Arial" w:hAnsi="Arial" w:cs="Arial"/>
        </w:rPr>
      </w:pPr>
      <w:r w:rsidRPr="00534FD3">
        <w:rPr>
          <w:rFonts w:ascii="Arial" w:hAnsi="Arial" w:cs="Arial"/>
        </w:rPr>
        <w:t>“</w:t>
      </w:r>
      <w:r>
        <w:rPr>
          <w:rFonts w:ascii="Arial" w:hAnsi="Arial" w:cs="Arial"/>
        </w:rPr>
        <w:t>Explore current literature to identify arguments for and against raising the age of criminal responsibility in England and Wales”</w:t>
      </w:r>
    </w:p>
    <w:p w14:paraId="3019D0A7" w14:textId="77777777" w:rsidR="00E65247" w:rsidRPr="00534FD3" w:rsidRDefault="00E65247" w:rsidP="00E65247">
      <w:pPr>
        <w:spacing w:line="480" w:lineRule="auto"/>
        <w:jc w:val="center"/>
        <w:rPr>
          <w:rFonts w:ascii="Arial" w:hAnsi="Arial" w:cs="Arial"/>
        </w:rPr>
      </w:pPr>
    </w:p>
    <w:p w14:paraId="696666B0" w14:textId="77777777" w:rsidR="00E65247" w:rsidRDefault="00E65247" w:rsidP="00E65247">
      <w:pPr>
        <w:rPr>
          <w:rFonts w:ascii="Arial" w:hAnsi="Arial" w:cs="Arial"/>
        </w:rPr>
      </w:pPr>
    </w:p>
    <w:p w14:paraId="187E6DD8" w14:textId="71C1966B" w:rsidR="00E65247" w:rsidRPr="00B25144" w:rsidRDefault="00E65247" w:rsidP="00E65247">
      <w:pPr>
        <w:spacing w:line="480" w:lineRule="auto"/>
        <w:jc w:val="both"/>
        <w:rPr>
          <w:rFonts w:ascii="Arial" w:hAnsi="Arial" w:cs="Arial"/>
          <w:sz w:val="22"/>
          <w:szCs w:val="22"/>
        </w:rPr>
      </w:pPr>
      <w:r w:rsidRPr="00B25144">
        <w:rPr>
          <w:rFonts w:ascii="Arial" w:hAnsi="Arial" w:cs="Arial"/>
          <w:sz w:val="22"/>
          <w:szCs w:val="22"/>
        </w:rPr>
        <w:t>According to the houses of Parliament (2018) with the ACR remaining at ten years old, children that commit crimes under this age cannot be charged with a crime, however children aged 10-17 are perceived to be appropriately competent to be held responsible similarly to adults. For children that are under the age of 10 although they cannot be charged, they can be issued a local child curfew, a child safety order, put into care or the parents will be held accountable (GOV.UK, 2022). According to Walsh (1999) the local child curfew prohibits children from entering specific places between the hours of 9pm – 6</w:t>
      </w:r>
      <w:r w:rsidR="00090BC6">
        <w:rPr>
          <w:rFonts w:ascii="Arial" w:hAnsi="Arial" w:cs="Arial"/>
          <w:sz w:val="22"/>
          <w:szCs w:val="22"/>
        </w:rPr>
        <w:t>a</w:t>
      </w:r>
      <w:r w:rsidRPr="00B25144">
        <w:rPr>
          <w:rFonts w:ascii="Arial" w:hAnsi="Arial" w:cs="Arial"/>
          <w:sz w:val="22"/>
          <w:szCs w:val="22"/>
        </w:rPr>
        <w:t>m. A child safety order according to the Crime and Disorder Act (1998) is provided when a child, had they been ten or over, would have been charged with an offence. The Crime and Disorder Act (1998) also includes that the child will work closely with a social worker and a member of the youth offending team to prevent future delinquency. For children 10-17, they can be issued with a referral order, a youth rehabilitation order or a detention and training order (Crown Prosecution Service, 2020). According to the Ministry of Justice (2018) a referral order is a community sentence for children who have committed their first offence and involves a restorative justice contract which must be followed. A youth rehabilitation order is aimed for children who have committed multiple offences or have committed an offence during their referral order. The Home Office (2022) states that the youth board are able to choose from 18 requirements for the child such as unpaid work, educational courses and further curfews. A detention and training order according to the Youth Justice Board (2008) is a custodial sentence which can last up to two years for high-risk child offenders.</w:t>
      </w:r>
    </w:p>
    <w:p w14:paraId="4548AD44" w14:textId="6474522A" w:rsidR="00E65247" w:rsidRDefault="00E65247" w:rsidP="00E65247">
      <w:pPr>
        <w:spacing w:line="480" w:lineRule="auto"/>
        <w:jc w:val="both"/>
        <w:rPr>
          <w:rFonts w:ascii="Arial" w:hAnsi="Arial" w:cs="Arial"/>
          <w:sz w:val="22"/>
          <w:szCs w:val="22"/>
        </w:rPr>
      </w:pPr>
      <w:r w:rsidRPr="00B25144">
        <w:rPr>
          <w:rFonts w:ascii="Arial" w:hAnsi="Arial" w:cs="Arial"/>
          <w:sz w:val="22"/>
          <w:szCs w:val="22"/>
        </w:rPr>
        <w:t xml:space="preserve">The House of Commons Justice Committee (2020) issued a detailed report with recommendations and guidance regarding children entering the criminal justice system </w:t>
      </w:r>
      <w:r w:rsidRPr="00B25144">
        <w:rPr>
          <w:rFonts w:ascii="Arial" w:hAnsi="Arial" w:cs="Arial"/>
          <w:sz w:val="22"/>
          <w:szCs w:val="22"/>
        </w:rPr>
        <w:lastRenderedPageBreak/>
        <w:t>including the</w:t>
      </w:r>
      <w:r w:rsidR="003B0111">
        <w:rPr>
          <w:rFonts w:ascii="Arial" w:hAnsi="Arial" w:cs="Arial"/>
          <w:sz w:val="22"/>
          <w:szCs w:val="22"/>
        </w:rPr>
        <w:t xml:space="preserve"> ACR </w:t>
      </w:r>
      <w:r w:rsidRPr="00B25144">
        <w:rPr>
          <w:rFonts w:ascii="Arial" w:hAnsi="Arial" w:cs="Arial"/>
          <w:sz w:val="22"/>
          <w:szCs w:val="22"/>
        </w:rPr>
        <w:t>, stating that there is more than sufficient evidence to suggest that a review is necessary. A response document was published and gave justifications for why the ACR will not be raised in the near future. The first justification that was given from House of Commons Justice Committee (2021) stated that children are able to know the difference in careless behaviour and serious illegal activity</w:t>
      </w:r>
      <w:r>
        <w:rPr>
          <w:rFonts w:ascii="Arial" w:hAnsi="Arial" w:cs="Arial"/>
          <w:sz w:val="22"/>
          <w:szCs w:val="22"/>
        </w:rPr>
        <w:t>. However, this justification has been proven to demonstrate conflicting evidence</w:t>
      </w:r>
      <w:r w:rsidRPr="00B25144">
        <w:rPr>
          <w:rFonts w:ascii="Arial" w:hAnsi="Arial" w:cs="Arial"/>
          <w:sz w:val="22"/>
          <w:szCs w:val="22"/>
        </w:rPr>
        <w:t xml:space="preserve">. Arain et al (2013) states that during puberty and adolescent years the brain is underdeveloped and is constantly changing, growing and goes through the process of brain maturation from ten to twenty-four years old. Arain et al (2017) explains that during this process, the intensity of sex hormones such as testosterone, </w:t>
      </w:r>
      <w:r>
        <w:rPr>
          <w:rFonts w:ascii="Arial" w:hAnsi="Arial" w:cs="Arial"/>
          <w:sz w:val="22"/>
          <w:szCs w:val="22"/>
        </w:rPr>
        <w:t>o</w:t>
      </w:r>
      <w:r w:rsidRPr="00B25144">
        <w:rPr>
          <w:rFonts w:ascii="Arial" w:hAnsi="Arial" w:cs="Arial"/>
          <w:sz w:val="22"/>
          <w:szCs w:val="22"/>
        </w:rPr>
        <w:t>estrogen and progesterone can highly influence children’s self-control, logical risk assessment, emotions, and their ability to make decisions. Therefore</w:t>
      </w:r>
      <w:r>
        <w:rPr>
          <w:rFonts w:ascii="Arial" w:hAnsi="Arial" w:cs="Arial"/>
          <w:sz w:val="22"/>
          <w:szCs w:val="22"/>
        </w:rPr>
        <w:t xml:space="preserve">, this evidence shows that children are more likely to make illogical impulsive choices and cannot make rational and intentional judgements. A further piece of evidence which shows that children are not capable of making coherent choices, is according to the Sentencing Advisory Council (2012) the final area of the brain to develop is the frontal lobe, this area is responsible for arrangements, reasoning and forethought. The Sentencing Advisory Council (2012) continues that due to this part of the brain being underdeveloped and the combined intensity of hormones, children and teenagers have an appeal for thrill seeking risky behaviour and are unlikely to control these urges as they do not consider the weight of the consequences to their actions. </w:t>
      </w:r>
    </w:p>
    <w:p w14:paraId="102BF394" w14:textId="77777777" w:rsidR="00E65247" w:rsidRDefault="00E65247" w:rsidP="00E65247">
      <w:pPr>
        <w:spacing w:line="480" w:lineRule="auto"/>
        <w:jc w:val="both"/>
        <w:rPr>
          <w:rFonts w:ascii="Arial" w:hAnsi="Arial" w:cs="Arial"/>
          <w:sz w:val="22"/>
          <w:szCs w:val="22"/>
        </w:rPr>
      </w:pPr>
    </w:p>
    <w:p w14:paraId="012C417F" w14:textId="1BEA5BB0" w:rsidR="00E65247" w:rsidRDefault="00E65247" w:rsidP="00E65247">
      <w:pPr>
        <w:spacing w:line="480" w:lineRule="auto"/>
        <w:jc w:val="both"/>
        <w:rPr>
          <w:rFonts w:ascii="Arial" w:hAnsi="Arial" w:cs="Arial"/>
          <w:sz w:val="22"/>
          <w:szCs w:val="22"/>
        </w:rPr>
      </w:pPr>
      <w:r>
        <w:rPr>
          <w:rFonts w:ascii="Arial" w:hAnsi="Arial" w:cs="Arial"/>
          <w:sz w:val="22"/>
          <w:szCs w:val="22"/>
        </w:rPr>
        <w:t>The House of Commons (2021) also justifies the ACR by arguing that the age grants for earlier intervention to prevent further offending. Crofts (2022) demonstrates one supporting argument in which the criminal justice system examines and carefully considers a child’s age, the context and the crime itself, which may adjust what sentence they receive.</w:t>
      </w:r>
    </w:p>
    <w:p w14:paraId="49F1DF2B" w14:textId="77777777" w:rsidR="009D6C5C" w:rsidRPr="009D6C5C" w:rsidRDefault="009D6C5C">
      <w:pPr>
        <w:rPr>
          <w:rFonts w:ascii="Arial" w:hAnsi="Arial" w:cs="Arial"/>
        </w:rPr>
      </w:pPr>
    </w:p>
    <w:sectPr w:rsidR="009D6C5C" w:rsidRPr="009D6C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C5C"/>
    <w:rsid w:val="00090BC6"/>
    <w:rsid w:val="003B0111"/>
    <w:rsid w:val="006D49C0"/>
    <w:rsid w:val="009D6C5C"/>
    <w:rsid w:val="00E652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3551E2"/>
  <w15:chartTrackingRefBased/>
  <w15:docId w15:val="{E8108460-8D52-B042-B506-C5334D235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524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2</Pages>
  <Words>627</Words>
  <Characters>3577</Characters>
  <Application>Microsoft Office Word</Application>
  <DocSecurity>0</DocSecurity>
  <Lines>29</Lines>
  <Paragraphs>8</Paragraphs>
  <ScaleCrop>false</ScaleCrop>
  <Company/>
  <LinksUpToDate>false</LinksUpToDate>
  <CharactersWithSpaces>4196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Jacey Punter (2004350)</dc:creator>
  <cp:keywords/>
  <dc:description/>
  <cp:lastModifiedBy>Jacey Punter (2004350)</cp:lastModifiedBy>
  <cp:revision>5</cp:revision>
  <dcterms:created xsi:type="dcterms:W3CDTF">2022-11-25T13:17:00Z</dcterms:created>
  <dcterms:modified xsi:type="dcterms:W3CDTF">2022-11-25T13:24:00Z</dcterms:modified>
</cp:coreProperties>
</file>