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011C84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27864">
              <w:rPr>
                <w:rFonts w:ascii="Times New Roman" w:hAnsi="Times New Roman" w:cs="Times New Roman"/>
                <w:b/>
                <w:color w:val="auto"/>
                <w:sz w:val="48"/>
              </w:rPr>
              <w:t>Rhian Maddocks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1017FB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27864">
              <w:rPr>
                <w:rFonts w:ascii="Times New Roman" w:hAnsi="Times New Roman" w:cs="Times New Roman"/>
                <w:b/>
                <w:color w:val="auto"/>
                <w:sz w:val="48"/>
              </w:rPr>
              <w:t xml:space="preserve"> r.maddocks3@npt.gov.uk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C684D9D" w14:textId="77777777" w:rsidR="00710ABA" w:rsidRPr="00710ABA" w:rsidRDefault="00710ABA" w:rsidP="00710ABA">
            <w:pPr>
              <w:overflowPunct/>
              <w:autoSpaceDE/>
              <w:autoSpaceDN/>
              <w:adjustRightInd/>
              <w:ind w:right="-957"/>
              <w:textAlignment w:val="auto"/>
              <w:rPr>
                <w:rFonts w:ascii="Times New Roman" w:hAnsi="Times New Roman" w:cs="Times New Roman"/>
                <w:b/>
                <w:color w:val="auto"/>
                <w:sz w:val="48"/>
              </w:rPr>
            </w:pPr>
            <w:r w:rsidRPr="00710ABA">
              <w:rPr>
                <w:rFonts w:ascii="Times New Roman" w:hAnsi="Times New Roman" w:cs="Times New Roman"/>
                <w:b/>
                <w:color w:val="auto"/>
                <w:sz w:val="48"/>
              </w:rPr>
              <w:t xml:space="preserve">2328602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285A5C32" w14:textId="77777777" w:rsidR="00427864" w:rsidRDefault="00427864" w:rsidP="00427864">
            <w:r>
              <w:t>This safeguarding case study examines the complexities and challenges faced by an African family seeking asylum in the UK, with a particular focus on safeguarding issues to include domestic abuse and the risks of female genital mutilation (FGM) along with having no access to public funds. It explores how legislative frameworks, theoretical perspectives, standards, and guidance inform assessment practices in Wales. Additionally, it considers the ethical considerations involved in professional judgement, communication, multidisciplinary collaboration, and the interplay between social services in Wales and outside the EU.</w:t>
            </w:r>
          </w:p>
          <w:p w14:paraId="2D8FB65E" w14:textId="77777777" w:rsidR="00427864" w:rsidRDefault="00427864" w:rsidP="00427864">
            <w:r>
              <w:t xml:space="preserve">This case study consists of a family including a mother (1) and her two children. A six-year-old daughter (2) and a 2-year-old son (3). The family first arrived in Wales to join Father (4) who had already established residency; however, mother and fathers’ relationship quickly broke down when mother experienced a serious incident of domestic abuse towards herself from father. This led to mother fleeing the family home with her 2 children in need of seeking the safety of a refuge. In terms of the legalities of being in the UK this left the family, mother, and children with a status of ‘illegal immigrants’ due to mother now not being eligible as part of a joint working visa with permissions to work and live in the UK, this now only applied to father as they were no longer in a relationship. Therefore, mother and children are now seeking asylum in the UK in their own rite. This leaves the family in the situation of having no recourse to public funds and facing the risk of deportation back to Africa. </w:t>
            </w:r>
          </w:p>
          <w:p w14:paraId="7D540392" w14:textId="77777777" w:rsidR="00427864" w:rsidRDefault="00427864" w:rsidP="00427864">
            <w:r>
              <w:t xml:space="preserve">This in turn raises the further complexity of mother reporting the risk to her daughter of the procedure of FGM being undertaken by paternal family members should the family be made to return to Africa. This procedure is illegal in both the UK and Africa; however, research suggests it is still practiced illegally by 27% of the ***tribe to which paternal relatives belong. (National FGM Centre, 2024).  The children’s passports are secure within the women’s refuge and airport security markers are in place; however, Police Safeguarding confirm this is not a 100% guarantee that it will not be possible for duplicate passports to be used if this was fathers’ intention to take the children back to Kenya. There is also the risk that FGM in this country cannot be completely dismissed. Mother explained she does not know if father would want child 2 to have this illegal procedure, however, feels that he would not have a choice, as culturally it would be his mother and grandmother who will </w:t>
            </w:r>
            <w:r>
              <w:lastRenderedPageBreak/>
              <w:t xml:space="preserve">make the decision. Within the tribe it is believed that having the procedure is a passage of age from a girl to woman and happens before marriage. Usually, this practice would take place when a child is over 12 years old, however research confirms the age of the procedure has become much younger in order that it can take place before being prevented and avoid detection (National FGM Centre, 2024).  Mother explained that if she was to return to Africa with father and the children or alone with the children, she would have no choice in allowing child 2 to have the procedure if this was the choice of paternal grandmother. She </w:t>
            </w:r>
            <w:r>
              <w:rPr>
                <w:rFonts w:ascii="Times New Roman" w:hAnsi="Times New Roman"/>
              </w:rPr>
              <w:t>would have to stay with fathers’ family and is not allowed to return to her own parent’s home or make any decisions concerning the children, this role would be taken over by child 2’s paternal grandmother.</w:t>
            </w:r>
          </w:p>
          <w:p w14:paraId="1B19E690" w14:textId="77777777" w:rsidR="00427864" w:rsidRDefault="00427864" w:rsidP="00427864"/>
          <w:p w14:paraId="4BAED2CA" w14:textId="77777777" w:rsidR="00427864" w:rsidRDefault="00427864" w:rsidP="00427864">
            <w:r>
              <w:t xml:space="preserve">The UK’s asylum system is governed by several key legislative frameworks: </w:t>
            </w:r>
          </w:p>
          <w:p w14:paraId="0CD97D3B" w14:textId="77777777" w:rsidR="00427864" w:rsidRDefault="00427864" w:rsidP="00427864">
            <w:r>
              <w:t>‘The Immigration and Asylum Act 1999’ which outlines the rights and entitlements of asylum seekers, including access to support and accommodation.</w:t>
            </w:r>
          </w:p>
          <w:p w14:paraId="0EA5FEDA" w14:textId="77777777" w:rsidR="00427864" w:rsidRDefault="00427864" w:rsidP="00427864">
            <w:r>
              <w:t xml:space="preserve"> The ‘Nationality, Immigration and Asylum Act 2002’ which introduced measures to streamline the asylum process and reduce the number of unfounded claims.</w:t>
            </w:r>
          </w:p>
          <w:p w14:paraId="112EB070" w14:textId="77777777" w:rsidR="00427864" w:rsidRDefault="00427864" w:rsidP="00427864">
            <w:r>
              <w:t xml:space="preserve"> The ‘Borders, Citizenship and Immigration Act 2009’ which includes provisions for the protection of children and vulnerable individuals within the immigration system.</w:t>
            </w:r>
          </w:p>
          <w:p w14:paraId="473377DA" w14:textId="77777777" w:rsidR="00427864" w:rsidRDefault="00427864" w:rsidP="00427864">
            <w:r>
              <w:t>The Human Rights Act 1998 sets out a minimum standard of how the government should treat people and protects freedom from inhuman or degrading treatment.</w:t>
            </w:r>
          </w:p>
          <w:p w14:paraId="1C89C4C2" w14:textId="77777777" w:rsidR="00427864" w:rsidRDefault="00427864" w:rsidP="00427864">
            <w:r>
              <w:t>The United Nations Convention on the Rights of the Child (UNCRC) is an international agreement that establishes the rights of children. It protects children from exploitation, abuse and violence.</w:t>
            </w:r>
          </w:p>
          <w:p w14:paraId="6C4E02CB" w14:textId="77777777" w:rsidR="00427864" w:rsidRDefault="00427864" w:rsidP="00427864">
            <w:r>
              <w:t>In Wales, safeguarding and child protection are guided by: ‘The Social Services and Well-being (Wales) Act 2014’ this act places a duty on local authorities, health boards and other partners to promote the well-being of individuals and protect them from abuse and neglect.</w:t>
            </w:r>
          </w:p>
          <w:p w14:paraId="07CE080E" w14:textId="77777777" w:rsidR="00427864" w:rsidRDefault="00427864" w:rsidP="00427864">
            <w:r>
              <w:t>‘The Children Act 1989 and 2004’ sets out the legal framework for protecting children’s welfare and establishes the duty of care towards children and outlines responsibilities for the local authorities and other agencies.</w:t>
            </w:r>
          </w:p>
          <w:p w14:paraId="0617C08E" w14:textId="77777777" w:rsidR="00427864" w:rsidRDefault="00427864" w:rsidP="00427864">
            <w:r>
              <w:t>‘The Violence against Women, Domestic Abuse and Sexual Violence (Wales) Act 2015 aims to improve the public sector response to violence against women and domestic abuse.</w:t>
            </w:r>
          </w:p>
          <w:p w14:paraId="5842B54B" w14:textId="77777777" w:rsidR="00427864" w:rsidRDefault="00427864" w:rsidP="00427864">
            <w:r>
              <w:t>‘The Female Genital Mutilation Act 2003’ makes it a criminal offence to perform FGM or assist in its practice, including taking a child abroad for the procedure.</w:t>
            </w:r>
          </w:p>
          <w:p w14:paraId="1231D072" w14:textId="77777777" w:rsidR="00427864" w:rsidRDefault="00427864" w:rsidP="00427864">
            <w:r>
              <w:t xml:space="preserve">Alongside the legislative frameworks stands standards and guidance for practice in Wales. The ‘National Safeguarding Procedures for </w:t>
            </w:r>
            <w:proofErr w:type="spellStart"/>
            <w:r>
              <w:t>Wales’</w:t>
            </w:r>
            <w:proofErr w:type="spellEnd"/>
            <w:r>
              <w:t xml:space="preserve"> sets out the procedures for safeguarding children and promoting their welfare. The ‘All Wales Child Protection Procedures’ provides guidance on identifying, assessing, and responding to concerns about child abuse and neglect. The ‘Social Care Wales Codes of Practice’ offers guidance on professional conduct and ethical standards for social care practitioners. The ‘Working Together to Safeguard People’ provides collaborative guidance for safeguarding practitioners, emphasising multi-agency working and information sharing. Further resources for social workers include Child Practice Reviews (CPRs), which are reviews of cases where a child has died or suffered serious harm, with the aim being to identify lessons for practice improvement, and the Training and Development Framework for Wales which provides guidance on the knowledge and skills required for effective safeguarding practice.</w:t>
            </w:r>
          </w:p>
          <w:p w14:paraId="1C1662DC" w14:textId="77777777" w:rsidR="00427864" w:rsidRDefault="00427864" w:rsidP="00427864">
            <w:r>
              <w:t>These frameworks, perspectives, standards, and guidance collectively shape assessment practices in safeguarding children in Wales, emphasizing a holistic approach that prioritises the well-being of children and young people (Brammer, 2009).</w:t>
            </w:r>
          </w:p>
          <w:p w14:paraId="21DB434D" w14:textId="77777777" w:rsidR="00427864" w:rsidRDefault="00427864" w:rsidP="00427864"/>
          <w:p w14:paraId="73B1AF58" w14:textId="77777777" w:rsidR="00427864" w:rsidRDefault="00427864" w:rsidP="00427864">
            <w:r>
              <w:t>Social Services provision outside the EU varies significantly. In Africa, resources, and legal protections for vulnerable individuals, especially regarding domestic abuse and FGM, may be limited. Understanding these differences is crucial in assessing the risks faced by the family if they are deported (Lawrence et al., 2010).</w:t>
            </w:r>
          </w:p>
          <w:p w14:paraId="02A0C306" w14:textId="77777777" w:rsidR="00427864" w:rsidRDefault="00427864" w:rsidP="00427864">
            <w:pPr>
              <w:pStyle w:val="NormalWeb"/>
            </w:pPr>
            <w:r>
              <w:rPr>
                <w:rFonts w:ascii="Aptos" w:eastAsia="Aptos" w:hAnsi="Aptos" w:cs="Aptos"/>
              </w:rPr>
              <w:t xml:space="preserve">There have been no concerns raised around the health needs of child 2. However, Child 3 has a recent diagnosis of additional learning needs. His care and support needs are reviewed regularly during multidisciplinary meetings and are met by the local health board.  </w:t>
            </w:r>
            <w:r>
              <w:t>Disability law in Wales for children is largely intended to ensure that young people with impairments have the support and protection they require to thrive. This legal framework is based on numerous essential statutes and policies, which ensure that children's rights and needs are fully met (Brammer, 2009).</w:t>
            </w:r>
          </w:p>
          <w:p w14:paraId="6C6680FD" w14:textId="77777777" w:rsidR="00427864" w:rsidRDefault="00427864" w:rsidP="00427864">
            <w:pPr>
              <w:pStyle w:val="NormalWeb"/>
            </w:pPr>
            <w:r>
              <w:lastRenderedPageBreak/>
              <w:t xml:space="preserve">The Social Services and Well-being (Wales) Act 2014 serves as the foundation of Welsh disability law. This statute directs local governments to examine and meet the needs of children with impairments. It emphasises the child's well-being and promotes a comprehensive approach to their care and assistance. The act ensures that services are coordinated across the health, education, and social care sectors, resulting in a support system suited to individual requirements. </w:t>
            </w:r>
          </w:p>
          <w:p w14:paraId="336F5283" w14:textId="77777777" w:rsidR="00427864" w:rsidRDefault="00427864" w:rsidP="00427864">
            <w:pPr>
              <w:pStyle w:val="NormalWeb"/>
            </w:pPr>
            <w:r>
              <w:t xml:space="preserve">Another important factor is the Children and Families Act of 2014, especially the parts on Special Educational Needs and Disabilities (SEND). </w:t>
            </w:r>
            <w:bookmarkStart w:id="0" w:name="_Int_TG1xaO5A"/>
            <w:r>
              <w:t>In order to</w:t>
            </w:r>
            <w:bookmarkEnd w:id="0"/>
            <w:r>
              <w:t xml:space="preserve"> guarantee that children with disabilities have access to adequate education, health, and care plans (EHCPs), this legislation mandates local authorities to identify and assess the educational requirements of these children. These plans are essential for ensuring that pupils can access the curriculum and actively engage in school life, as well as for providing customised help in educational settings. </w:t>
            </w:r>
          </w:p>
          <w:p w14:paraId="50BD4C06" w14:textId="77777777" w:rsidR="00427864" w:rsidRDefault="00427864" w:rsidP="00427864">
            <w:pPr>
              <w:pStyle w:val="NormalWeb"/>
            </w:pPr>
            <w:r>
              <w:t>Furthermore, the Equality Act 2010 requires that children with disabilities be treated equally in all public services, enshrining the principle of non-discrimination. It is mandatory for educational institutions to provide children with disabilities with acceptable adjustments, so they are not disadvantaged in any way.</w:t>
            </w:r>
          </w:p>
          <w:p w14:paraId="091A5341" w14:textId="77777777" w:rsidR="00427864" w:rsidRDefault="00427864" w:rsidP="00427864">
            <w:pPr>
              <w:pStyle w:val="NormalWeb"/>
            </w:pPr>
            <w:r>
              <w:t xml:space="preserve">When combined, these laws provide a strong foundation for protecting the rights of children with disabilities in Wales. They make certain that children get the help they require </w:t>
            </w:r>
            <w:bookmarkStart w:id="1" w:name="_Int_q6jIp9Pj"/>
            <w:r>
              <w:t>in order to</w:t>
            </w:r>
            <w:bookmarkEnd w:id="1"/>
            <w:r>
              <w:t xml:space="preserve"> lead happy lives, engage with society, and realise their full potential. Wales works to establish an inclusive environment where every child, regardless of disability, may thrive </w:t>
            </w:r>
            <w:bookmarkStart w:id="2" w:name="_Int_t9xJRPm8"/>
            <w:r>
              <w:t>through the use of</w:t>
            </w:r>
            <w:bookmarkEnd w:id="2"/>
            <w:r>
              <w:t xml:space="preserve"> thorough assessments, customised educational programmes, and an emphasis on equality (Brammer, 2009).</w:t>
            </w:r>
          </w:p>
          <w:p w14:paraId="51F8AC9E" w14:textId="77777777" w:rsidR="00427864" w:rsidRDefault="00427864" w:rsidP="00427864">
            <w:pPr>
              <w:pStyle w:val="NormalWeb"/>
            </w:pPr>
            <w:r>
              <w:t xml:space="preserve">Child 2 has settled well into her new community and attends fulltime education at primary school and after school provision, whilst child 3 has started preschool education. Primary education in Wales is governed by a comprehensive set of laws and regulations aimed at providing high-quality education to all children. These laws and policies aim to promote diversity, equality, and the overall development of young learners.  </w:t>
            </w:r>
          </w:p>
          <w:p w14:paraId="4C031897" w14:textId="77777777" w:rsidR="00427864" w:rsidRDefault="00427864" w:rsidP="00427864">
            <w:pPr>
              <w:pStyle w:val="NormalWeb"/>
            </w:pPr>
            <w:r>
              <w:t xml:space="preserve">The Education Act of 1996 serves as the fundamental legal framework for education in Wales, outlining the statutory duties of local authorities and schools to deliver primary education. This act assures that every child has access to free and compulsory education beginning at the age of five. The School Standards and Organisation (Wales) Act 2013 adds further measures to improve school performance and governance.  </w:t>
            </w:r>
          </w:p>
          <w:p w14:paraId="2DD347FA" w14:textId="77777777" w:rsidR="00427864" w:rsidRDefault="00427864" w:rsidP="00427864">
            <w:pPr>
              <w:pStyle w:val="NormalWeb"/>
            </w:pPr>
            <w:r>
              <w:t xml:space="preserve">With the release of the Curriculum for Wales 2022, educational policy has undergone a substantial change. This new curriculum emphasises the development of critical skills and capabilities rather than prescribing content. Its four main goals are to help children become aspirational, capable learners, entrepreneurial, creative contributors, moral, knowledgeable citizens, and healthy, self-assured adults. This all-encompassing strategy places equal emphasis on personal growth and academic accomplishment. </w:t>
            </w:r>
          </w:p>
          <w:p w14:paraId="1D7D039C" w14:textId="77777777" w:rsidR="00427864" w:rsidRDefault="00427864" w:rsidP="00427864">
            <w:pPr>
              <w:pStyle w:val="NormalWeb"/>
            </w:pPr>
            <w:r>
              <w:t xml:space="preserve">The Equality Act 2010 is essential to primary education in Wales when it comes to inclusion and equality. It requires schools to follow non-discriminatory policies and to accommodate all pupils' needs, including those of those with disabilities and additional learning requirements. This is further reinforced by the Additional Learning Needs and Education Tribunal (Wales) Act 2018, which creates a single framework for determining and supporting additional learning needs (ALN). </w:t>
            </w:r>
            <w:bookmarkStart w:id="3" w:name="_Int_7qPGUOZC"/>
            <w:r>
              <w:t xml:space="preserve">In order </w:t>
            </w:r>
            <w:r>
              <w:lastRenderedPageBreak/>
              <w:t>to</w:t>
            </w:r>
            <w:bookmarkEnd w:id="3"/>
            <w:r>
              <w:t xml:space="preserve"> give individualised support, this legislation creates Individual Development Plans (IDPs) in place of the phrase "special educational needs" (SEN). (Brammer, 2009), (Livingston, Redcliffe and </w:t>
            </w:r>
            <w:proofErr w:type="spellStart"/>
            <w:r>
              <w:t>Abyd</w:t>
            </w:r>
            <w:proofErr w:type="spellEnd"/>
            <w:r>
              <w:t xml:space="preserve"> Quinn Aziz, 2023).</w:t>
            </w:r>
          </w:p>
          <w:p w14:paraId="60003D94" w14:textId="77777777" w:rsidR="00427864" w:rsidRDefault="00427864" w:rsidP="00427864">
            <w:pPr>
              <w:pStyle w:val="NormalWeb"/>
            </w:pPr>
            <w:r>
              <w:t xml:space="preserve">The Welsh language is promoted, which makes primary education in Wales unique. Encouraging all children to learn two languages is the goal of the Welsh Language (Wales) Measure 2011 and the Welsh Language Strategy of the Welsh Government. Welsh language skill and appreciation are promoted through the new curriculum, which incorporates the language into a variety of topics. </w:t>
            </w:r>
          </w:p>
          <w:p w14:paraId="044742AB" w14:textId="77777777" w:rsidR="00427864" w:rsidRDefault="00427864" w:rsidP="00427864">
            <w:pPr>
              <w:pStyle w:val="NormalWeb"/>
            </w:pPr>
            <w:r>
              <w:t xml:space="preserve">Welsh education policy places a high priority on the welfare of students. Schools and local authorities have a duty to protect children and enhance their welfare, as stated in the Social Services and Well-being (Wales) Act 2014. Safeguarding procedures must be in place in schools, and employees must get ongoing training to recognise and address such problems. </w:t>
            </w:r>
          </w:p>
          <w:p w14:paraId="3CD53CD0" w14:textId="5420F73E" w:rsidR="00427864" w:rsidRDefault="00427864" w:rsidP="00427864">
            <w:pPr>
              <w:pStyle w:val="NormalWeb"/>
            </w:pPr>
            <w:r>
              <w:t xml:space="preserve">Assessment in Welsh primary schools is intended to encourage learning rather than assess it. The new curriculum incorporates formative assessment procedures, emphasising continual feedback to aid pupils' growth. Estyn, </w:t>
            </w:r>
            <w:r w:rsidR="009C2910">
              <w:t>Wales’s</w:t>
            </w:r>
            <w:r>
              <w:t xml:space="preserve"> education and training inspectorate, reviews school performance and makes recommendations for improvement. </w:t>
            </w:r>
          </w:p>
          <w:p w14:paraId="5B8AD539" w14:textId="4E36E2AD" w:rsidR="00427864" w:rsidRDefault="009C2910" w:rsidP="00427864">
            <w:pPr>
              <w:pStyle w:val="NormalWeb"/>
            </w:pPr>
            <w:r>
              <w:t>Wales’s</w:t>
            </w:r>
            <w:r w:rsidR="00427864">
              <w:t xml:space="preserve"> primary education legislation and policies prioritise diversity, well-being, and holistic development. The legislative framework assures access to high-quality education, and initiatives such as the Curriculum for Wales 2022 promote a balanced approach to learning that prepares pupils for the future. Wales aspires to establish an educational environment in which every child may thrive, emphasising equality, bilingualism, and safeguarding (Livingston, Redcliffe and </w:t>
            </w:r>
            <w:proofErr w:type="spellStart"/>
            <w:r w:rsidR="00427864">
              <w:t>Abyd</w:t>
            </w:r>
            <w:proofErr w:type="spellEnd"/>
            <w:r w:rsidR="00427864">
              <w:t xml:space="preserve"> Quinn Aziz, 2023).</w:t>
            </w:r>
          </w:p>
          <w:p w14:paraId="7822C77E" w14:textId="77777777" w:rsidR="00427864" w:rsidRDefault="00427864" w:rsidP="00427864">
            <w:r>
              <w:rPr>
                <w:rFonts w:ascii="Times New Roman" w:hAnsi="Times New Roman"/>
              </w:rPr>
              <w:t xml:space="preserve">It is clear Mother still has instability within the UK due to her status and her means to support herself and the children. The local authority has a duty to support the family who through assessment </w:t>
            </w:r>
            <w:bookmarkStart w:id="4" w:name="_Int_MpnWNtxF"/>
            <w:r>
              <w:rPr>
                <w:rFonts w:ascii="Times New Roman" w:hAnsi="Times New Roman"/>
              </w:rPr>
              <w:t>are considered to be</w:t>
            </w:r>
            <w:bookmarkEnd w:id="4"/>
            <w:r>
              <w:rPr>
                <w:rFonts w:ascii="Times New Roman" w:hAnsi="Times New Roman"/>
              </w:rPr>
              <w:t xml:space="preserve"> in need of care and support. Support has been offered to offset this concern through supporting financially with accommodation, food banks and ongoing support for essential items. It will be for the home office to decide on the next steps needed in relation to Mother and the children’s status here in the UK, Mother has attended her 2nd interview to date and awaiting an outcome </w:t>
            </w:r>
            <w:r>
              <w:t xml:space="preserve">(Livingston, Redcliffe and </w:t>
            </w:r>
            <w:proofErr w:type="spellStart"/>
            <w:r>
              <w:t>Abyd</w:t>
            </w:r>
            <w:proofErr w:type="spellEnd"/>
            <w:r>
              <w:t xml:space="preserve"> Quinn Aziz, 2023).</w:t>
            </w:r>
          </w:p>
          <w:p w14:paraId="694C1A2B" w14:textId="77777777" w:rsidR="00427864" w:rsidRDefault="00427864" w:rsidP="00427864">
            <w:pPr>
              <w:rPr>
                <w:rFonts w:ascii="Times New Roman" w:hAnsi="Times New Roman"/>
              </w:rPr>
            </w:pPr>
          </w:p>
          <w:p w14:paraId="2794C4F4" w14:textId="77777777" w:rsidR="00427864" w:rsidRDefault="00427864" w:rsidP="00427864">
            <w:r>
              <w:t xml:space="preserve">The children receive a very good standard of care from mother with no concerns raised. Supervised contact with father was also very positive with no concerns raised, however to date this has now been stopped by mother and the dispute resolution is now with the courts. </w:t>
            </w:r>
            <w:r>
              <w:rPr>
                <w:rFonts w:cs="Aptos"/>
              </w:rPr>
              <w:t xml:space="preserve">In Wales, a structured legal process is used to resolve disputes over parental contact with children </w:t>
            </w:r>
            <w:bookmarkStart w:id="5" w:name="_Int_GA4ZQbEh"/>
            <w:r>
              <w:rPr>
                <w:rFonts w:cs="Aptos"/>
              </w:rPr>
              <w:t>in order to</w:t>
            </w:r>
            <w:bookmarkEnd w:id="5"/>
            <w:r>
              <w:rPr>
                <w:rFonts w:cs="Aptos"/>
              </w:rPr>
              <w:t xml:space="preserve"> make certain the child's welfare and best interests are protected. When parents are unable to agree on contact arrangements, they may seek court intervention, which is normally handled by the Family Court. The procedure begins with mediation, as required by the Children and Families Act 2014, which encourages parents to settle disagreements peacefully outside of court. If mediation is unsuccessful or not appropriate as in this case study, a parent may file for a Child Arrangements Order. </w:t>
            </w:r>
          </w:p>
          <w:p w14:paraId="11549C9C" w14:textId="77777777" w:rsidR="00427864" w:rsidRDefault="00427864" w:rsidP="00427864"/>
          <w:p w14:paraId="7608C996" w14:textId="77777777" w:rsidR="00427864" w:rsidRDefault="00427864" w:rsidP="00427864">
            <w:r>
              <w:rPr>
                <w:rFonts w:cs="Aptos"/>
              </w:rPr>
              <w:t xml:space="preserve">The wellbeing of the child is the court's highest concern, and it is governed by the Children Act 1989's welfare checklist. This entails evaluating the child's wishes and feelings, the probable impact of any alteration in the situation, and each parent's capacity to provide for the child's needs. The court may also request an independent assessment from CAFCASS (Children and Family Court Advisory and Support Service). </w:t>
            </w:r>
          </w:p>
          <w:p w14:paraId="4A2A732E" w14:textId="77777777" w:rsidR="00427864" w:rsidRDefault="00427864" w:rsidP="00427864">
            <w:pPr>
              <w:pStyle w:val="NormalWeb"/>
            </w:pPr>
            <w:r>
              <w:rPr>
                <w:rFonts w:ascii="Aptos" w:hAnsi="Aptos"/>
              </w:rPr>
              <w:t xml:space="preserve">Both parents provide information during the process, and the court may schedule hearings to learn more about the needs of the children and each parent's perspective. </w:t>
            </w:r>
            <w:bookmarkStart w:id="6" w:name="_Int_zv0ZDkDN"/>
            <w:r>
              <w:rPr>
                <w:rFonts w:ascii="Aptos" w:hAnsi="Aptos"/>
              </w:rPr>
              <w:t>In order to</w:t>
            </w:r>
            <w:bookmarkEnd w:id="6"/>
            <w:r>
              <w:rPr>
                <w:rFonts w:ascii="Aptos" w:hAnsi="Aptos"/>
              </w:rPr>
              <w:t xml:space="preserve"> provide a stable positive environment for the children, the court makes decisions that prioritise preserving significant relationships with both parents. </w:t>
            </w:r>
            <w:bookmarkStart w:id="7" w:name="_Int_AtsaOnRM"/>
            <w:r>
              <w:rPr>
                <w:rFonts w:ascii="Aptos" w:hAnsi="Aptos"/>
              </w:rPr>
              <w:t>In order to</w:t>
            </w:r>
            <w:bookmarkEnd w:id="7"/>
            <w:r>
              <w:rPr>
                <w:rFonts w:ascii="Aptos" w:hAnsi="Aptos"/>
              </w:rPr>
              <w:t xml:space="preserve"> ensure a fair and reasonable </w:t>
            </w:r>
            <w:r>
              <w:rPr>
                <w:rFonts w:ascii="Aptos" w:hAnsi="Aptos"/>
              </w:rPr>
              <w:lastRenderedPageBreak/>
              <w:t xml:space="preserve">resolution in frequently complex and emotionally charged conflicts, the court's decision ultimately seeks to achieve a balance between parental rights and the paramount principle of the child's best interests (Brammer, 2009), </w:t>
            </w:r>
            <w:r>
              <w:t xml:space="preserve">(Livingston, Redcliffe and </w:t>
            </w:r>
            <w:proofErr w:type="spellStart"/>
            <w:r>
              <w:t>Abyd</w:t>
            </w:r>
            <w:proofErr w:type="spellEnd"/>
            <w:r>
              <w:t xml:space="preserve"> Quinn Aziz, 2023).</w:t>
            </w:r>
          </w:p>
          <w:p w14:paraId="599196EF" w14:textId="77777777" w:rsidR="00427864" w:rsidRDefault="00427864" w:rsidP="00427864">
            <w:pPr>
              <w:pStyle w:val="NormalWeb"/>
              <w:rPr>
                <w:rFonts w:ascii="Aptos" w:hAnsi="Aptos"/>
              </w:rPr>
            </w:pPr>
            <w:r>
              <w:rPr>
                <w:rFonts w:ascii="Aptos" w:hAnsi="Aptos"/>
              </w:rPr>
              <w:t>Assessment also found mother to be struggling with her mental health for which she is now receiving support from relevant services.</w:t>
            </w:r>
          </w:p>
          <w:p w14:paraId="415825E4" w14:textId="77777777" w:rsidR="00427864" w:rsidRDefault="00427864" w:rsidP="00427864">
            <w:r>
              <w:t xml:space="preserve">From a theoretical perspective I have, when working with the family used the following theories to inform practice. Firstly, the use of Systems theory which views the family as an interconnected system where changes in one part affect the whole. This perspective is essential in understanding the dynamics between mother and her children, and the impact of their past trauma and current asylum-seeking status on their well-being. </w:t>
            </w:r>
          </w:p>
          <w:p w14:paraId="6DB27836" w14:textId="7EBF72F5" w:rsidR="00427864" w:rsidRDefault="009C2910" w:rsidP="00427864">
            <w:r>
              <w:t>Secondly,</w:t>
            </w:r>
            <w:r w:rsidR="00427864">
              <w:t xml:space="preserve"> I have considered Ecological Systems Theory. Bronfenbrenner’s ecological systems theory highlights the influence of multiple environmental layers on an individual. For mother and her children, these layers include immediate family, community, and broader societal and legal structures in both Wales and Africa.</w:t>
            </w:r>
          </w:p>
          <w:p w14:paraId="72BAAE65" w14:textId="77777777" w:rsidR="00427864" w:rsidRDefault="00427864" w:rsidP="00427864">
            <w:r>
              <w:t>Thirdly I have implemented a Strengths Based Approach focusing on the family’s strengths and resilience. Recognising mothers’ courage in fleeing an abusive relationship and seeking a better future for her children is crucial in empowering the family and fostering their well-being.</w:t>
            </w:r>
          </w:p>
          <w:p w14:paraId="7EC13F6A" w14:textId="77777777" w:rsidR="00427864" w:rsidRDefault="00427864" w:rsidP="00427864">
            <w:r>
              <w:t>Other theoretical perspectives I have considered are Attachment Theory which emphasises the importance of secure attachments for a child’s emotional well-being and development and Trauma informed practice which recognises the impact of trauma on children and promotes approaches that are sensitive to their experiences (MacLean and Harrison, 2011).</w:t>
            </w:r>
          </w:p>
          <w:p w14:paraId="56AAC6E8" w14:textId="77777777" w:rsidR="00427864" w:rsidRDefault="00427864" w:rsidP="00427864">
            <w:r>
              <w:t xml:space="preserve"> whilst working with the family I have used assessment practices to gather information and work with the family and other professionals to make a Care and Support Plan to work towards positive outcomes in the future. Assessments establish a baseline against which progress can be measured. This baseline is critical for outcomes based social work, which relies on the ability to track changes over time. By documenting the initial conditions, social workers can create a clear picture of the clients starting point, which helps in planning targeted interventions and monitoring their effectiveness. Regular reviews allow for changes to be made to the intervention plan, ensuring that it remains relevant and effective as the client situation evolves.</w:t>
            </w:r>
          </w:p>
          <w:p w14:paraId="709DA6CB" w14:textId="77777777" w:rsidR="00427864" w:rsidRDefault="00427864" w:rsidP="00427864">
            <w:r>
              <w:rPr>
                <w:rFonts w:cs="Aptos"/>
              </w:rPr>
              <w:t xml:space="preserve">In addition, this assessment procedure promotes client empowerment and involvement. Including clients in the assessment process ensuring that their opinions are respected and that their voices are heard. This cooperative method fosters a sense of ownership over the goals and outcomes of the intervention as well as the development of trust. Clients are more likely to commit to the intervention plan and feel motivated to work towards the intended goals when they engage fully in the assessment process. </w:t>
            </w:r>
          </w:p>
          <w:p w14:paraId="6B14A4E4" w14:textId="77777777" w:rsidR="00427864" w:rsidRDefault="00427864" w:rsidP="00427864">
            <w:r>
              <w:rPr>
                <w:rFonts w:cs="Aptos"/>
              </w:rPr>
              <w:t>Comprehensive assessments also assist evidence-based practice. Through methodical data collection and analysis, I was able to recognise patterns and trends that guide best practices. This wealth of evidence can help direct decision-making, providing that interventions are based on established approaches and personalised to meet the unique requirements of the client. Such evidence is vital to outcomes-based social work because it validates the use of resources and shows that interventions are effective (Martin, 2010), (Parker and Bradley, 2010).</w:t>
            </w:r>
          </w:p>
          <w:p w14:paraId="1206B571" w14:textId="77777777" w:rsidR="00427864" w:rsidRDefault="00427864" w:rsidP="00427864">
            <w:r>
              <w:rPr>
                <w:rFonts w:cs="Aptos"/>
              </w:rPr>
              <w:t xml:space="preserve">The foundation of safeguarding initiatives is assessment practise, which makes it easier to identify children's risks and vulnerabilities early on. I was able to make well-informed decisions about intervention and support for the children by gathering information about their experiences, relationships, and circumstances thorough evaluations. Collaborating with the family, children, and multi-agency partners is essential to effective assessment practises because it fosters a comprehensive awareness of the needs and strengths of children. </w:t>
            </w:r>
          </w:p>
          <w:p w14:paraId="266B7835" w14:textId="77777777" w:rsidR="00427864" w:rsidRDefault="00427864" w:rsidP="00427864">
            <w:r>
              <w:rPr>
                <w:rFonts w:cs="Aptos"/>
              </w:rPr>
              <w:t xml:space="preserve">The assessment must be comprehensive, and citizen centred. A holistic assessment </w:t>
            </w:r>
            <w:bookmarkStart w:id="8" w:name="_Int_FQADQ016"/>
            <w:r>
              <w:rPr>
                <w:rFonts w:cs="Aptos"/>
              </w:rPr>
              <w:t>takes into account</w:t>
            </w:r>
            <w:bookmarkEnd w:id="8"/>
            <w:r>
              <w:rPr>
                <w:rFonts w:cs="Aptos"/>
              </w:rPr>
              <w:t xml:space="preserve"> all aspects of the family's circumstances, including previous experiences, current needs, and desired outcomes. A citizen-cantered approach emphasises incorporating families and communities in evaluation processes, ensuring that their viewpoints are recognised and factored into decision-making. This method shifts the emphasis from simply analysing potential risks to recognising the broader picture of a child's experience. It promotes professionals and families to work together, building trust and cooperation. By focusing on the needs and voices of children and their families, assessment methods become more thorough, culturally sensitive, and effective in identifying and addressing potential risks to children's well-being. This</w:t>
            </w:r>
            <w:r>
              <w:t xml:space="preserve"> involves understanding the impact of domestic abuse, the risk of FGM, and the psychological effects of seeking asylum. Assessing the </w:t>
            </w:r>
            <w:r>
              <w:lastRenderedPageBreak/>
              <w:t>family’s needs involves identifying their immediate and long-term requirements, such as housing, financial support, healthcare, and education. Given the family’s No Recourse to Public Funds (NRPF) status, accessing these resources presents a significant challenge. Assessing the family’s needs also involves the assessment of risk. Risk assessments are vital in identifying and mitigating potential dangers. For chid 2, the risk of FGM if the family is deported is a significant concern. Mother’s experiences of domestic abuse also require careful evaluation to ensure her safety and that of her children.</w:t>
            </w:r>
          </w:p>
          <w:p w14:paraId="03EF6006" w14:textId="77777777" w:rsidR="00427864" w:rsidRDefault="00427864" w:rsidP="00427864">
            <w:r>
              <w:t xml:space="preserve"> In working with the family and as part of ongoing and ever evolving assessment has also made me aware of ethical considerations. I have considered mothers autonomy and has ensured the seeking of her informed consent throughout the assessment process as being crucial in building a trusting relationship. This has included explaining the assessment process and the reasons for carrying out assessment. In relation to the Home Office Assessment, explaining the processes, her rights, and the potential outcomes of their asylum claim (O’Loughlin and O’Loughlin, 2016), (Dyke, 2013), (Hothersall and Mass-Lowit, 2010).</w:t>
            </w:r>
          </w:p>
          <w:p w14:paraId="114386B2" w14:textId="47899AFA" w:rsidR="00427864" w:rsidRDefault="00427864" w:rsidP="00427864">
            <w:r>
              <w:t xml:space="preserve">Whilst working with the family I </w:t>
            </w:r>
            <w:r w:rsidR="009C2910">
              <w:t>am aware</w:t>
            </w:r>
            <w:r>
              <w:t xml:space="preserve"> of respecting the family’s confidentiality and privacy. Maintaining confidentiality is essential, especially given the sensitive nature of the family’s situation. Information should be shared only with those directly involved in providing support and safeguarding the family.</w:t>
            </w:r>
          </w:p>
          <w:p w14:paraId="66931D33" w14:textId="77777777" w:rsidR="00427864" w:rsidRDefault="00427864" w:rsidP="00427864">
            <w:r>
              <w:t>I have also needed to be aware and practice and understanding and respect of the family’s cultural background, this is vital in building trust and ensuring that interventions are appropriate and effective. This includes being aware of cultural attitudes towards domestic abuse and FGM. (National FGM centre, 2024).</w:t>
            </w:r>
          </w:p>
          <w:p w14:paraId="34D412C2" w14:textId="77777777" w:rsidR="00427864" w:rsidRDefault="00427864" w:rsidP="00427864">
            <w:r>
              <w:t xml:space="preserve">Whilst working with the family I have ensured I have been able to communicate effectively with Mother, Father, and children. This has involved using clear, empathetic, and non-judgemental language. Consideration and an offer to parents was made for the need of an interpreter to ensure that language barriers do not hinder understanding and engagement. Both parents declined this offer portraying confidence in their ability to converse in the English language. However, mother accepted this offer from the Home Office during interview to allow her to express herself more clearly, (Rowe, 2017), (Livingston, Redcliffe and </w:t>
            </w:r>
            <w:proofErr w:type="spellStart"/>
            <w:r>
              <w:t>Abyd</w:t>
            </w:r>
            <w:proofErr w:type="spellEnd"/>
            <w:r>
              <w:t xml:space="preserve"> Quinn Aziz, 2023).</w:t>
            </w:r>
          </w:p>
          <w:p w14:paraId="46E05F2A" w14:textId="77777777" w:rsidR="00427864" w:rsidRDefault="00427864" w:rsidP="00427864">
            <w:r>
              <w:t>Throughout the ongoing assessment, planning, intervention, and review process a multidisciplinary team approach has been taken. Working together with professionals from different disciplines, such as healthcare, police, education, and legal services, ensures a strong support network for the family and regular meetings facilitate information sharing and coordinated plans of action.</w:t>
            </w:r>
          </w:p>
          <w:p w14:paraId="28AF9B10" w14:textId="77777777" w:rsidR="00427864" w:rsidRDefault="00427864" w:rsidP="00427864">
            <w:r>
              <w:rPr>
                <w:rFonts w:cs="Aptos"/>
              </w:rPr>
              <w:t xml:space="preserve">Despite the significance of assessment practice, there are barriers to its implementation. These may include resource limitations, time management constraints, and the complexities of interagency coordination. Furthermore, cultural awareness and sensitivity are required for conducting assessments that are inclusive and respectful of other origins and experiences. Addressing these problems necessitates continual training, supervision, and support for practitioners to ensure the quality of assessment practice. </w:t>
            </w:r>
          </w:p>
          <w:p w14:paraId="73DC6F41" w14:textId="77777777" w:rsidR="00427864" w:rsidRDefault="00427864" w:rsidP="00427864"/>
          <w:p w14:paraId="6AA50486" w14:textId="77777777" w:rsidR="00427864" w:rsidRDefault="00427864" w:rsidP="00427864">
            <w:r>
              <w:rPr>
                <w:rFonts w:cs="Aptos"/>
              </w:rPr>
              <w:t xml:space="preserve">The relationship between assessment practice and child protection in Wales is complex, influenced by legislative frameworks, theoretical viewpoints, standards, advice, and procedures. Effective assessment technique is critical for identifying and responding to risks to children's well-being, ensuring their safety, and promoting their welfare. </w:t>
            </w:r>
          </w:p>
          <w:p w14:paraId="57AB88E2" w14:textId="77777777" w:rsidR="00427864" w:rsidRDefault="00427864" w:rsidP="00427864">
            <w:r>
              <w:t xml:space="preserve">This case study highlights the priority risks to the family as being that of </w:t>
            </w:r>
            <w:r>
              <w:rPr>
                <w:rFonts w:ascii="Times New Roman" w:hAnsi="Times New Roman"/>
              </w:rPr>
              <w:t xml:space="preserve">mother is in the UK without a clear immigration status after ending the relationship with father. Therefore, this is going to lead to Mother having no ability to meet her own personal essential needs or that of her children without support of the local authority. The situation is complex in nature when it comes to immigration, the needs of the family and the role of the local authority under the SSWA, (2014). Legal advice was sought when the family first become known to the local authority. The local authority has a role in supporting the basic care needs of the children to ensure the current situation does not impact on them negatively and this includes providing the basic needs for children. </w:t>
            </w:r>
          </w:p>
          <w:p w14:paraId="6AAF17C5" w14:textId="77777777" w:rsidR="00427864" w:rsidRDefault="00427864" w:rsidP="00427864">
            <w:pPr>
              <w:rPr>
                <w:rFonts w:ascii="Times New Roman" w:hAnsi="Times New Roman"/>
              </w:rPr>
            </w:pPr>
            <w:r>
              <w:rPr>
                <w:rFonts w:ascii="Times New Roman" w:hAnsi="Times New Roman"/>
              </w:rPr>
              <w:t>When a family with NRPF requests support from social services, the local authority must establish whether the parent is in an excluded group, and therefore the family can only be provided with the support or assistance that is necessary to prevent a breach of their human rights or European Union (EU) treaty.</w:t>
            </w:r>
          </w:p>
          <w:p w14:paraId="5A2FE051" w14:textId="77777777" w:rsidR="00427864" w:rsidRDefault="00427864" w:rsidP="00427864">
            <w:pPr>
              <w:rPr>
                <w:rFonts w:ascii="Times New Roman" w:hAnsi="Times New Roman"/>
              </w:rPr>
            </w:pPr>
            <w:r>
              <w:rPr>
                <w:rFonts w:ascii="Times New Roman" w:hAnsi="Times New Roman"/>
              </w:rPr>
              <w:t>Mother has raised concerns around honour-based violence towards herself and risk of the FGM procedure with child 2 if she returns to Africa. I have explored under the Section `ensuring safety’ of the assessment completed by myself. It can be said that should child 2 return to Africa she would be at significant risk of harm from FGM. However, should child 2 remain in the UK with all safeguarding measures continuing to be in place this significantly reduces the risk of harm.</w:t>
            </w:r>
          </w:p>
          <w:p w14:paraId="79BD7803" w14:textId="77777777" w:rsidR="00427864" w:rsidRDefault="00427864" w:rsidP="00427864">
            <w:pPr>
              <w:rPr>
                <w:rFonts w:ascii="Times New Roman" w:hAnsi="Times New Roman"/>
              </w:rPr>
            </w:pPr>
          </w:p>
          <w:p w14:paraId="74B1FD34" w14:textId="77777777" w:rsidR="00427864" w:rsidRDefault="00427864" w:rsidP="00427864">
            <w:pPr>
              <w:rPr>
                <w:rFonts w:cs="Aptos"/>
              </w:rPr>
            </w:pPr>
            <w:r>
              <w:rPr>
                <w:rFonts w:cs="Aptos"/>
              </w:rPr>
              <w:t xml:space="preserve">In Wales, practitioners can enhance the efficacy of assessment in safeguarding children by complying with legal requirements, applying theoretical understandings, and implementing recommended best practices. The social worker's job to navigate complicated situations frequently involves balancing a multitude of needs and </w:t>
            </w:r>
            <w:r>
              <w:rPr>
                <w:rFonts w:cs="Aptos"/>
              </w:rPr>
              <w:lastRenderedPageBreak/>
              <w:t>risk factors. In this case study, I was required to balance the mother and her children's immediate safety risk against their long-term welfare and legal status, which called for careful thought and professional judgement. Continuous professional development and adherence to ethical values are necessary to maintain competence and accountability. Through reflective practice and supervision, social workers can critically evaluate their decisions and practices to ensure they adhere to best practices and organisational standards. Social workers can reflect on their work, talk about difficulties, and get feedback through supervision. Developing self-awareness, making better decisions, and raising the standard of client care are all aided by reflective practice, (Davies and Duckett, 2016), (Hothersall and Maas-Lowit, 2010), (Koprowska, 2010), (Morris, 2008).</w:t>
            </w:r>
          </w:p>
          <w:p w14:paraId="6B4BA64E" w14:textId="77777777" w:rsidR="00427864" w:rsidRDefault="00427864" w:rsidP="00427864">
            <w:pPr>
              <w:rPr>
                <w:rFonts w:cs="Aptos"/>
              </w:rPr>
            </w:pPr>
            <w:r>
              <w:rPr>
                <w:rFonts w:cs="Aptos"/>
              </w:rPr>
              <w:t>I have participated in organisational procedures and policies that ensure consistency, openness, and responsibility in the practice of social work. This entails abiding by legal obligations, child protection processes, and documentation standards (Brammer, 2009).</w:t>
            </w:r>
          </w:p>
          <w:p w14:paraId="5037E643" w14:textId="77777777" w:rsidR="00427864" w:rsidRDefault="00427864" w:rsidP="00427864">
            <w:pPr>
              <w:rPr>
                <w:rFonts w:cs="Aptos"/>
              </w:rPr>
            </w:pPr>
          </w:p>
          <w:p w14:paraId="0B896FC9" w14:textId="77777777" w:rsidR="00427864" w:rsidRDefault="00427864" w:rsidP="00427864">
            <w:r>
              <w:rPr>
                <w:rFonts w:cs="Aptos"/>
              </w:rPr>
              <w:t xml:space="preserve">In conclusion, protecting a family that is applying for asylum involves navigating </w:t>
            </w:r>
            <w:bookmarkStart w:id="9" w:name="_Int_9xXOqbgY"/>
            <w:r>
              <w:rPr>
                <w:rFonts w:cs="Aptos"/>
              </w:rPr>
              <w:t>a number of</w:t>
            </w:r>
            <w:bookmarkEnd w:id="9"/>
            <w:r>
              <w:rPr>
                <w:rFonts w:cs="Aptos"/>
              </w:rPr>
              <w:t xml:space="preserve"> intricate legal, moral, and practical issues. The protection of those who are vulnerable is based on legislative frameworks, and the knowledge of their needs and experiences is guided by theoretical viewpoints. Promoting the wellbeing of families who are applying for refuge requires interdisciplinary collaboration, ethical considerations, and effective evaluation procedures. </w:t>
            </w:r>
            <w:bookmarkStart w:id="10" w:name="_Int_8vhHZCBp"/>
            <w:r>
              <w:rPr>
                <w:rFonts w:cs="Aptos"/>
              </w:rPr>
              <w:t>In order to</w:t>
            </w:r>
            <w:bookmarkEnd w:id="10"/>
            <w:r>
              <w:rPr>
                <w:rFonts w:cs="Aptos"/>
              </w:rPr>
              <w:t xml:space="preserve"> maintain the highest standards of practice, social workers are crucial in managing these difficulties. They receive help in the form of supervision and continuous professional development. Social workers can enable families like this one to overcome their obstacles and create a better, more secure future by using an outcome-focused, citizen-centred approach (Rowe, 2017), </w:t>
            </w:r>
            <w:r>
              <w:t xml:space="preserve">(Livingston, Redcliffe and </w:t>
            </w:r>
            <w:proofErr w:type="spellStart"/>
            <w:r>
              <w:t>Abyd</w:t>
            </w:r>
            <w:proofErr w:type="spellEnd"/>
            <w:r>
              <w:t xml:space="preserve"> Quinn Aziz, 2023).</w:t>
            </w:r>
            <w:r>
              <w:rPr>
                <w:rFonts w:cs="Aptos"/>
              </w:rPr>
              <w:t xml:space="preserve"> (Howe and Gray, 2013).</w:t>
            </w:r>
          </w:p>
          <w:p w14:paraId="32922486" w14:textId="77777777" w:rsidR="00427864" w:rsidRDefault="00427864" w:rsidP="00427864">
            <w:r>
              <w:rPr>
                <w:rFonts w:cs="Aptos"/>
              </w:rPr>
              <w:t>(4167 words)</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838"/>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236D"/>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1311"/>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7864"/>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2975"/>
    <w:rsid w:val="006E481E"/>
    <w:rsid w:val="006E795F"/>
    <w:rsid w:val="006F0862"/>
    <w:rsid w:val="006F1438"/>
    <w:rsid w:val="006F2A9E"/>
    <w:rsid w:val="006F5ED3"/>
    <w:rsid w:val="00700249"/>
    <w:rsid w:val="007069CD"/>
    <w:rsid w:val="00706BB5"/>
    <w:rsid w:val="00710ABA"/>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910"/>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218"/>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3B02"/>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79B"/>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rsid w:val="00427864"/>
    <w:pPr>
      <w:suppressAutoHyphens/>
      <w:overflowPunct/>
      <w:autoSpaceDE/>
      <w:adjustRightInd/>
      <w:spacing w:before="100" w:after="10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01460193">
      <w:bodyDiv w:val="1"/>
      <w:marLeft w:val="0"/>
      <w:marRight w:val="0"/>
      <w:marTop w:val="0"/>
      <w:marBottom w:val="0"/>
      <w:divBdr>
        <w:top w:val="none" w:sz="0" w:space="0" w:color="auto"/>
        <w:left w:val="none" w:sz="0" w:space="0" w:color="auto"/>
        <w:bottom w:val="none" w:sz="0" w:space="0" w:color="auto"/>
        <w:right w:val="none" w:sz="0" w:space="0" w:color="auto"/>
      </w:divBdr>
    </w:div>
    <w:div w:id="197987137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4372</Words>
  <Characters>25059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Maddocks</cp:lastModifiedBy>
  <cp:revision>5</cp:revision>
  <cp:lastPrinted>2020-02-11T19:20:00Z</cp:lastPrinted>
  <dcterms:created xsi:type="dcterms:W3CDTF">2025-02-16T16:40:00Z</dcterms:created>
  <dcterms:modified xsi:type="dcterms:W3CDTF">2025-02-16T21:42:00Z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