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2000"/>
        <w:jc w:val="center"/>
      </w:pPr>
      <w:r>
        <w:rPr>
          <w:rFonts w:ascii="Arial" w:cs="Arial" w:eastAsia="Arial" w:hAnsi="Arial"/>
          <w:b/>
          <w:bCs/>
          <w:sz w:val="32"/>
          <w:szCs w:val="32"/>
        </w:rPr>
        <w:t xml:space="preserve">Understanding the Importance of Stakeholder Engagement in the Successful Commencement and Completion of a Project</w:t>
      </w:r>
    </w:p>
    <w:p>
      <w:pPr>
        <w:spacing w:before="600"/>
        <w:jc w:val="center"/>
      </w:pPr>
      <w:r>
        <w:rPr>
          <w:rFonts w:ascii="Arial" w:cs="Arial" w:eastAsia="Arial" w:hAnsi="Arial"/>
          <w:sz w:val="26"/>
          <w:szCs w:val="26"/>
        </w:rPr>
        <w:t xml:space="preserve">Stakeholder Engagement Strategy for the ConnectPlus Platform Launch: A Marks &amp; Spencer Case Study</w:t>
      </w:r>
    </w:p>
    <w:p>
      <w:pPr>
        <w:spacing w:before="1200"/>
        <w:jc w:val="center"/>
      </w:pPr>
      <w:r>
        <w:rPr>
          <w:rFonts w:ascii="Arial" w:cs="Arial" w:eastAsia="Arial" w:hAnsi="Arial"/>
          <w:sz w:val="22"/>
          <w:szCs w:val="22"/>
        </w:rPr>
        <w:t xml:space="preserve">Module: LCLM5001 — Understanding and Engaging Stakeholders</w:t>
      </w:r>
    </w:p>
    <w:p>
      <w:pPr>
        <w:spacing w:before="200"/>
        <w:jc w:val="center"/>
      </w:pPr>
      <w:r>
        <w:rPr>
          <w:rFonts w:ascii="Arial" w:cs="Arial" w:eastAsia="Arial" w:hAnsi="Arial"/>
          <w:sz w:val="22"/>
          <w:szCs w:val="22"/>
        </w:rPr>
        <w:t xml:space="preserve">Tutor: Nadeem Mirza</w:t>
      </w:r>
    </w:p>
    <w:p>
      <w:pPr>
        <w:spacing w:before="200"/>
        <w:jc w:val="center"/>
      </w:pPr>
      <w:r>
        <w:rPr>
          <w:rFonts w:ascii="Arial" w:cs="Arial" w:eastAsia="Arial" w:hAnsi="Arial"/>
          <w:sz w:val="22"/>
          <w:szCs w:val="22"/>
        </w:rPr>
        <w:t xml:space="preserve">University of Wales Trinity Saint David (UWTSD)</w:t>
      </w:r>
    </w:p>
    <w:p>
      <w:pPr>
        <w:spacing w:before="200"/>
        <w:jc w:val="center"/>
      </w:pPr>
      <w:r>
        <w:rPr>
          <w:rFonts w:ascii="Arial" w:cs="Arial" w:eastAsia="Arial" w:hAnsi="Arial"/>
          <w:sz w:val="22"/>
          <w:szCs w:val="22"/>
        </w:rPr>
        <w:t xml:space="preserve">Word Count: [insert final count]</w:t>
      </w:r>
    </w:p>
    <w:p>
      <w:r>
        <w:br w:type="page"/>
      </w:r>
    </w:p>
    <w:p>
      <w:pPr>
        <w:sectPr>
          <w:pgSz w:w="11906" w:h="16838" w:orient="portrait"/>
          <w:pgMar w:top="1440" w:right="1440" w:bottom="1440" w:left="1440" w:header="708" w:footer="708" w:gutter="0"/>
          <w:pgNumType/>
          <w:docGrid w:linePitch="360"/>
        </w:sectPr>
      </w:pPr>
    </w:p>
    <w:p>
      <w:pPr>
        <w:pStyle w:val="Heading1"/>
        <w:spacing w:after="200" w:before="300" w:line="360" w:lineRule="auto"/>
      </w:pPr>
      <w:r>
        <w:rPr>
          <w:rFonts w:ascii="Arial" w:cs="Arial" w:eastAsia="Arial" w:hAnsi="Arial"/>
          <w:b/>
          <w:bCs/>
        </w:rPr>
        <w:t xml:space="preserve">Table of Contents</w:t>
      </w:r>
    </w:p>
    <w:p>
      <w:pPr>
        <w:spacing w:after="200" w:line="360" w:lineRule="auto"/>
        <w:jc w:val="both"/>
      </w:pPr>
      <w:r>
        <w:rPr>
          <w:rFonts w:ascii="Arial" w:cs="Arial" w:eastAsia="Arial" w:hAnsi="Arial"/>
          <w:sz w:val="22"/>
          <w:szCs w:val="22"/>
        </w:rPr>
        <w:t xml:space="preserve">Executive Summary ................................................................. 3</w:t>
      </w:r>
    </w:p>
    <w:p>
      <w:pPr>
        <w:spacing w:after="200" w:line="360" w:lineRule="auto"/>
        <w:jc w:val="both"/>
      </w:pPr>
      <w:r>
        <w:rPr>
          <w:rFonts w:ascii="Arial" w:cs="Arial" w:eastAsia="Arial" w:hAnsi="Arial"/>
          <w:sz w:val="22"/>
          <w:szCs w:val="22"/>
        </w:rPr>
        <w:t xml:space="preserve">Introduction ............................................................................. 4</w:t>
      </w:r>
    </w:p>
    <w:p>
      <w:pPr>
        <w:spacing w:after="200" w:line="360" w:lineRule="auto"/>
        <w:jc w:val="both"/>
      </w:pPr>
      <w:r>
        <w:rPr>
          <w:rFonts w:ascii="Arial" w:cs="Arial" w:eastAsia="Arial" w:hAnsi="Arial"/>
          <w:sz w:val="22"/>
          <w:szCs w:val="22"/>
        </w:rPr>
        <w:t xml:space="preserve">SMART Objectives .................................................................. 4</w:t>
      </w:r>
    </w:p>
    <w:p>
      <w:pPr>
        <w:spacing w:after="200" w:line="360" w:lineRule="auto"/>
        <w:jc w:val="both"/>
      </w:pPr>
      <w:r>
        <w:rPr>
          <w:rFonts w:ascii="Arial" w:cs="Arial" w:eastAsia="Arial" w:hAnsi="Arial"/>
          <w:sz w:val="22"/>
          <w:szCs w:val="22"/>
        </w:rPr>
        <w:t xml:space="preserve">Stakeholder Identification and Mapping ................................ 5</w:t>
      </w:r>
    </w:p>
    <w:p>
      <w:pPr>
        <w:spacing w:after="200" w:line="360" w:lineRule="auto"/>
        <w:jc w:val="both"/>
      </w:pPr>
      <w:r>
        <w:rPr>
          <w:rFonts w:ascii="Arial" w:cs="Arial" w:eastAsia="Arial" w:hAnsi="Arial"/>
          <w:sz w:val="22"/>
          <w:szCs w:val="22"/>
        </w:rPr>
        <w:t xml:space="preserve">     Mendelow's Matrix</w:t>
      </w:r>
    </w:p>
    <w:p>
      <w:pPr>
        <w:spacing w:after="200" w:line="360" w:lineRule="auto"/>
        <w:jc w:val="both"/>
      </w:pPr>
      <w:r>
        <w:rPr>
          <w:rFonts w:ascii="Arial" w:cs="Arial" w:eastAsia="Arial" w:hAnsi="Arial"/>
          <w:sz w:val="22"/>
          <w:szCs w:val="22"/>
        </w:rPr>
        <w:t xml:space="preserve">     Stakeholder Assessment</w:t>
      </w:r>
    </w:p>
    <w:p>
      <w:pPr>
        <w:spacing w:after="200" w:line="360" w:lineRule="auto"/>
        <w:jc w:val="both"/>
      </w:pPr>
      <w:r>
        <w:rPr>
          <w:rFonts w:ascii="Arial" w:cs="Arial" w:eastAsia="Arial" w:hAnsi="Arial"/>
          <w:sz w:val="22"/>
          <w:szCs w:val="22"/>
        </w:rPr>
        <w:t xml:space="preserve">Roles, Responsibilities, Benefits and Challenges .................. 7</w:t>
      </w:r>
    </w:p>
    <w:p>
      <w:pPr>
        <w:spacing w:after="200" w:line="360" w:lineRule="auto"/>
        <w:jc w:val="both"/>
      </w:pPr>
      <w:r>
        <w:rPr>
          <w:rFonts w:ascii="Arial" w:cs="Arial" w:eastAsia="Arial" w:hAnsi="Arial"/>
          <w:sz w:val="22"/>
          <w:szCs w:val="22"/>
        </w:rPr>
        <w:t xml:space="preserve">Engagement Process and Conflict Management ..................... 8</w:t>
      </w:r>
    </w:p>
    <w:p>
      <w:pPr>
        <w:spacing w:after="200" w:line="360" w:lineRule="auto"/>
        <w:jc w:val="both"/>
      </w:pPr>
      <w:r>
        <w:rPr>
          <w:rFonts w:ascii="Arial" w:cs="Arial" w:eastAsia="Arial" w:hAnsi="Arial"/>
          <w:sz w:val="22"/>
          <w:szCs w:val="22"/>
        </w:rPr>
        <w:t xml:space="preserve">     Communication Plan</w:t>
      </w:r>
    </w:p>
    <w:p>
      <w:pPr>
        <w:spacing w:after="200" w:line="360" w:lineRule="auto"/>
        <w:jc w:val="both"/>
      </w:pPr>
      <w:r>
        <w:rPr>
          <w:rFonts w:ascii="Arial" w:cs="Arial" w:eastAsia="Arial" w:hAnsi="Arial"/>
          <w:sz w:val="22"/>
          <w:szCs w:val="22"/>
        </w:rPr>
        <w:t xml:space="preserve">     Level of Engagement</w:t>
      </w:r>
    </w:p>
    <w:p>
      <w:pPr>
        <w:spacing w:after="200" w:line="360" w:lineRule="auto"/>
        <w:jc w:val="both"/>
      </w:pPr>
      <w:r>
        <w:rPr>
          <w:rFonts w:ascii="Arial" w:cs="Arial" w:eastAsia="Arial" w:hAnsi="Arial"/>
          <w:sz w:val="22"/>
          <w:szCs w:val="22"/>
        </w:rPr>
        <w:t xml:space="preserve">     RACI Matrix</w:t>
      </w:r>
    </w:p>
    <w:p>
      <w:pPr>
        <w:spacing w:after="200" w:line="360" w:lineRule="auto"/>
        <w:jc w:val="both"/>
      </w:pPr>
      <w:r>
        <w:rPr>
          <w:rFonts w:ascii="Arial" w:cs="Arial" w:eastAsia="Arial" w:hAnsi="Arial"/>
          <w:sz w:val="22"/>
          <w:szCs w:val="22"/>
        </w:rPr>
        <w:t xml:space="preserve">     The Right Person Leading the Change</w:t>
      </w:r>
    </w:p>
    <w:p>
      <w:pPr>
        <w:spacing w:after="200" w:line="360" w:lineRule="auto"/>
        <w:jc w:val="both"/>
      </w:pPr>
      <w:r>
        <w:rPr>
          <w:rFonts w:ascii="Arial" w:cs="Arial" w:eastAsia="Arial" w:hAnsi="Arial"/>
          <w:sz w:val="22"/>
          <w:szCs w:val="22"/>
        </w:rPr>
        <w:t xml:space="preserve">     Managing Conflict: The Franchise Partner Scenario</w:t>
      </w:r>
    </w:p>
    <w:p>
      <w:pPr>
        <w:spacing w:after="200" w:line="360" w:lineRule="auto"/>
        <w:jc w:val="both"/>
      </w:pPr>
      <w:r>
        <w:rPr>
          <w:rFonts w:ascii="Arial" w:cs="Arial" w:eastAsia="Arial" w:hAnsi="Arial"/>
          <w:sz w:val="22"/>
          <w:szCs w:val="22"/>
        </w:rPr>
        <w:t xml:space="preserve">Impact of Sustainable Stakeholder Engagement on Business Performance ....... 11</w:t>
      </w:r>
    </w:p>
    <w:p>
      <w:pPr>
        <w:spacing w:after="200" w:line="360" w:lineRule="auto"/>
        <w:jc w:val="both"/>
      </w:pPr>
      <w:r>
        <w:rPr>
          <w:rFonts w:ascii="Arial" w:cs="Arial" w:eastAsia="Arial" w:hAnsi="Arial"/>
          <w:sz w:val="22"/>
          <w:szCs w:val="22"/>
        </w:rPr>
        <w:t xml:space="preserve">Recommendations and Conclusion ........................................... 12</w:t>
      </w:r>
    </w:p>
    <w:p>
      <w:pPr>
        <w:spacing w:after="200" w:line="360" w:lineRule="auto"/>
        <w:jc w:val="both"/>
      </w:pPr>
      <w:r>
        <w:rPr>
          <w:rFonts w:ascii="Arial" w:cs="Arial" w:eastAsia="Arial" w:hAnsi="Arial"/>
          <w:sz w:val="22"/>
          <w:szCs w:val="22"/>
        </w:rPr>
        <w:t xml:space="preserve">Reference List ........................................................................ 13</w:t>
      </w:r>
    </w:p>
    <w:p>
      <w:pPr>
        <w:spacing w:after="200" w:line="360" w:lineRule="auto"/>
        <w:jc w:val="both"/>
      </w:pPr>
      <w:r>
        <w:rPr>
          <w:rFonts w:ascii="Arial" w:cs="Arial" w:eastAsia="Arial" w:hAnsi="Arial"/>
          <w:sz w:val="22"/>
          <w:szCs w:val="22"/>
        </w:rPr>
        <w:t xml:space="preserve"/>
      </w:r>
    </w:p>
    <w:p>
      <w:pPr>
        <w:spacing w:after="200" w:line="360" w:lineRule="auto"/>
        <w:jc w:val="both"/>
      </w:pPr>
      <w:r>
        <w:rPr>
          <w:rFonts w:ascii="Arial" w:cs="Arial" w:eastAsia="Arial" w:hAnsi="Arial"/>
          <w:i/>
          <w:iCs/>
          <w:sz w:val="22"/>
          <w:szCs w:val="22"/>
        </w:rPr>
        <w:t xml:space="preserve">Note: page numbers above are approximate and will shift slightly once you finalise the reference list and word count. Update them by hand before submitting, or select this list and use Word's automatic Table of Contents tool if you prefer (References tab &gt; Table of Contents).</w:t>
      </w:r>
    </w:p>
    <w:p>
      <w:r>
        <w:br w:type="page"/>
      </w:r>
    </w:p>
    <w:p>
      <w:pPr>
        <w:sectPr>
          <w:pgSz w:w="11906" w:h="16838" w:orient="portrait"/>
          <w:pgMar w:top="1440" w:right="1440" w:bottom="1440" w:left="1440" w:header="708" w:footer="708" w:gutter="0"/>
          <w:pgNumType/>
          <w:docGrid w:linePitch="360"/>
        </w:sectPr>
      </w:pPr>
    </w:p>
    <w:p>
      <w:pPr>
        <w:pStyle w:val="Heading1"/>
        <w:spacing w:after="200" w:before="300" w:line="360" w:lineRule="auto"/>
      </w:pPr>
      <w:r>
        <w:rPr>
          <w:rFonts w:ascii="Arial" w:cs="Arial" w:eastAsia="Arial" w:hAnsi="Arial"/>
          <w:b/>
          <w:bCs/>
        </w:rPr>
        <w:t xml:space="preserve">Executive Summary</w:t>
      </w:r>
    </w:p>
    <w:p>
      <w:pPr>
        <w:spacing w:after="200" w:line="360" w:lineRule="auto"/>
        <w:jc w:val="both"/>
      </w:pPr>
      <w:r>
        <w:rPr>
          <w:rFonts w:ascii="Arial" w:cs="Arial" w:eastAsia="Arial" w:hAnsi="Arial"/>
          <w:sz w:val="22"/>
          <w:szCs w:val="22"/>
        </w:rPr>
        <w:t xml:space="preserve">This report examines the stakeholder engagement strategy required for the successful launch of ConnectPlus, an AI driven customer loyalty and engagement platform being introduced by Marks &amp; Spencer across UK and international markets over a six month period. Using Freeman's stakeholder theory, Mendelow's power/interest matrix, and the 4 I's framework, the report identifies and categorises the internal and external stakeholders whose cooperation is essential to the launch. It sets out a structured engagement process built on the 4Cs model, supported by a communication plan, a RACI matrix, and a clearly identified change leadership approach, and demonstrates how conflict, illustrated through a franchise partner case scenario, can be managed constructively using recognised conflict resolution techniques. The report concludes by critically evaluating the benefits, challenges and ethical considerations of sustained stakeholder engagement, before offering recommendations focused on organic, trust based growth in stakeholder relationships going forward.</w:t>
      </w:r>
    </w:p>
    <w:p>
      <w:pPr>
        <w:pStyle w:val="Heading1"/>
        <w:spacing w:after="200" w:before="300" w:line="360" w:lineRule="auto"/>
      </w:pPr>
      <w:r>
        <w:rPr>
          <w:rFonts w:ascii="Arial" w:cs="Arial" w:eastAsia="Arial" w:hAnsi="Arial"/>
          <w:b/>
          <w:bCs/>
        </w:rPr>
        <w:t xml:space="preserve">Introduction</w:t>
      </w:r>
    </w:p>
    <w:p>
      <w:pPr>
        <w:spacing w:after="200" w:line="360" w:lineRule="auto"/>
        <w:jc w:val="both"/>
      </w:pPr>
      <w:r>
        <w:rPr>
          <w:rFonts w:ascii="Arial" w:cs="Arial" w:eastAsia="Arial" w:hAnsi="Arial"/>
          <w:sz w:val="22"/>
          <w:szCs w:val="22"/>
        </w:rPr>
        <w:t xml:space="preserve">Marks &amp; Spencer is one of the UK's longest established retailers, founded in 1884 and currently trading in 57 countries with more than 1,000 UK stores, alongside a network of international franchise partnerships. The company employs around 65,000 people, spanning food, clothing and home décor, and is listed on the London Stock Exchange.</w:t>
      </w:r>
    </w:p>
    <w:p>
      <w:pPr>
        <w:spacing w:after="200" w:line="360" w:lineRule="auto"/>
        <w:jc w:val="both"/>
      </w:pPr>
      <w:r>
        <w:rPr>
          <w:rFonts w:ascii="Arial" w:cs="Arial" w:eastAsia="Arial" w:hAnsi="Arial"/>
          <w:sz w:val="22"/>
          <w:szCs w:val="22"/>
        </w:rPr>
        <w:t xml:space="preserve">In 2022, M&amp;S began pursuing a digital transformation, investing around £480 million into digital infrastructure and supply chain modernisation.</w:t>
      </w:r>
    </w:p>
    <w:p>
      <w:pPr>
        <w:spacing w:after="200" w:line="360" w:lineRule="auto"/>
        <w:jc w:val="both"/>
      </w:pPr>
      <w:r>
        <w:rPr>
          <w:rFonts w:ascii="Arial" w:cs="Arial" w:eastAsia="Arial" w:hAnsi="Arial"/>
          <w:sz w:val="22"/>
          <w:szCs w:val="22"/>
        </w:rPr>
        <w:t xml:space="preserve">A key part of this transformation has been the Sparks loyalty scheme, which has reached 15 million members and become a significant source of customer data and engagement. ConnectPlus represents the next stage of this digital strategy. Positioned as an AI driven customer loyalty and engagement platform, it builds on the foundation Sparks has already established, adding personalised recommendations, mobile based rewards, and data driven customer insight tools intended to strengthen retention and support more informed commercial decision making. The platform is scheduled to launch within the next six months across a range of local UK and international markets, each with its own distinct regulatory environment, customer expectations, and level of digital readiness.</w:t>
      </w:r>
    </w:p>
    <w:p>
      <w:pPr>
        <w:spacing w:after="200" w:line="360" w:lineRule="auto"/>
        <w:jc w:val="both"/>
      </w:pPr>
      <w:r>
        <w:rPr>
          <w:rFonts w:ascii="Arial" w:cs="Arial" w:eastAsia="Arial" w:hAnsi="Arial"/>
          <w:sz w:val="22"/>
          <w:szCs w:val="22"/>
        </w:rPr>
        <w:t xml:space="preserve">As the project manager for the ConnectPlus rollout, my responsibility extends past the technical delivery of the platform itself. A launch of this type touches nearly all parts of the organisation and a wide range of external parties, from regulators concerned with how customer data is used, to franchise partners who will be expected to adopt the platform in markets M&amp;S does not directly control.</w:t>
      </w:r>
    </w:p>
    <w:p>
      <w:pPr>
        <w:spacing w:after="200" w:line="360" w:lineRule="auto"/>
        <w:jc w:val="both"/>
      </w:pPr>
      <w:r>
        <w:rPr>
          <w:rFonts w:ascii="Arial" w:cs="Arial" w:eastAsia="Arial" w:hAnsi="Arial"/>
          <w:sz w:val="22"/>
          <w:szCs w:val="22"/>
        </w:rPr>
        <w:t xml:space="preserve">This report identifies and categorises the stakeholders whose cooperation is essential to a successful launch, sets out the mechanisms I would use to engage them across varying market contexts, and critically evaluates the benefits, challenges and ethical considerations that come with stakeholder engagement on this scale.</w:t>
      </w:r>
    </w:p>
    <w:p>
      <w:pPr>
        <w:pStyle w:val="Heading1"/>
        <w:spacing w:after="200" w:before="300" w:line="360" w:lineRule="auto"/>
      </w:pPr>
      <w:r>
        <w:rPr>
          <w:rFonts w:ascii="Arial" w:cs="Arial" w:eastAsia="Arial" w:hAnsi="Arial"/>
          <w:b/>
          <w:bCs/>
        </w:rPr>
        <w:t xml:space="preserve">SMART Objectives</w:t>
      </w:r>
    </w:p>
    <w:p>
      <w:pPr>
        <w:spacing w:after="200" w:line="360" w:lineRule="auto"/>
        <w:jc w:val="both"/>
      </w:pPr>
      <w:r>
        <w:rPr>
          <w:rFonts w:ascii="Arial" w:cs="Arial" w:eastAsia="Arial" w:hAnsi="Arial"/>
          <w:sz w:val="22"/>
          <w:szCs w:val="22"/>
        </w:rPr>
        <w:t xml:space="preserve">Two objectives would guide the stakeholder engagement strategy for ConnectPlus:</w:t>
      </w:r>
    </w:p>
    <w:p>
      <w:pPr>
        <w:spacing w:after="200" w:line="360" w:lineRule="auto"/>
        <w:jc w:val="both"/>
      </w:pPr>
      <w:r>
        <w:rPr>
          <w:rFonts w:ascii="Arial" w:cs="Arial" w:eastAsia="Arial" w:hAnsi="Arial"/>
          <w:b w:val="false"/>
          <w:bCs w:val="false"/>
          <w:sz w:val="22"/>
          <w:szCs w:val="22"/>
        </w:rPr>
        <w:t xml:space="preserve">Objective One: To gain up to 80% awareness of ConnectPlus among internal stakeholders across all departments within one month of the rollout beginning, measured through internal communication engagement data, ensuring the organisation is aligned before external launch activity begins.</w:t>
      </w:r>
    </w:p>
    <w:p>
      <w:pPr>
        <w:spacing w:after="200" w:line="360" w:lineRule="auto"/>
        <w:jc w:val="both"/>
      </w:pPr>
      <w:r>
        <w:rPr>
          <w:rFonts w:ascii="Arial" w:cs="Arial" w:eastAsia="Arial" w:hAnsi="Arial"/>
          <w:sz w:val="22"/>
          <w:szCs w:val="22"/>
        </w:rPr>
        <w:t xml:space="preserve">Objective Two: To secure engagement commitments from all high power, high interest external stakeholders, including franchise partners and key regulators, within the first two months of the six-month rollout, in order to reduce the risk of late stage resistance or compliance delays.</w:t>
      </w:r>
    </w:p>
    <w:p>
      <w:pPr>
        <w:spacing w:after="200" w:line="360" w:lineRule="auto"/>
        <w:jc w:val="both"/>
      </w:pPr>
      <w:r>
        <w:rPr>
          <w:rFonts w:ascii="Arial" w:cs="Arial" w:eastAsia="Arial" w:hAnsi="Arial"/>
          <w:sz w:val="22"/>
          <w:szCs w:val="22"/>
        </w:rPr>
        <w:t xml:space="preserve">Both of the above objectives are specific, measurable, achievable within the project timeline, relevant to the platform's success, and time bound to the rollout schedule.</w:t>
      </w:r>
    </w:p>
    <w:p>
      <w:pPr>
        <w:pStyle w:val="Heading1"/>
        <w:spacing w:after="200" w:before="300" w:line="360" w:lineRule="auto"/>
      </w:pPr>
      <w:r>
        <w:rPr>
          <w:rFonts w:ascii="Arial" w:cs="Arial" w:eastAsia="Arial" w:hAnsi="Arial"/>
          <w:b/>
          <w:bCs/>
        </w:rPr>
        <w:t xml:space="preserve">Stakeholder Identification and Mapping</w:t>
      </w:r>
    </w:p>
    <w:p>
      <w:pPr>
        <w:spacing w:after="200" w:line="360" w:lineRule="auto"/>
        <w:jc w:val="both"/>
      </w:pPr>
      <w:r>
        <w:rPr>
          <w:rFonts w:ascii="Arial" w:cs="Arial" w:eastAsia="Arial" w:hAnsi="Arial"/>
          <w:sz w:val="22"/>
          <w:szCs w:val="22"/>
        </w:rPr>
        <w:t xml:space="preserve">Freeman's (1984) stakeholder theory provides the starting point for this analysis. Freeman argued that decisions made within an organisation seldom just affect a single group in isolation. A decision such as this, with all its significance in launching an AI driven platform covering multiple markets, will have an impact on employees, customers, regulators, suppliers, and shareholders simultaneously, which means the launch of ConnectPlus has to be treated as a stakeholder management exercise as much as a technology project.</w:t>
      </w:r>
    </w:p>
    <w:p>
      <w:pPr>
        <w:spacing w:after="200" w:line="360" w:lineRule="auto"/>
        <w:jc w:val="both"/>
      </w:pPr>
      <w:r>
        <w:rPr>
          <w:rFonts w:ascii="Arial" w:cs="Arial" w:eastAsia="Arial" w:hAnsi="Arial"/>
          <w:sz w:val="22"/>
          <w:szCs w:val="22"/>
        </w:rPr>
        <w:t xml:space="preserve">Following the approach used throughout this module, stakeholders are placed into two categories, internal and external, rather than further subdivided by where they sit inside the project and/or organisation.</w:t>
      </w:r>
    </w:p>
    <w:p>
      <w:pPr>
        <w:spacing w:after="200" w:line="360" w:lineRule="auto"/>
        <w:jc w:val="both"/>
      </w:pPr>
      <w:r>
        <w:rPr>
          <w:rFonts w:ascii="Arial" w:cs="Arial" w:eastAsia="Arial" w:hAnsi="Arial"/>
          <w:sz w:val="22"/>
          <w:szCs w:val="22"/>
        </w:rPr>
        <w:t xml:space="preserve">Internal stakeholders are those employed by or managed by M&amp;S itself. For ConnectPlus these include:</w:t>
      </w:r>
    </w:p>
    <w:p>
      <w:pPr>
        <w:pStyle w:val="ListParagraph"/>
        <w:numPr>
          <w:ilvl w:val="0"/>
          <w:numId w:val="2"/>
        </w:numPr>
        <w:spacing w:after="100" w:line="360" w:lineRule="auto"/>
      </w:pPr>
      <w:r>
        <w:rPr>
          <w:rFonts w:ascii="Arial" w:cs="Arial" w:eastAsia="Arial" w:hAnsi="Arial"/>
          <w:sz w:val="22"/>
          <w:szCs w:val="22"/>
        </w:rPr>
        <w:t xml:space="preserve">The Board and senior leadership, who hold ultimate accountability for the investment and its strategic direction</w:t>
      </w:r>
    </w:p>
    <w:p>
      <w:pPr>
        <w:pStyle w:val="ListParagraph"/>
        <w:numPr>
          <w:ilvl w:val="0"/>
          <w:numId w:val="2"/>
        </w:numPr>
        <w:spacing w:after="100" w:line="360" w:lineRule="auto"/>
      </w:pPr>
      <w:r>
        <w:rPr>
          <w:rFonts w:ascii="Arial" w:cs="Arial" w:eastAsia="Arial" w:hAnsi="Arial"/>
          <w:sz w:val="22"/>
          <w:szCs w:val="22"/>
        </w:rPr>
        <w:t xml:space="preserve">The IT and digital data team, responsible for building and maintaining the platform's technical infrastructure</w:t>
      </w:r>
    </w:p>
    <w:p>
      <w:pPr>
        <w:pStyle w:val="ListParagraph"/>
        <w:numPr>
          <w:ilvl w:val="0"/>
          <w:numId w:val="2"/>
        </w:numPr>
        <w:spacing w:after="100" w:line="360" w:lineRule="auto"/>
      </w:pPr>
      <w:r>
        <w:rPr>
          <w:rFonts w:ascii="Arial" w:cs="Arial" w:eastAsia="Arial" w:hAnsi="Arial"/>
          <w:sz w:val="22"/>
          <w:szCs w:val="22"/>
        </w:rPr>
        <w:t xml:space="preserve">The marketing and brand team, who will lead how ConnectPlus is positioned and communicated to customers</w:t>
      </w:r>
    </w:p>
    <w:p>
      <w:pPr>
        <w:pStyle w:val="ListParagraph"/>
        <w:numPr>
          <w:ilvl w:val="0"/>
          <w:numId w:val="2"/>
        </w:numPr>
        <w:spacing w:after="100" w:line="360" w:lineRule="auto"/>
      </w:pPr>
      <w:r>
        <w:rPr>
          <w:rFonts w:ascii="Arial" w:cs="Arial" w:eastAsia="Arial" w:hAnsi="Arial"/>
          <w:sz w:val="22"/>
          <w:szCs w:val="22"/>
        </w:rPr>
        <w:t xml:space="preserve">Store and customer facing staff, who will be expected to support customers using the platform day to day</w:t>
      </w:r>
    </w:p>
    <w:p>
      <w:pPr>
        <w:pStyle w:val="ListParagraph"/>
        <w:numPr>
          <w:ilvl w:val="0"/>
          <w:numId w:val="2"/>
        </w:numPr>
        <w:spacing w:after="100" w:line="360" w:lineRule="auto"/>
      </w:pPr>
      <w:r>
        <w:rPr>
          <w:rFonts w:ascii="Arial" w:cs="Arial" w:eastAsia="Arial" w:hAnsi="Arial"/>
          <w:sz w:val="22"/>
          <w:szCs w:val="22"/>
        </w:rPr>
        <w:t xml:space="preserve">Human resources, who will need to manage any training or role changes the rollout creates</w:t>
      </w:r>
    </w:p>
    <w:p>
      <w:pPr>
        <w:spacing w:after="200" w:line="360" w:lineRule="auto"/>
        <w:jc w:val="both"/>
      </w:pPr>
      <w:r>
        <w:rPr>
          <w:rFonts w:ascii="Arial" w:cs="Arial" w:eastAsia="Arial" w:hAnsi="Arial"/>
          <w:sz w:val="22"/>
          <w:szCs w:val="22"/>
        </w:rPr>
        <w:t xml:space="preserve">External stakeholders sit outside the organisation but retain a significant stake in its success:</w:t>
      </w:r>
    </w:p>
    <w:p>
      <w:pPr>
        <w:pStyle w:val="ListParagraph"/>
        <w:numPr>
          <w:ilvl w:val="0"/>
          <w:numId w:val="2"/>
        </w:numPr>
        <w:spacing w:after="100" w:line="360" w:lineRule="auto"/>
      </w:pPr>
      <w:r>
        <w:rPr>
          <w:rFonts w:ascii="Arial" w:cs="Arial" w:eastAsia="Arial" w:hAnsi="Arial"/>
          <w:sz w:val="22"/>
          <w:szCs w:val="22"/>
        </w:rPr>
        <w:t xml:space="preserve">Customers, particularly the 15 million existing Sparks members whose loyalty data and trust the platform depends on</w:t>
      </w:r>
    </w:p>
    <w:p>
      <w:pPr>
        <w:pStyle w:val="ListParagraph"/>
        <w:numPr>
          <w:ilvl w:val="0"/>
          <w:numId w:val="2"/>
        </w:numPr>
        <w:spacing w:after="100" w:line="360" w:lineRule="auto"/>
      </w:pPr>
      <w:r>
        <w:rPr>
          <w:rFonts w:ascii="Arial" w:cs="Arial" w:eastAsia="Arial" w:hAnsi="Arial"/>
          <w:sz w:val="22"/>
          <w:szCs w:val="22"/>
        </w:rPr>
        <w:t xml:space="preserve">International franchise partners, who operate stores in markets M&amp;S does not directly manage and who will need to adopt the platform on M&amp;S's timeline</w:t>
      </w:r>
    </w:p>
    <w:p>
      <w:pPr>
        <w:pStyle w:val="ListParagraph"/>
        <w:numPr>
          <w:ilvl w:val="0"/>
          <w:numId w:val="2"/>
        </w:numPr>
        <w:spacing w:after="100" w:line="360" w:lineRule="auto"/>
      </w:pPr>
      <w:r>
        <w:rPr>
          <w:rFonts w:ascii="Arial" w:cs="Arial" w:eastAsia="Arial" w:hAnsi="Arial"/>
          <w:sz w:val="22"/>
          <w:szCs w:val="22"/>
        </w:rPr>
        <w:t xml:space="preserve">Suppliers and technology vendors supporting the AI and data infrastructure</w:t>
      </w:r>
    </w:p>
    <w:p>
      <w:pPr>
        <w:pStyle w:val="ListParagraph"/>
        <w:numPr>
          <w:ilvl w:val="0"/>
          <w:numId w:val="2"/>
        </w:numPr>
        <w:spacing w:after="100" w:line="360" w:lineRule="auto"/>
      </w:pPr>
      <w:r>
        <w:rPr>
          <w:rFonts w:ascii="Arial" w:cs="Arial" w:eastAsia="Arial" w:hAnsi="Arial"/>
          <w:sz w:val="22"/>
          <w:szCs w:val="22"/>
        </w:rPr>
        <w:t xml:space="preserve">Regulators, including data protection authorities such as the ICO in the UK and equivalent bodies internationally, given the platform's reliance on personal data</w:t>
      </w:r>
    </w:p>
    <w:p>
      <w:pPr>
        <w:pStyle w:val="ListParagraph"/>
        <w:numPr>
          <w:ilvl w:val="0"/>
          <w:numId w:val="2"/>
        </w:numPr>
        <w:spacing w:after="100" w:line="360" w:lineRule="auto"/>
      </w:pPr>
      <w:r>
        <w:rPr>
          <w:rFonts w:ascii="Arial" w:cs="Arial" w:eastAsia="Arial" w:hAnsi="Arial"/>
          <w:sz w:val="22"/>
          <w:szCs w:val="22"/>
        </w:rPr>
        <w:t xml:space="preserve">Investors and shareholders, who will assess the platform against the wider £480 million digital investment</w:t>
      </w:r>
    </w:p>
    <w:p>
      <w:pPr>
        <w:pStyle w:val="ListParagraph"/>
        <w:numPr>
          <w:ilvl w:val="0"/>
          <w:numId w:val="2"/>
        </w:numPr>
        <w:spacing w:after="100" w:line="360" w:lineRule="auto"/>
      </w:pPr>
      <w:r>
        <w:rPr>
          <w:rFonts w:ascii="Arial" w:cs="Arial" w:eastAsia="Arial" w:hAnsi="Arial"/>
          <w:sz w:val="22"/>
          <w:szCs w:val="22"/>
        </w:rPr>
        <w:t xml:space="preserve">Competitors, who will respond to any competitive advantage ConnectPlus creates</w:t>
      </w:r>
    </w:p>
    <w:p>
      <w:pPr>
        <w:pStyle w:val="Heading2"/>
        <w:spacing w:after="200" w:before="300" w:line="360" w:lineRule="auto"/>
      </w:pPr>
      <w:r>
        <w:rPr>
          <w:rFonts w:ascii="Arial" w:cs="Arial" w:eastAsia="Arial" w:hAnsi="Arial"/>
          <w:b/>
          <w:bCs/>
        </w:rPr>
        <w:t xml:space="preserve">Mendelow's Matrix</w:t>
      </w:r>
    </w:p>
    <w:p>
      <w:pPr>
        <w:spacing w:after="200" w:line="360" w:lineRule="auto"/>
        <w:jc w:val="both"/>
      </w:pPr>
      <w:r>
        <w:rPr>
          <w:rFonts w:ascii="Arial" w:cs="Arial" w:eastAsia="Arial" w:hAnsi="Arial"/>
          <w:sz w:val="22"/>
          <w:szCs w:val="22"/>
        </w:rPr>
        <w:t xml:space="preserve">Mendelow (1991) proposed that a stakeholder's influence in a project can be understood in two ways: their power to affect decisions and their interest in the outcome. Plotting ConnectPlus stakeholders against this matrix can produce up to four distinct groups, each requiring a different management approach.</w:t>
      </w:r>
    </w:p>
    <w:p>
      <w:pPr>
        <w:spacing w:after="200" w:line="360" w:lineRule="auto"/>
        <w:jc w:val="both"/>
      </w:pPr>
      <w:r>
        <w:rPr>
          <w:rFonts w:ascii="Arial" w:cs="Arial" w:eastAsia="Arial" w:hAnsi="Arial"/>
          <w:sz w:val="22"/>
          <w:szCs w:val="22"/>
        </w:rPr>
        <w:t xml:space="preserve">High power, high interest stakeholders are the Board, top leadership, and international franchise partners. These are the key players. Their goals need to be understood from the start, with them actively managed throughout the whole rollout process, since their support or opposition can materially change the outcome.</w:t>
      </w:r>
    </w:p>
    <w:p>
      <w:pPr>
        <w:spacing w:after="200" w:line="360" w:lineRule="auto"/>
        <w:jc w:val="both"/>
      </w:pPr>
      <w:r>
        <w:rPr>
          <w:rFonts w:ascii="Arial" w:cs="Arial" w:eastAsia="Arial" w:hAnsi="Arial"/>
          <w:sz w:val="22"/>
          <w:szCs w:val="22"/>
        </w:rPr>
        <w:t xml:space="preserve">High power, low interest stakeholders include regulators and investors, who may not be involved in the day to day rollout but who have the power to intervene and could stop the project outright if compliance is not up to standard or financial problems occur. These stakeholders must be kept satisfied through clear and accurate reporting rather than constant engagement.</w:t>
      </w:r>
    </w:p>
    <w:p>
      <w:pPr>
        <w:spacing w:after="200" w:line="360" w:lineRule="auto"/>
        <w:jc w:val="both"/>
      </w:pPr>
      <w:r>
        <w:rPr>
          <w:rFonts w:ascii="Arial" w:cs="Arial" w:eastAsia="Arial" w:hAnsi="Arial"/>
          <w:sz w:val="22"/>
          <w:szCs w:val="22"/>
        </w:rPr>
        <w:t xml:space="preserve">Low power, high interest stakeholders are customers and store staff. Alone, these individuals have limited influence, but collectively their reaction to ConnectPlus, whether adoption is strong or resistance builds, will shape whether the platform succeeds. This group needs to be kept in the loop and consulted with where practical, as their combined voice carries weight even without formal authority.</w:t>
      </w:r>
    </w:p>
    <w:p>
      <w:pPr>
        <w:spacing w:after="200" w:line="360" w:lineRule="auto"/>
        <w:jc w:val="both"/>
      </w:pPr>
      <w:r>
        <w:rPr>
          <w:rFonts w:ascii="Arial" w:cs="Arial" w:eastAsia="Arial" w:hAnsi="Arial"/>
          <w:sz w:val="22"/>
          <w:szCs w:val="22"/>
        </w:rPr>
        <w:t xml:space="preserve">Low power, low interest stakeholders, such as competitors and smaller suppliers, need only minimal monitoring at this stage, though this position should be reviewed as the rollout progresses, since a competitor's interest could shift quickly if ConnectPlus proves commercially successful.</w:t>
      </w:r>
    </w:p>
    <w:p>
      <w:pPr>
        <w:pStyle w:val="Heading2"/>
        <w:spacing w:after="200" w:before="300" w:line="360" w:lineRule="auto"/>
      </w:pPr>
      <w:r>
        <w:rPr>
          <w:rFonts w:ascii="Arial" w:cs="Arial" w:eastAsia="Arial" w:hAnsi="Arial"/>
          <w:b/>
          <w:bCs/>
        </w:rPr>
        <w:t xml:space="preserve">Stakeholder Assessment</w:t>
      </w:r>
    </w:p>
    <w:p>
      <w:pPr>
        <w:spacing w:after="200" w:line="360" w:lineRule="auto"/>
        <w:jc w:val="both"/>
      </w:pPr>
      <w:r>
        <w:rPr>
          <w:rFonts w:ascii="Arial" w:cs="Arial" w:eastAsia="Arial" w:hAnsi="Arial"/>
          <w:sz w:val="22"/>
          <w:szCs w:val="22"/>
        </w:rPr>
        <w:t xml:space="preserve">Applying the 4 I's framework (Interest, Involvement, Influence, Impact) sharpens this picture further:</w:t>
      </w:r>
    </w:p>
    <w:tbl>
      <w:tblPr>
        <w:tblW w:type="dxa" w:w="8600"/>
        <w:tblBorders>
          <w:top w:val="single" w:color="auto" w:sz="4"/>
          <w:left w:val="single" w:color="auto" w:sz="4"/>
          <w:bottom w:val="single" w:color="auto" w:sz="4"/>
          <w:right w:val="single" w:color="auto" w:sz="4"/>
          <w:insideH w:val="single" w:color="auto" w:sz="4"/>
          <w:insideV w:val="single" w:color="auto" w:sz="4"/>
        </w:tblBorders>
      </w:tblPr>
      <w:tblGrid>
        <w:gridCol w:w="2600"/>
        <w:gridCol w:w="1500"/>
        <w:gridCol w:w="1500"/>
        <w:gridCol w:w="1500"/>
        <w:gridCol w:w="1500"/>
      </w:tblGrid>
      <w:tr>
        <w:tc>
          <w:tcPr>
            <w:tcW w:type="dxa" w:w="2600"/>
            <w:shd w:fill="D9D9D9" w:val="clear"/>
          </w:tcPr>
          <w:p>
            <w:pPr>
              <w:spacing w:line="276" w:lineRule="auto"/>
            </w:pPr>
            <w:r>
              <w:rPr>
                <w:rFonts w:ascii="Arial" w:cs="Arial" w:eastAsia="Arial" w:hAnsi="Arial"/>
                <w:b/>
                <w:bCs/>
                <w:sz w:val="20"/>
                <w:szCs w:val="20"/>
              </w:rPr>
              <w:t xml:space="preserve">Stakeholder</w:t>
            </w:r>
          </w:p>
        </w:tc>
        <w:tc>
          <w:tcPr>
            <w:tcW w:type="dxa" w:w="1500"/>
            <w:shd w:fill="D9D9D9" w:val="clear"/>
          </w:tcPr>
          <w:p>
            <w:pPr>
              <w:spacing w:line="276" w:lineRule="auto"/>
            </w:pPr>
            <w:r>
              <w:rPr>
                <w:rFonts w:ascii="Arial" w:cs="Arial" w:eastAsia="Arial" w:hAnsi="Arial"/>
                <w:b/>
                <w:bCs/>
                <w:sz w:val="20"/>
                <w:szCs w:val="20"/>
              </w:rPr>
              <w:t xml:space="preserve">Interest</w:t>
            </w:r>
          </w:p>
        </w:tc>
        <w:tc>
          <w:tcPr>
            <w:tcW w:type="dxa" w:w="1500"/>
            <w:shd w:fill="D9D9D9" w:val="clear"/>
          </w:tcPr>
          <w:p>
            <w:pPr>
              <w:spacing w:line="276" w:lineRule="auto"/>
            </w:pPr>
            <w:r>
              <w:rPr>
                <w:rFonts w:ascii="Arial" w:cs="Arial" w:eastAsia="Arial" w:hAnsi="Arial"/>
                <w:b/>
                <w:bCs/>
                <w:sz w:val="20"/>
                <w:szCs w:val="20"/>
              </w:rPr>
              <w:t xml:space="preserve">Involvement</w:t>
            </w:r>
          </w:p>
        </w:tc>
        <w:tc>
          <w:tcPr>
            <w:tcW w:type="dxa" w:w="1500"/>
            <w:shd w:fill="D9D9D9" w:val="clear"/>
          </w:tcPr>
          <w:p>
            <w:pPr>
              <w:spacing w:line="276" w:lineRule="auto"/>
            </w:pPr>
            <w:r>
              <w:rPr>
                <w:rFonts w:ascii="Arial" w:cs="Arial" w:eastAsia="Arial" w:hAnsi="Arial"/>
                <w:b/>
                <w:bCs/>
                <w:sz w:val="20"/>
                <w:szCs w:val="20"/>
              </w:rPr>
              <w:t xml:space="preserve">Influence</w:t>
            </w:r>
          </w:p>
        </w:tc>
        <w:tc>
          <w:tcPr>
            <w:tcW w:type="dxa" w:w="1500"/>
            <w:shd w:fill="D9D9D9" w:val="clear"/>
          </w:tcPr>
          <w:p>
            <w:pPr>
              <w:spacing w:line="276" w:lineRule="auto"/>
            </w:pPr>
            <w:r>
              <w:rPr>
                <w:rFonts w:ascii="Arial" w:cs="Arial" w:eastAsia="Arial" w:hAnsi="Arial"/>
                <w:b/>
                <w:bCs/>
                <w:sz w:val="20"/>
                <w:szCs w:val="20"/>
              </w:rPr>
              <w:t xml:space="preserve">Impact</w:t>
            </w:r>
          </w:p>
        </w:tc>
      </w:tr>
      <w:tr>
        <w:tc>
          <w:tcPr>
            <w:tcW w:type="dxa" w:w="2600"/>
          </w:tcPr>
          <w:p>
            <w:pPr>
              <w:spacing w:line="276" w:lineRule="auto"/>
            </w:pPr>
            <w:r>
              <w:rPr>
                <w:rFonts w:ascii="Arial" w:cs="Arial" w:eastAsia="Arial" w:hAnsi="Arial"/>
                <w:sz w:val="20"/>
                <w:szCs w:val="20"/>
              </w:rPr>
              <w:t xml:space="preserve">Board / Senior Leadership</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High</w:t>
            </w:r>
          </w:p>
        </w:tc>
      </w:tr>
      <w:tr>
        <w:tc>
          <w:tcPr>
            <w:tcW w:type="dxa" w:w="2600"/>
          </w:tcPr>
          <w:p>
            <w:pPr>
              <w:spacing w:line="276" w:lineRule="auto"/>
            </w:pPr>
            <w:r>
              <w:rPr>
                <w:rFonts w:ascii="Arial" w:cs="Arial" w:eastAsia="Arial" w:hAnsi="Arial"/>
                <w:sz w:val="20"/>
                <w:szCs w:val="20"/>
              </w:rPr>
              <w:t xml:space="preserve">Digital/IT Team</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Medium</w:t>
            </w:r>
          </w:p>
        </w:tc>
        <w:tc>
          <w:tcPr>
            <w:tcW w:type="dxa" w:w="1500"/>
          </w:tcPr>
          <w:p>
            <w:pPr>
              <w:spacing w:line="276" w:lineRule="auto"/>
            </w:pPr>
            <w:r>
              <w:rPr>
                <w:rFonts w:ascii="Arial" w:cs="Arial" w:eastAsia="Arial" w:hAnsi="Arial"/>
                <w:sz w:val="20"/>
                <w:szCs w:val="20"/>
              </w:rPr>
              <w:t xml:space="preserve">High</w:t>
            </w:r>
          </w:p>
        </w:tc>
      </w:tr>
      <w:tr>
        <w:tc>
          <w:tcPr>
            <w:tcW w:type="dxa" w:w="2600"/>
          </w:tcPr>
          <w:p>
            <w:pPr>
              <w:spacing w:line="276" w:lineRule="auto"/>
            </w:pPr>
            <w:r>
              <w:rPr>
                <w:rFonts w:ascii="Arial" w:cs="Arial" w:eastAsia="Arial" w:hAnsi="Arial"/>
                <w:sz w:val="20"/>
                <w:szCs w:val="20"/>
              </w:rPr>
              <w:t xml:space="preserve">Franchise Partners</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Medium</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High</w:t>
            </w:r>
          </w:p>
        </w:tc>
      </w:tr>
      <w:tr>
        <w:tc>
          <w:tcPr>
            <w:tcW w:type="dxa" w:w="2600"/>
          </w:tcPr>
          <w:p>
            <w:pPr>
              <w:spacing w:line="276" w:lineRule="auto"/>
            </w:pPr>
            <w:r>
              <w:rPr>
                <w:rFonts w:ascii="Arial" w:cs="Arial" w:eastAsia="Arial" w:hAnsi="Arial"/>
                <w:sz w:val="20"/>
                <w:szCs w:val="20"/>
              </w:rPr>
              <w:t xml:space="preserve">Customers (Sparks members)</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Low</w:t>
            </w:r>
          </w:p>
        </w:tc>
        <w:tc>
          <w:tcPr>
            <w:tcW w:type="dxa" w:w="1500"/>
          </w:tcPr>
          <w:p>
            <w:pPr>
              <w:spacing w:line="276" w:lineRule="auto"/>
            </w:pPr>
            <w:r>
              <w:rPr>
                <w:rFonts w:ascii="Arial" w:cs="Arial" w:eastAsia="Arial" w:hAnsi="Arial"/>
                <w:sz w:val="20"/>
                <w:szCs w:val="20"/>
              </w:rPr>
              <w:t xml:space="preserve">Medium</w:t>
            </w:r>
          </w:p>
        </w:tc>
        <w:tc>
          <w:tcPr>
            <w:tcW w:type="dxa" w:w="1500"/>
          </w:tcPr>
          <w:p>
            <w:pPr>
              <w:spacing w:line="276" w:lineRule="auto"/>
            </w:pPr>
            <w:r>
              <w:rPr>
                <w:rFonts w:ascii="Arial" w:cs="Arial" w:eastAsia="Arial" w:hAnsi="Arial"/>
                <w:sz w:val="20"/>
                <w:szCs w:val="20"/>
              </w:rPr>
              <w:t xml:space="preserve">High</w:t>
            </w:r>
          </w:p>
        </w:tc>
      </w:tr>
      <w:tr>
        <w:tc>
          <w:tcPr>
            <w:tcW w:type="dxa" w:w="2600"/>
          </w:tcPr>
          <w:p>
            <w:pPr>
              <w:spacing w:line="276" w:lineRule="auto"/>
            </w:pPr>
            <w:r>
              <w:rPr>
                <w:rFonts w:ascii="Arial" w:cs="Arial" w:eastAsia="Arial" w:hAnsi="Arial"/>
                <w:sz w:val="20"/>
                <w:szCs w:val="20"/>
              </w:rPr>
              <w:t xml:space="preserve">Regulators</w:t>
            </w:r>
          </w:p>
        </w:tc>
        <w:tc>
          <w:tcPr>
            <w:tcW w:type="dxa" w:w="1500"/>
          </w:tcPr>
          <w:p>
            <w:pPr>
              <w:spacing w:line="276" w:lineRule="auto"/>
            </w:pPr>
            <w:r>
              <w:rPr>
                <w:rFonts w:ascii="Arial" w:cs="Arial" w:eastAsia="Arial" w:hAnsi="Arial"/>
                <w:sz w:val="20"/>
                <w:szCs w:val="20"/>
              </w:rPr>
              <w:t xml:space="preserve">Medium</w:t>
            </w:r>
          </w:p>
        </w:tc>
        <w:tc>
          <w:tcPr>
            <w:tcW w:type="dxa" w:w="1500"/>
          </w:tcPr>
          <w:p>
            <w:pPr>
              <w:spacing w:line="276" w:lineRule="auto"/>
            </w:pPr>
            <w:r>
              <w:rPr>
                <w:rFonts w:ascii="Arial" w:cs="Arial" w:eastAsia="Arial" w:hAnsi="Arial"/>
                <w:sz w:val="20"/>
                <w:szCs w:val="20"/>
              </w:rPr>
              <w:t xml:space="preserve">Low</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Medium</w:t>
            </w:r>
          </w:p>
        </w:tc>
      </w:tr>
      <w:tr>
        <w:tc>
          <w:tcPr>
            <w:tcW w:type="dxa" w:w="2600"/>
          </w:tcPr>
          <w:p>
            <w:pPr>
              <w:spacing w:line="276" w:lineRule="auto"/>
            </w:pPr>
            <w:r>
              <w:rPr>
                <w:rFonts w:ascii="Arial" w:cs="Arial" w:eastAsia="Arial" w:hAnsi="Arial"/>
                <w:sz w:val="20"/>
                <w:szCs w:val="20"/>
              </w:rPr>
              <w:t xml:space="preserve">Investors</w:t>
            </w:r>
          </w:p>
        </w:tc>
        <w:tc>
          <w:tcPr>
            <w:tcW w:type="dxa" w:w="1500"/>
          </w:tcPr>
          <w:p>
            <w:pPr>
              <w:spacing w:line="276" w:lineRule="auto"/>
            </w:pPr>
            <w:r>
              <w:rPr>
                <w:rFonts w:ascii="Arial" w:cs="Arial" w:eastAsia="Arial" w:hAnsi="Arial"/>
                <w:sz w:val="20"/>
                <w:szCs w:val="20"/>
              </w:rPr>
              <w:t xml:space="preserve">Medium</w:t>
            </w:r>
          </w:p>
        </w:tc>
        <w:tc>
          <w:tcPr>
            <w:tcW w:type="dxa" w:w="1500"/>
          </w:tcPr>
          <w:p>
            <w:pPr>
              <w:spacing w:line="276" w:lineRule="auto"/>
            </w:pPr>
            <w:r>
              <w:rPr>
                <w:rFonts w:ascii="Arial" w:cs="Arial" w:eastAsia="Arial" w:hAnsi="Arial"/>
                <w:sz w:val="20"/>
                <w:szCs w:val="20"/>
              </w:rPr>
              <w:t xml:space="preserve">Low</w:t>
            </w:r>
          </w:p>
        </w:tc>
        <w:tc>
          <w:tcPr>
            <w:tcW w:type="dxa" w:w="1500"/>
          </w:tcPr>
          <w:p>
            <w:pPr>
              <w:spacing w:line="276" w:lineRule="auto"/>
            </w:pPr>
            <w:r>
              <w:rPr>
                <w:rFonts w:ascii="Arial" w:cs="Arial" w:eastAsia="Arial" w:hAnsi="Arial"/>
                <w:sz w:val="20"/>
                <w:szCs w:val="20"/>
              </w:rPr>
              <w:t xml:space="preserve">High</w:t>
            </w:r>
          </w:p>
        </w:tc>
        <w:tc>
          <w:tcPr>
            <w:tcW w:type="dxa" w:w="1500"/>
          </w:tcPr>
          <w:p>
            <w:pPr>
              <w:spacing w:line="276" w:lineRule="auto"/>
            </w:pPr>
            <w:r>
              <w:rPr>
                <w:rFonts w:ascii="Arial" w:cs="Arial" w:eastAsia="Arial" w:hAnsi="Arial"/>
                <w:sz w:val="20"/>
                <w:szCs w:val="20"/>
              </w:rPr>
              <w:t xml:space="preserve">Medium</w:t>
            </w:r>
          </w:p>
        </w:tc>
      </w:tr>
      <w:tr>
        <w:tc>
          <w:tcPr>
            <w:tcW w:type="dxa" w:w="2600"/>
          </w:tcPr>
          <w:p>
            <w:pPr>
              <w:spacing w:line="276" w:lineRule="auto"/>
            </w:pPr>
            <w:r>
              <w:rPr>
                <w:rFonts w:ascii="Arial" w:cs="Arial" w:eastAsia="Arial" w:hAnsi="Arial"/>
                <w:sz w:val="20"/>
                <w:szCs w:val="20"/>
              </w:rPr>
              <w:t xml:space="preserve">Suppliers/Vendors</w:t>
            </w:r>
          </w:p>
        </w:tc>
        <w:tc>
          <w:tcPr>
            <w:tcW w:type="dxa" w:w="1500"/>
          </w:tcPr>
          <w:p>
            <w:pPr>
              <w:spacing w:line="276" w:lineRule="auto"/>
            </w:pPr>
            <w:r>
              <w:rPr>
                <w:rFonts w:ascii="Arial" w:cs="Arial" w:eastAsia="Arial" w:hAnsi="Arial"/>
                <w:sz w:val="20"/>
                <w:szCs w:val="20"/>
              </w:rPr>
              <w:t xml:space="preserve">Medium</w:t>
            </w:r>
          </w:p>
        </w:tc>
        <w:tc>
          <w:tcPr>
            <w:tcW w:type="dxa" w:w="1500"/>
          </w:tcPr>
          <w:p>
            <w:pPr>
              <w:spacing w:line="276" w:lineRule="auto"/>
            </w:pPr>
            <w:r>
              <w:rPr>
                <w:rFonts w:ascii="Arial" w:cs="Arial" w:eastAsia="Arial" w:hAnsi="Arial"/>
                <w:sz w:val="20"/>
                <w:szCs w:val="20"/>
              </w:rPr>
              <w:t xml:space="preserve">Medium</w:t>
            </w:r>
          </w:p>
        </w:tc>
        <w:tc>
          <w:tcPr>
            <w:tcW w:type="dxa" w:w="1500"/>
          </w:tcPr>
          <w:p>
            <w:pPr>
              <w:spacing w:line="276" w:lineRule="auto"/>
            </w:pPr>
            <w:r>
              <w:rPr>
                <w:rFonts w:ascii="Arial" w:cs="Arial" w:eastAsia="Arial" w:hAnsi="Arial"/>
                <w:sz w:val="20"/>
                <w:szCs w:val="20"/>
              </w:rPr>
              <w:t xml:space="preserve">Low</w:t>
            </w:r>
          </w:p>
        </w:tc>
        <w:tc>
          <w:tcPr>
            <w:tcW w:type="dxa" w:w="1500"/>
          </w:tcPr>
          <w:p>
            <w:pPr>
              <w:spacing w:line="276" w:lineRule="auto"/>
            </w:pPr>
            <w:r>
              <w:rPr>
                <w:rFonts w:ascii="Arial" w:cs="Arial" w:eastAsia="Arial" w:hAnsi="Arial"/>
                <w:sz w:val="20"/>
                <w:szCs w:val="20"/>
              </w:rPr>
              <w:t xml:space="preserve">Medium</w:t>
            </w:r>
          </w:p>
        </w:tc>
      </w:tr>
      <w:tr>
        <w:tc>
          <w:tcPr>
            <w:tcW w:type="dxa" w:w="2600"/>
          </w:tcPr>
          <w:p>
            <w:pPr>
              <w:spacing w:line="276" w:lineRule="auto"/>
            </w:pPr>
            <w:r>
              <w:rPr>
                <w:rFonts w:ascii="Arial" w:cs="Arial" w:eastAsia="Arial" w:hAnsi="Arial"/>
                <w:sz w:val="20"/>
                <w:szCs w:val="20"/>
              </w:rPr>
              <w:t xml:space="preserve">Competitors</w:t>
            </w:r>
          </w:p>
        </w:tc>
        <w:tc>
          <w:tcPr>
            <w:tcW w:type="dxa" w:w="1500"/>
          </w:tcPr>
          <w:p>
            <w:pPr>
              <w:spacing w:line="276" w:lineRule="auto"/>
            </w:pPr>
            <w:r>
              <w:rPr>
                <w:rFonts w:ascii="Arial" w:cs="Arial" w:eastAsia="Arial" w:hAnsi="Arial"/>
                <w:sz w:val="20"/>
                <w:szCs w:val="20"/>
              </w:rPr>
              <w:t xml:space="preserve">Low</w:t>
            </w:r>
          </w:p>
        </w:tc>
        <w:tc>
          <w:tcPr>
            <w:tcW w:type="dxa" w:w="1500"/>
          </w:tcPr>
          <w:p>
            <w:pPr>
              <w:spacing w:line="276" w:lineRule="auto"/>
            </w:pPr>
            <w:r>
              <w:rPr>
                <w:rFonts w:ascii="Arial" w:cs="Arial" w:eastAsia="Arial" w:hAnsi="Arial"/>
                <w:sz w:val="20"/>
                <w:szCs w:val="20"/>
              </w:rPr>
              <w:t xml:space="preserve">Low</w:t>
            </w:r>
          </w:p>
        </w:tc>
        <w:tc>
          <w:tcPr>
            <w:tcW w:type="dxa" w:w="1500"/>
          </w:tcPr>
          <w:p>
            <w:pPr>
              <w:spacing w:line="276" w:lineRule="auto"/>
            </w:pPr>
            <w:r>
              <w:rPr>
                <w:rFonts w:ascii="Arial" w:cs="Arial" w:eastAsia="Arial" w:hAnsi="Arial"/>
                <w:sz w:val="20"/>
                <w:szCs w:val="20"/>
              </w:rPr>
              <w:t xml:space="preserve">Low</w:t>
            </w:r>
          </w:p>
        </w:tc>
        <w:tc>
          <w:tcPr>
            <w:tcW w:type="dxa" w:w="1500"/>
          </w:tcPr>
          <w:p>
            <w:pPr>
              <w:spacing w:line="276" w:lineRule="auto"/>
            </w:pPr>
            <w:r>
              <w:rPr>
                <w:rFonts w:ascii="Arial" w:cs="Arial" w:eastAsia="Arial" w:hAnsi="Arial"/>
                <w:sz w:val="20"/>
                <w:szCs w:val="20"/>
              </w:rPr>
              <w:t xml:space="preserve">Low</w:t>
            </w:r>
          </w:p>
        </w:tc>
      </w:tr>
    </w:tbl>
    <w:p>
      <w:pPr>
        <w:spacing w:after="200" w:line="360" w:lineRule="auto"/>
        <w:jc w:val="both"/>
      </w:pPr>
      <w:r>
        <w:rPr>
          <w:rFonts w:ascii="Arial" w:cs="Arial" w:eastAsia="Arial" w:hAnsi="Arial"/>
          <w:sz w:val="22"/>
          <w:szCs w:val="22"/>
        </w:rPr>
        <w:t xml:space="preserve"/>
      </w:r>
    </w:p>
    <w:p>
      <w:pPr>
        <w:spacing w:after="200" w:line="360" w:lineRule="auto"/>
        <w:jc w:val="both"/>
      </w:pPr>
      <w:r>
        <w:rPr>
          <w:rFonts w:ascii="Arial" w:cs="Arial" w:eastAsia="Arial" w:hAnsi="Arial"/>
          <w:sz w:val="22"/>
          <w:szCs w:val="22"/>
        </w:rPr>
        <w:t xml:space="preserve">This assessment backs up the Mendelow analysis whilst adding a further level of understanding. Franchise partners, per se, carry high influence and high impact, even though only medium involvement in everyday running. A distinction that matters, because it means their engagement can't be left until further stages of the rollout simply because they are not embedded within the project team.</w:t>
      </w:r>
    </w:p>
    <w:p>
      <w:pPr>
        <w:pStyle w:val="Heading1"/>
        <w:spacing w:after="200" w:before="300" w:line="360" w:lineRule="auto"/>
      </w:pPr>
      <w:r>
        <w:rPr>
          <w:rFonts w:ascii="Arial" w:cs="Arial" w:eastAsia="Arial" w:hAnsi="Arial"/>
          <w:b/>
          <w:bCs/>
        </w:rPr>
        <w:t xml:space="preserve">Roles, Responsibilities, Benefits and Challenges</w:t>
      </w:r>
    </w:p>
    <w:p>
      <w:pPr>
        <w:spacing w:after="200" w:line="360" w:lineRule="auto"/>
        <w:jc w:val="both"/>
      </w:pPr>
      <w:r>
        <w:rPr>
          <w:rFonts w:ascii="Arial" w:cs="Arial" w:eastAsia="Arial" w:hAnsi="Arial"/>
          <w:sz w:val="22"/>
          <w:szCs w:val="22"/>
        </w:rPr>
        <w:t xml:space="preserve">Each stakeholder group listed above has distinct responsibilities within the ConnectPlus rollout, and each brings value to the project.</w:t>
      </w:r>
    </w:p>
    <w:p>
      <w:pPr>
        <w:spacing w:after="200" w:line="360" w:lineRule="auto"/>
        <w:jc w:val="both"/>
      </w:pPr>
      <w:r>
        <w:rPr>
          <w:rFonts w:ascii="Arial" w:cs="Arial" w:eastAsia="Arial" w:hAnsi="Arial"/>
          <w:sz w:val="22"/>
          <w:szCs w:val="22"/>
        </w:rPr>
        <w:t xml:space="preserve">The Board and senior leadership are responsible for approving the budget, setting the strategic tone, whilst holding the project accountable to its return on investment (ROI) against the £480 million digital transformation. Their benefit to the project is authority. No major movements can happen without their say so. Their most significant challenge is distance. Senior leaders are rarely on the ground close to day to day delivery, so there is a risk that decisions get made on incomplete or delayed information unless reporting is structured carefully.</w:t>
      </w:r>
    </w:p>
    <w:p>
      <w:pPr>
        <w:spacing w:after="200" w:line="360" w:lineRule="auto"/>
        <w:jc w:val="both"/>
      </w:pPr>
      <w:r>
        <w:rPr>
          <w:rFonts w:ascii="Arial" w:cs="Arial" w:eastAsia="Arial" w:hAnsi="Arial"/>
          <w:sz w:val="22"/>
          <w:szCs w:val="22"/>
        </w:rPr>
        <w:t xml:space="preserve">The digital and IT team carry technical responsibility for building the project, testing and maintaining the AI infrastructure that powers ConnectPlus. Their expertise is the project's core asset, however this same specialism can become a challenge if the team communicates in technical terms that other stakeholders, particularly staff or franchise partners, do not fully understand. Manager power here is expert power (French and Raven, 1959), meaning this team's influence comes from what they know rather than their formal position.</w:t>
      </w:r>
    </w:p>
    <w:p>
      <w:pPr>
        <w:spacing w:after="200" w:line="360" w:lineRule="auto"/>
        <w:jc w:val="both"/>
      </w:pPr>
      <w:r>
        <w:rPr>
          <w:rFonts w:ascii="Arial" w:cs="Arial" w:eastAsia="Arial" w:hAnsi="Arial"/>
          <w:sz w:val="22"/>
          <w:szCs w:val="22"/>
        </w:rPr>
        <w:t xml:space="preserve">Marketing and brand teams are responsible for shaping customer facing messaging and ensuring ConnectPlus is positioned consistently with the existing Sparks brand. Their benefit is customer insight and communication skill. Their challenge is maintaining a consistent global message that customers can get behind, against the reality that customer expectations differ significantly between, for example, a UK Sparks member and a customer in a franchise market with a different retail culture and environment.</w:t>
      </w:r>
    </w:p>
    <w:p>
      <w:pPr>
        <w:spacing w:after="200" w:line="360" w:lineRule="auto"/>
        <w:jc w:val="both"/>
      </w:pPr>
      <w:r>
        <w:rPr>
          <w:rFonts w:ascii="Arial" w:cs="Arial" w:eastAsia="Arial" w:hAnsi="Arial"/>
          <w:sz w:val="22"/>
          <w:szCs w:val="22"/>
        </w:rPr>
        <w:t xml:space="preserve">Store and customer facing staff are responsible for supporting customers who use ConnectPlus in store and troubleshooting basic issues. Their value lies in direct customer relationships and frontline credibility, as customers often trust staff over higher ups. Their challenge is workload. A new platform rollout adds training and adjustment on top of existing responsibilities, which can be taxing, and if this is not managed with reputation and relationship power, that is, staff being brought in as partners rather than simply told what to do, resistance can build quickly (French and Raven, 1959).</w:t>
      </w:r>
    </w:p>
    <w:p>
      <w:pPr>
        <w:spacing w:after="200" w:line="360" w:lineRule="auto"/>
        <w:jc w:val="both"/>
      </w:pPr>
      <w:r>
        <w:rPr>
          <w:rFonts w:ascii="Arial" w:cs="Arial" w:eastAsia="Arial" w:hAnsi="Arial"/>
          <w:sz w:val="22"/>
          <w:szCs w:val="22"/>
        </w:rPr>
        <w:t xml:space="preserve">Franchise partners hold responsibility for adopting and operating ConnectPlus within their own markets, often alongside existing systems and local regulatory obligations. Their local market knowledge is a major benefit, since they understand customer behaviour and regulatory issues far better than UK head office can. Their challenge, discussed further in the next section, is that a franchise partner's commercial incentives and operational capacity may not align neatly with a UK driven six month rollout timeline, which could disrupt local operations.</w:t>
      </w:r>
    </w:p>
    <w:p>
      <w:pPr>
        <w:spacing w:after="200" w:line="360" w:lineRule="auto"/>
        <w:jc w:val="both"/>
      </w:pPr>
      <w:r>
        <w:rPr>
          <w:rFonts w:ascii="Arial" w:cs="Arial" w:eastAsia="Arial" w:hAnsi="Arial"/>
          <w:sz w:val="22"/>
          <w:szCs w:val="22"/>
        </w:rPr>
        <w:t xml:space="preserve">Customers, particularly the 15 million existing Sparks members, are not formally responsible for anything, but their adoption behaviour ultimately determines whether the platform succeeds commercially or fails. Their benefit is the data and engagement that makes ConnectPlus valuable in the first place. Their challenge is trust. Customers who feel their data is being used without clear benefit to them are likely to disengage rather than complain, which makes their resistance harder to detect early and could have major implications in the future.</w:t>
      </w:r>
    </w:p>
    <w:p>
      <w:pPr>
        <w:spacing w:after="200" w:line="360" w:lineRule="auto"/>
        <w:jc w:val="both"/>
      </w:pPr>
      <w:r>
        <w:rPr>
          <w:rFonts w:ascii="Arial" w:cs="Arial" w:eastAsia="Arial" w:hAnsi="Arial"/>
          <w:sz w:val="22"/>
          <w:szCs w:val="22"/>
        </w:rPr>
        <w:t xml:space="preserve">Regulators, including the ICO in the UK and equivalent bodies internationally, are responsible for ensuring ConnectPlus complies with data protection law, which is a must. Their benefit to the project is legitimacy and integrity. Working with regulators rather than around them protects the platform's long term credibility and customer loyalty. Their challenge is that requirements differ by market, which complicates a single global rollout timeline, a tension explored further below.</w:t>
      </w:r>
    </w:p>
    <w:p>
      <w:pPr>
        <w:pStyle w:val="Heading1"/>
        <w:spacing w:after="200" w:before="300" w:line="360" w:lineRule="auto"/>
      </w:pPr>
      <w:r>
        <w:rPr>
          <w:rFonts w:ascii="Arial" w:cs="Arial" w:eastAsia="Arial" w:hAnsi="Arial"/>
          <w:b/>
          <w:bCs/>
        </w:rPr>
        <w:t xml:space="preserve">Engagement Process and Conflict Management</w:t>
      </w:r>
    </w:p>
    <w:p>
      <w:pPr>
        <w:spacing w:after="200" w:line="360" w:lineRule="auto"/>
        <w:jc w:val="both"/>
      </w:pPr>
      <w:r>
        <w:rPr>
          <w:rFonts w:ascii="Arial" w:cs="Arial" w:eastAsia="Arial" w:hAnsi="Arial"/>
          <w:sz w:val="22"/>
          <w:szCs w:val="22"/>
        </w:rPr>
        <w:t xml:space="preserve">Effective stakeholder engagement for ConnectPlus needs the 4Cs model: communication, collaboration, consultation and commitment. Each stakeholder group identified earlier requires a different mix of these four elements, and getting that mix wrong is often what causes problems later in a project rather than any errors in the platform itself.</w:t>
      </w:r>
    </w:p>
    <w:p>
      <w:pPr>
        <w:pStyle w:val="Heading2"/>
        <w:spacing w:after="200" w:before="300" w:line="360" w:lineRule="auto"/>
      </w:pPr>
      <w:r>
        <w:rPr>
          <w:rFonts w:ascii="Arial" w:cs="Arial" w:eastAsia="Arial" w:hAnsi="Arial"/>
          <w:b/>
          <w:bCs/>
        </w:rPr>
        <w:t xml:space="preserve">Communication Plan</w:t>
      </w:r>
    </w:p>
    <w:p>
      <w:pPr>
        <w:spacing w:after="200" w:line="360" w:lineRule="auto"/>
        <w:jc w:val="both"/>
      </w:pPr>
      <w:r>
        <w:rPr>
          <w:rFonts w:ascii="Arial" w:cs="Arial" w:eastAsia="Arial" w:hAnsi="Arial"/>
          <w:sz w:val="22"/>
          <w:szCs w:val="22"/>
        </w:rPr>
        <w:t xml:space="preserve">A communication plan means each stakeholder receives information in the right format, at the right time, through the right channel.</w:t>
      </w:r>
    </w:p>
    <w:tbl>
      <w:tblPr>
        <w:tblW w:type="dxa" w:w="8900"/>
        <w:tblBorders>
          <w:top w:val="single" w:color="auto" w:sz="4"/>
          <w:left w:val="single" w:color="auto" w:sz="4"/>
          <w:bottom w:val="single" w:color="auto" w:sz="4"/>
          <w:right w:val="single" w:color="auto" w:sz="4"/>
          <w:insideH w:val="single" w:color="auto" w:sz="4"/>
          <w:insideV w:val="single" w:color="auto" w:sz="4"/>
        </w:tblBorders>
      </w:tblPr>
      <w:tblGrid>
        <w:gridCol w:w="2200"/>
        <w:gridCol w:w="2600"/>
        <w:gridCol w:w="2200"/>
        <w:gridCol w:w="1900"/>
      </w:tblGrid>
      <w:tr>
        <w:tc>
          <w:tcPr>
            <w:tcW w:type="dxa" w:w="2200"/>
            <w:shd w:fill="D9D9D9" w:val="clear"/>
          </w:tcPr>
          <w:p>
            <w:pPr>
              <w:spacing w:line="276" w:lineRule="auto"/>
            </w:pPr>
            <w:r>
              <w:rPr>
                <w:rFonts w:ascii="Arial" w:cs="Arial" w:eastAsia="Arial" w:hAnsi="Arial"/>
                <w:b/>
                <w:bCs/>
                <w:sz w:val="20"/>
                <w:szCs w:val="20"/>
              </w:rPr>
              <w:t xml:space="preserve">Stakeholder</w:t>
            </w:r>
          </w:p>
        </w:tc>
        <w:tc>
          <w:tcPr>
            <w:tcW w:type="dxa" w:w="2600"/>
            <w:shd w:fill="D9D9D9" w:val="clear"/>
          </w:tcPr>
          <w:p>
            <w:pPr>
              <w:spacing w:line="276" w:lineRule="auto"/>
            </w:pPr>
            <w:r>
              <w:rPr>
                <w:rFonts w:ascii="Arial" w:cs="Arial" w:eastAsia="Arial" w:hAnsi="Arial"/>
                <w:b/>
                <w:bCs/>
                <w:sz w:val="20"/>
                <w:szCs w:val="20"/>
              </w:rPr>
              <w:t xml:space="preserve">Method</w:t>
            </w:r>
          </w:p>
        </w:tc>
        <w:tc>
          <w:tcPr>
            <w:tcW w:type="dxa" w:w="2200"/>
            <w:shd w:fill="D9D9D9" w:val="clear"/>
          </w:tcPr>
          <w:p>
            <w:pPr>
              <w:spacing w:line="276" w:lineRule="auto"/>
            </w:pPr>
            <w:r>
              <w:rPr>
                <w:rFonts w:ascii="Arial" w:cs="Arial" w:eastAsia="Arial" w:hAnsi="Arial"/>
                <w:b/>
                <w:bCs/>
                <w:sz w:val="20"/>
                <w:szCs w:val="20"/>
              </w:rPr>
              <w:t xml:space="preserve">Frequency</w:t>
            </w:r>
          </w:p>
        </w:tc>
        <w:tc>
          <w:tcPr>
            <w:tcW w:type="dxa" w:w="1900"/>
            <w:shd w:fill="D9D9D9" w:val="clear"/>
          </w:tcPr>
          <w:p>
            <w:pPr>
              <w:spacing w:line="276" w:lineRule="auto"/>
            </w:pPr>
            <w:r>
              <w:rPr>
                <w:rFonts w:ascii="Arial" w:cs="Arial" w:eastAsia="Arial" w:hAnsi="Arial"/>
                <w:b/>
                <w:bCs/>
                <w:sz w:val="20"/>
                <w:szCs w:val="20"/>
              </w:rPr>
              <w:t xml:space="preserve">Owner</w:t>
            </w:r>
          </w:p>
        </w:tc>
      </w:tr>
      <w:tr>
        <w:tc>
          <w:tcPr>
            <w:tcW w:type="dxa" w:w="2200"/>
          </w:tcPr>
          <w:p>
            <w:pPr>
              <w:spacing w:line="276" w:lineRule="auto"/>
            </w:pPr>
            <w:r>
              <w:rPr>
                <w:rFonts w:ascii="Arial" w:cs="Arial" w:eastAsia="Arial" w:hAnsi="Arial"/>
                <w:sz w:val="20"/>
                <w:szCs w:val="20"/>
              </w:rPr>
              <w:t xml:space="preserve">Board/Senior Leadership</w:t>
            </w:r>
          </w:p>
        </w:tc>
        <w:tc>
          <w:tcPr>
            <w:tcW w:type="dxa" w:w="2600"/>
          </w:tcPr>
          <w:p>
            <w:pPr>
              <w:spacing w:line="276" w:lineRule="auto"/>
            </w:pPr>
            <w:r>
              <w:rPr>
                <w:rFonts w:ascii="Arial" w:cs="Arial" w:eastAsia="Arial" w:hAnsi="Arial"/>
                <w:sz w:val="20"/>
                <w:szCs w:val="20"/>
              </w:rPr>
              <w:t xml:space="preserve">Formal written report</w:t>
            </w:r>
          </w:p>
        </w:tc>
        <w:tc>
          <w:tcPr>
            <w:tcW w:type="dxa" w:w="2200"/>
          </w:tcPr>
          <w:p>
            <w:pPr>
              <w:spacing w:line="276" w:lineRule="auto"/>
            </w:pPr>
            <w:r>
              <w:rPr>
                <w:rFonts w:ascii="Arial" w:cs="Arial" w:eastAsia="Arial" w:hAnsi="Arial"/>
                <w:sz w:val="20"/>
                <w:szCs w:val="20"/>
              </w:rPr>
              <w:t xml:space="preserve">Monthly</w:t>
            </w:r>
          </w:p>
        </w:tc>
        <w:tc>
          <w:tcPr>
            <w:tcW w:type="dxa" w:w="1900"/>
          </w:tcPr>
          <w:p>
            <w:pPr>
              <w:spacing w:line="276" w:lineRule="auto"/>
            </w:pPr>
            <w:r>
              <w:rPr>
                <w:rFonts w:ascii="Arial" w:cs="Arial" w:eastAsia="Arial" w:hAnsi="Arial"/>
                <w:sz w:val="20"/>
                <w:szCs w:val="20"/>
              </w:rPr>
              <w:t xml:space="preserve">Project Manager</w:t>
            </w:r>
          </w:p>
        </w:tc>
      </w:tr>
      <w:tr>
        <w:tc>
          <w:tcPr>
            <w:tcW w:type="dxa" w:w="2200"/>
          </w:tcPr>
          <w:p>
            <w:pPr>
              <w:spacing w:line="276" w:lineRule="auto"/>
            </w:pPr>
            <w:r>
              <w:rPr>
                <w:rFonts w:ascii="Arial" w:cs="Arial" w:eastAsia="Arial" w:hAnsi="Arial"/>
                <w:sz w:val="20"/>
                <w:szCs w:val="20"/>
              </w:rPr>
              <w:t xml:space="preserve">Digital/IT Team</w:t>
            </w:r>
          </w:p>
        </w:tc>
        <w:tc>
          <w:tcPr>
            <w:tcW w:type="dxa" w:w="2600"/>
          </w:tcPr>
          <w:p>
            <w:pPr>
              <w:spacing w:line="276" w:lineRule="auto"/>
            </w:pPr>
            <w:r>
              <w:rPr>
                <w:rFonts w:ascii="Arial" w:cs="Arial" w:eastAsia="Arial" w:hAnsi="Arial"/>
                <w:sz w:val="20"/>
                <w:szCs w:val="20"/>
              </w:rPr>
              <w:t xml:space="preserve">Stand up meetings</w:t>
            </w:r>
          </w:p>
        </w:tc>
        <w:tc>
          <w:tcPr>
            <w:tcW w:type="dxa" w:w="2200"/>
          </w:tcPr>
          <w:p>
            <w:pPr>
              <w:spacing w:line="276" w:lineRule="auto"/>
            </w:pPr>
            <w:r>
              <w:rPr>
                <w:rFonts w:ascii="Arial" w:cs="Arial" w:eastAsia="Arial" w:hAnsi="Arial"/>
                <w:sz w:val="20"/>
                <w:szCs w:val="20"/>
              </w:rPr>
              <w:t xml:space="preserve">Weekly</w:t>
            </w:r>
          </w:p>
        </w:tc>
        <w:tc>
          <w:tcPr>
            <w:tcW w:type="dxa" w:w="1900"/>
          </w:tcPr>
          <w:p>
            <w:pPr>
              <w:spacing w:line="276" w:lineRule="auto"/>
            </w:pPr>
            <w:r>
              <w:rPr>
                <w:rFonts w:ascii="Arial" w:cs="Arial" w:eastAsia="Arial" w:hAnsi="Arial"/>
                <w:sz w:val="20"/>
                <w:szCs w:val="20"/>
              </w:rPr>
              <w:t xml:space="preserve">IT Lead</w:t>
            </w:r>
          </w:p>
        </w:tc>
      </w:tr>
      <w:tr>
        <w:tc>
          <w:tcPr>
            <w:tcW w:type="dxa" w:w="2200"/>
          </w:tcPr>
          <w:p>
            <w:pPr>
              <w:spacing w:line="276" w:lineRule="auto"/>
            </w:pPr>
            <w:r>
              <w:rPr>
                <w:rFonts w:ascii="Arial" w:cs="Arial" w:eastAsia="Arial" w:hAnsi="Arial"/>
                <w:sz w:val="20"/>
                <w:szCs w:val="20"/>
              </w:rPr>
              <w:t xml:space="preserve">Marketing Team</w:t>
            </w:r>
          </w:p>
        </w:tc>
        <w:tc>
          <w:tcPr>
            <w:tcW w:type="dxa" w:w="2600"/>
          </w:tcPr>
          <w:p>
            <w:pPr>
              <w:spacing w:line="276" w:lineRule="auto"/>
            </w:pPr>
            <w:r>
              <w:rPr>
                <w:rFonts w:ascii="Arial" w:cs="Arial" w:eastAsia="Arial" w:hAnsi="Arial"/>
                <w:sz w:val="20"/>
                <w:szCs w:val="20"/>
              </w:rPr>
              <w:t xml:space="preserve">Workshops</w:t>
            </w:r>
          </w:p>
        </w:tc>
        <w:tc>
          <w:tcPr>
            <w:tcW w:type="dxa" w:w="2200"/>
          </w:tcPr>
          <w:p>
            <w:pPr>
              <w:spacing w:line="276" w:lineRule="auto"/>
            </w:pPr>
            <w:r>
              <w:rPr>
                <w:rFonts w:ascii="Arial" w:cs="Arial" w:eastAsia="Arial" w:hAnsi="Arial"/>
                <w:sz w:val="20"/>
                <w:szCs w:val="20"/>
              </w:rPr>
              <w:t xml:space="preserve">Bi-weekly</w:t>
            </w:r>
          </w:p>
        </w:tc>
        <w:tc>
          <w:tcPr>
            <w:tcW w:type="dxa" w:w="1900"/>
          </w:tcPr>
          <w:p>
            <w:pPr>
              <w:spacing w:line="276" w:lineRule="auto"/>
            </w:pPr>
            <w:r>
              <w:rPr>
                <w:rFonts w:ascii="Arial" w:cs="Arial" w:eastAsia="Arial" w:hAnsi="Arial"/>
                <w:sz w:val="20"/>
                <w:szCs w:val="20"/>
              </w:rPr>
              <w:t xml:space="preserve">Marketing Lead</w:t>
            </w:r>
          </w:p>
        </w:tc>
      </w:tr>
      <w:tr>
        <w:tc>
          <w:tcPr>
            <w:tcW w:type="dxa" w:w="2200"/>
          </w:tcPr>
          <w:p>
            <w:pPr>
              <w:spacing w:line="276" w:lineRule="auto"/>
            </w:pPr>
            <w:r>
              <w:rPr>
                <w:rFonts w:ascii="Arial" w:cs="Arial" w:eastAsia="Arial" w:hAnsi="Arial"/>
                <w:sz w:val="20"/>
                <w:szCs w:val="20"/>
              </w:rPr>
              <w:t xml:space="preserve">Store Staff</w:t>
            </w:r>
          </w:p>
        </w:tc>
        <w:tc>
          <w:tcPr>
            <w:tcW w:type="dxa" w:w="2600"/>
          </w:tcPr>
          <w:p>
            <w:pPr>
              <w:spacing w:line="276" w:lineRule="auto"/>
            </w:pPr>
            <w:r>
              <w:rPr>
                <w:rFonts w:ascii="Arial" w:cs="Arial" w:eastAsia="Arial" w:hAnsi="Arial"/>
                <w:sz w:val="20"/>
                <w:szCs w:val="20"/>
              </w:rPr>
              <w:t xml:space="preserve">Training sessions, email updates</w:t>
            </w:r>
          </w:p>
        </w:tc>
        <w:tc>
          <w:tcPr>
            <w:tcW w:type="dxa" w:w="2200"/>
          </w:tcPr>
          <w:p>
            <w:pPr>
              <w:spacing w:line="276" w:lineRule="auto"/>
            </w:pPr>
            <w:r>
              <w:rPr>
                <w:rFonts w:ascii="Arial" w:cs="Arial" w:eastAsia="Arial" w:hAnsi="Arial"/>
                <w:sz w:val="20"/>
                <w:szCs w:val="20"/>
              </w:rPr>
              <w:t xml:space="preserve">Monthly</w:t>
            </w:r>
          </w:p>
        </w:tc>
        <w:tc>
          <w:tcPr>
            <w:tcW w:type="dxa" w:w="1900"/>
          </w:tcPr>
          <w:p>
            <w:pPr>
              <w:spacing w:line="276" w:lineRule="auto"/>
            </w:pPr>
            <w:r>
              <w:rPr>
                <w:rFonts w:ascii="Arial" w:cs="Arial" w:eastAsia="Arial" w:hAnsi="Arial"/>
                <w:sz w:val="20"/>
                <w:szCs w:val="20"/>
              </w:rPr>
              <w:t xml:space="preserve">HR/Store Managers</w:t>
            </w:r>
          </w:p>
        </w:tc>
      </w:tr>
      <w:tr>
        <w:tc>
          <w:tcPr>
            <w:tcW w:type="dxa" w:w="2200"/>
          </w:tcPr>
          <w:p>
            <w:pPr>
              <w:spacing w:line="276" w:lineRule="auto"/>
            </w:pPr>
            <w:r>
              <w:rPr>
                <w:rFonts w:ascii="Arial" w:cs="Arial" w:eastAsia="Arial" w:hAnsi="Arial"/>
                <w:sz w:val="20"/>
                <w:szCs w:val="20"/>
              </w:rPr>
              <w:t xml:space="preserve">Franchise Partners</w:t>
            </w:r>
          </w:p>
        </w:tc>
        <w:tc>
          <w:tcPr>
            <w:tcW w:type="dxa" w:w="2600"/>
          </w:tcPr>
          <w:p>
            <w:pPr>
              <w:spacing w:line="276" w:lineRule="auto"/>
            </w:pPr>
            <w:r>
              <w:rPr>
                <w:rFonts w:ascii="Arial" w:cs="Arial" w:eastAsia="Arial" w:hAnsi="Arial"/>
                <w:sz w:val="20"/>
                <w:szCs w:val="20"/>
              </w:rPr>
              <w:t xml:space="preserve">Video conference, formal briefing</w:t>
            </w:r>
          </w:p>
        </w:tc>
        <w:tc>
          <w:tcPr>
            <w:tcW w:type="dxa" w:w="2200"/>
          </w:tcPr>
          <w:p>
            <w:pPr>
              <w:spacing w:line="276" w:lineRule="auto"/>
            </w:pPr>
            <w:r>
              <w:rPr>
                <w:rFonts w:ascii="Arial" w:cs="Arial" w:eastAsia="Arial" w:hAnsi="Arial"/>
                <w:sz w:val="20"/>
                <w:szCs w:val="20"/>
              </w:rPr>
              <w:t xml:space="preserve">Bi-weekly</w:t>
            </w:r>
          </w:p>
        </w:tc>
        <w:tc>
          <w:tcPr>
            <w:tcW w:type="dxa" w:w="1900"/>
          </w:tcPr>
          <w:p>
            <w:pPr>
              <w:spacing w:line="276" w:lineRule="auto"/>
            </w:pPr>
            <w:r>
              <w:rPr>
                <w:rFonts w:ascii="Arial" w:cs="Arial" w:eastAsia="Arial" w:hAnsi="Arial"/>
                <w:sz w:val="20"/>
                <w:szCs w:val="20"/>
              </w:rPr>
              <w:t xml:space="preserve">Project Manager</w:t>
            </w:r>
          </w:p>
        </w:tc>
      </w:tr>
      <w:tr>
        <w:tc>
          <w:tcPr>
            <w:tcW w:type="dxa" w:w="2200"/>
          </w:tcPr>
          <w:p>
            <w:pPr>
              <w:spacing w:line="276" w:lineRule="auto"/>
            </w:pPr>
            <w:r>
              <w:rPr>
                <w:rFonts w:ascii="Arial" w:cs="Arial" w:eastAsia="Arial" w:hAnsi="Arial"/>
                <w:sz w:val="20"/>
                <w:szCs w:val="20"/>
              </w:rPr>
              <w:t xml:space="preserve">Customers</w:t>
            </w:r>
          </w:p>
        </w:tc>
        <w:tc>
          <w:tcPr>
            <w:tcW w:type="dxa" w:w="2600"/>
          </w:tcPr>
          <w:p>
            <w:pPr>
              <w:spacing w:line="276" w:lineRule="auto"/>
            </w:pPr>
            <w:r>
              <w:rPr>
                <w:rFonts w:ascii="Arial" w:cs="Arial" w:eastAsia="Arial" w:hAnsi="Arial"/>
                <w:sz w:val="20"/>
                <w:szCs w:val="20"/>
              </w:rPr>
              <w:t xml:space="preserve">App notifications, email</w:t>
            </w:r>
          </w:p>
        </w:tc>
        <w:tc>
          <w:tcPr>
            <w:tcW w:type="dxa" w:w="2200"/>
          </w:tcPr>
          <w:p>
            <w:pPr>
              <w:spacing w:line="276" w:lineRule="auto"/>
            </w:pPr>
            <w:r>
              <w:rPr>
                <w:rFonts w:ascii="Arial" w:cs="Arial" w:eastAsia="Arial" w:hAnsi="Arial"/>
                <w:sz w:val="20"/>
                <w:szCs w:val="20"/>
              </w:rPr>
              <w:t xml:space="preserve">As features launch</w:t>
            </w:r>
          </w:p>
        </w:tc>
        <w:tc>
          <w:tcPr>
            <w:tcW w:type="dxa" w:w="1900"/>
          </w:tcPr>
          <w:p>
            <w:pPr>
              <w:spacing w:line="276" w:lineRule="auto"/>
            </w:pPr>
            <w:r>
              <w:rPr>
                <w:rFonts w:ascii="Arial" w:cs="Arial" w:eastAsia="Arial" w:hAnsi="Arial"/>
                <w:sz w:val="20"/>
                <w:szCs w:val="20"/>
              </w:rPr>
              <w:t xml:space="preserve">Marketing Team</w:t>
            </w:r>
          </w:p>
        </w:tc>
      </w:tr>
      <w:tr>
        <w:tc>
          <w:tcPr>
            <w:tcW w:type="dxa" w:w="2200"/>
          </w:tcPr>
          <w:p>
            <w:pPr>
              <w:spacing w:line="276" w:lineRule="auto"/>
            </w:pPr>
            <w:r>
              <w:rPr>
                <w:rFonts w:ascii="Arial" w:cs="Arial" w:eastAsia="Arial" w:hAnsi="Arial"/>
                <w:sz w:val="20"/>
                <w:szCs w:val="20"/>
              </w:rPr>
              <w:t xml:space="preserve">Regulators</w:t>
            </w:r>
          </w:p>
        </w:tc>
        <w:tc>
          <w:tcPr>
            <w:tcW w:type="dxa" w:w="2600"/>
          </w:tcPr>
          <w:p>
            <w:pPr>
              <w:spacing w:line="276" w:lineRule="auto"/>
            </w:pPr>
            <w:r>
              <w:rPr>
                <w:rFonts w:ascii="Arial" w:cs="Arial" w:eastAsia="Arial" w:hAnsi="Arial"/>
                <w:sz w:val="20"/>
                <w:szCs w:val="20"/>
              </w:rPr>
              <w:t xml:space="preserve">Formal compliance reporting</w:t>
            </w:r>
          </w:p>
        </w:tc>
        <w:tc>
          <w:tcPr>
            <w:tcW w:type="dxa" w:w="2200"/>
          </w:tcPr>
          <w:p>
            <w:pPr>
              <w:spacing w:line="276" w:lineRule="auto"/>
            </w:pPr>
            <w:r>
              <w:rPr>
                <w:rFonts w:ascii="Arial" w:cs="Arial" w:eastAsia="Arial" w:hAnsi="Arial"/>
                <w:sz w:val="20"/>
                <w:szCs w:val="20"/>
              </w:rPr>
              <w:t xml:space="preserve">Per market requirement</w:t>
            </w:r>
          </w:p>
        </w:tc>
        <w:tc>
          <w:tcPr>
            <w:tcW w:type="dxa" w:w="1900"/>
          </w:tcPr>
          <w:p>
            <w:pPr>
              <w:spacing w:line="276" w:lineRule="auto"/>
            </w:pPr>
            <w:r>
              <w:rPr>
                <w:rFonts w:ascii="Arial" w:cs="Arial" w:eastAsia="Arial" w:hAnsi="Arial"/>
                <w:sz w:val="20"/>
                <w:szCs w:val="20"/>
              </w:rPr>
              <w:t xml:space="preserve">Legal/Compliance</w:t>
            </w:r>
          </w:p>
        </w:tc>
      </w:tr>
      <w:tr>
        <w:tc>
          <w:tcPr>
            <w:tcW w:type="dxa" w:w="2200"/>
          </w:tcPr>
          <w:p>
            <w:pPr>
              <w:spacing w:line="276" w:lineRule="auto"/>
            </w:pPr>
            <w:r>
              <w:rPr>
                <w:rFonts w:ascii="Arial" w:cs="Arial" w:eastAsia="Arial" w:hAnsi="Arial"/>
                <w:sz w:val="20"/>
                <w:szCs w:val="20"/>
              </w:rPr>
              <w:t xml:space="preserve">Investors</w:t>
            </w:r>
          </w:p>
        </w:tc>
        <w:tc>
          <w:tcPr>
            <w:tcW w:type="dxa" w:w="2600"/>
          </w:tcPr>
          <w:p>
            <w:pPr>
              <w:spacing w:line="276" w:lineRule="auto"/>
            </w:pPr>
            <w:r>
              <w:rPr>
                <w:rFonts w:ascii="Arial" w:cs="Arial" w:eastAsia="Arial" w:hAnsi="Arial"/>
                <w:sz w:val="20"/>
                <w:szCs w:val="20"/>
              </w:rPr>
              <w:t xml:space="preserve">Board report summary</w:t>
            </w:r>
          </w:p>
        </w:tc>
        <w:tc>
          <w:tcPr>
            <w:tcW w:type="dxa" w:w="2200"/>
          </w:tcPr>
          <w:p>
            <w:pPr>
              <w:spacing w:line="276" w:lineRule="auto"/>
            </w:pPr>
            <w:r>
              <w:rPr>
                <w:rFonts w:ascii="Arial" w:cs="Arial" w:eastAsia="Arial" w:hAnsi="Arial"/>
                <w:sz w:val="20"/>
                <w:szCs w:val="20"/>
              </w:rPr>
              <w:t xml:space="preserve">Quarterly</w:t>
            </w:r>
          </w:p>
        </w:tc>
        <w:tc>
          <w:tcPr>
            <w:tcW w:type="dxa" w:w="1900"/>
          </w:tcPr>
          <w:p>
            <w:pPr>
              <w:spacing w:line="276" w:lineRule="auto"/>
            </w:pPr>
            <w:r>
              <w:rPr>
                <w:rFonts w:ascii="Arial" w:cs="Arial" w:eastAsia="Arial" w:hAnsi="Arial"/>
                <w:sz w:val="20"/>
                <w:szCs w:val="20"/>
              </w:rPr>
              <w:t xml:space="preserve">Senior Leadership</w:t>
            </w:r>
          </w:p>
        </w:tc>
      </w:tr>
    </w:tbl>
    <w:p>
      <w:pPr>
        <w:spacing w:after="200" w:line="360" w:lineRule="auto"/>
        <w:jc w:val="both"/>
      </w:pPr>
      <w:r>
        <w:rPr>
          <w:rFonts w:ascii="Arial" w:cs="Arial" w:eastAsia="Arial" w:hAnsi="Arial"/>
          <w:sz w:val="22"/>
          <w:szCs w:val="22"/>
        </w:rPr>
        <w:t xml:space="preserve"/>
      </w:r>
    </w:p>
    <w:p>
      <w:pPr>
        <w:pStyle w:val="Heading2"/>
        <w:spacing w:after="200" w:before="300" w:line="360" w:lineRule="auto"/>
      </w:pPr>
      <w:r>
        <w:rPr>
          <w:rFonts w:ascii="Arial" w:cs="Arial" w:eastAsia="Arial" w:hAnsi="Arial"/>
          <w:b/>
          <w:bCs/>
        </w:rPr>
        <w:t xml:space="preserve">Level of Engagement</w:t>
      </w:r>
    </w:p>
    <w:p>
      <w:pPr>
        <w:spacing w:after="200" w:line="360" w:lineRule="auto"/>
        <w:jc w:val="both"/>
      </w:pPr>
      <w:r>
        <w:rPr>
          <w:rFonts w:ascii="Arial" w:cs="Arial" w:eastAsia="Arial" w:hAnsi="Arial"/>
          <w:sz w:val="22"/>
          <w:szCs w:val="22"/>
        </w:rPr>
        <w:t xml:space="preserve">Every stakeholder's current level of engagement can be tested against a desired level, ranging from Unaware to Resistant, Neutral, Supportive, and Leading. Franchise partners, for example, may currently sit at Neutral, given limited visibility of the rollout so far, but need to reach Supportive or Leading before their market's launch date. Store staff may start pushing back, given natural concerns about a new system changing daily work routines, and need active movement toward Supportive through more training and involvement rather than instruction alone. Mapping current versus desired state this way makes it possible to prioritise engagement effort where the gap is the most vast, rather than spreading resource evenly across every stakeholder.</w:t>
      </w:r>
    </w:p>
    <w:p>
      <w:pPr>
        <w:pStyle w:val="Heading2"/>
        <w:spacing w:after="200" w:before="300" w:line="360" w:lineRule="auto"/>
      </w:pPr>
      <w:r>
        <w:rPr>
          <w:rFonts w:ascii="Arial" w:cs="Arial" w:eastAsia="Arial" w:hAnsi="Arial"/>
          <w:b/>
          <w:bCs/>
        </w:rPr>
        <w:t xml:space="preserve">RACI Matrix</w:t>
      </w:r>
    </w:p>
    <w:tbl>
      <w:tblPr>
        <w:tblW w:type="dxa" w:w="9800"/>
        <w:tblBorders>
          <w:top w:val="single" w:color="auto" w:sz="4"/>
          <w:left w:val="single" w:color="auto" w:sz="4"/>
          <w:bottom w:val="single" w:color="auto" w:sz="4"/>
          <w:right w:val="single" w:color="auto" w:sz="4"/>
          <w:insideH w:val="single" w:color="auto" w:sz="4"/>
          <w:insideV w:val="single" w:color="auto" w:sz="4"/>
        </w:tblBorders>
      </w:tblPr>
      <w:tblGrid>
        <w:gridCol w:w="2400"/>
        <w:gridCol w:w="1300"/>
        <w:gridCol w:w="1300"/>
        <w:gridCol w:w="1400"/>
        <w:gridCol w:w="1500"/>
        <w:gridCol w:w="1900"/>
      </w:tblGrid>
      <w:tr>
        <w:tc>
          <w:tcPr>
            <w:tcW w:type="dxa" w:w="2400"/>
            <w:shd w:fill="D9D9D9" w:val="clear"/>
          </w:tcPr>
          <w:p>
            <w:pPr>
              <w:spacing w:line="276" w:lineRule="auto"/>
            </w:pPr>
            <w:r>
              <w:rPr>
                <w:rFonts w:ascii="Arial" w:cs="Arial" w:eastAsia="Arial" w:hAnsi="Arial"/>
                <w:b/>
                <w:bCs/>
                <w:sz w:val="20"/>
                <w:szCs w:val="20"/>
              </w:rPr>
              <w:t xml:space="preserve">Task</w:t>
            </w:r>
          </w:p>
        </w:tc>
        <w:tc>
          <w:tcPr>
            <w:tcW w:type="dxa" w:w="1300"/>
            <w:shd w:fill="D9D9D9" w:val="clear"/>
          </w:tcPr>
          <w:p>
            <w:pPr>
              <w:spacing w:line="276" w:lineRule="auto"/>
            </w:pPr>
            <w:r>
              <w:rPr>
                <w:rFonts w:ascii="Arial" w:cs="Arial" w:eastAsia="Arial" w:hAnsi="Arial"/>
                <w:b/>
                <w:bCs/>
                <w:sz w:val="20"/>
                <w:szCs w:val="20"/>
              </w:rPr>
              <w:t xml:space="preserve">Board</w:t>
            </w:r>
          </w:p>
        </w:tc>
        <w:tc>
          <w:tcPr>
            <w:tcW w:type="dxa" w:w="1300"/>
            <w:shd w:fill="D9D9D9" w:val="clear"/>
          </w:tcPr>
          <w:p>
            <w:pPr>
              <w:spacing w:line="276" w:lineRule="auto"/>
            </w:pPr>
            <w:r>
              <w:rPr>
                <w:rFonts w:ascii="Arial" w:cs="Arial" w:eastAsia="Arial" w:hAnsi="Arial"/>
                <w:b/>
                <w:bCs/>
                <w:sz w:val="20"/>
                <w:szCs w:val="20"/>
              </w:rPr>
              <w:t xml:space="preserve">PM</w:t>
            </w:r>
          </w:p>
        </w:tc>
        <w:tc>
          <w:tcPr>
            <w:tcW w:type="dxa" w:w="1400"/>
            <w:shd w:fill="D9D9D9" w:val="clear"/>
          </w:tcPr>
          <w:p>
            <w:pPr>
              <w:spacing w:line="276" w:lineRule="auto"/>
            </w:pPr>
            <w:r>
              <w:rPr>
                <w:rFonts w:ascii="Arial" w:cs="Arial" w:eastAsia="Arial" w:hAnsi="Arial"/>
                <w:b/>
                <w:bCs/>
                <w:sz w:val="20"/>
                <w:szCs w:val="20"/>
              </w:rPr>
              <w:t xml:space="preserve">IT Team</w:t>
            </w:r>
          </w:p>
        </w:tc>
        <w:tc>
          <w:tcPr>
            <w:tcW w:type="dxa" w:w="1500"/>
            <w:shd w:fill="D9D9D9" w:val="clear"/>
          </w:tcPr>
          <w:p>
            <w:pPr>
              <w:spacing w:line="276" w:lineRule="auto"/>
            </w:pPr>
            <w:r>
              <w:rPr>
                <w:rFonts w:ascii="Arial" w:cs="Arial" w:eastAsia="Arial" w:hAnsi="Arial"/>
                <w:b/>
                <w:bCs/>
                <w:sz w:val="20"/>
                <w:szCs w:val="20"/>
              </w:rPr>
              <w:t xml:space="preserve">Marketing</w:t>
            </w:r>
          </w:p>
        </w:tc>
        <w:tc>
          <w:tcPr>
            <w:tcW w:type="dxa" w:w="1900"/>
            <w:shd w:fill="D9D9D9" w:val="clear"/>
          </w:tcPr>
          <w:p>
            <w:pPr>
              <w:spacing w:line="276" w:lineRule="auto"/>
            </w:pPr>
            <w:r>
              <w:rPr>
                <w:rFonts w:ascii="Arial" w:cs="Arial" w:eastAsia="Arial" w:hAnsi="Arial"/>
                <w:b/>
                <w:bCs/>
                <w:sz w:val="20"/>
                <w:szCs w:val="20"/>
              </w:rPr>
              <w:t xml:space="preserve">Franchise Partners</w:t>
            </w:r>
          </w:p>
        </w:tc>
      </w:tr>
      <w:tr>
        <w:tc>
          <w:tcPr>
            <w:tcW w:type="dxa" w:w="2400"/>
          </w:tcPr>
          <w:p>
            <w:pPr>
              <w:spacing w:line="276" w:lineRule="auto"/>
            </w:pPr>
            <w:r>
              <w:rPr>
                <w:rFonts w:ascii="Arial" w:cs="Arial" w:eastAsia="Arial" w:hAnsi="Arial"/>
                <w:sz w:val="20"/>
                <w:szCs w:val="20"/>
              </w:rPr>
              <w:t xml:space="preserve">Approve budget</w:t>
            </w:r>
          </w:p>
        </w:tc>
        <w:tc>
          <w:tcPr>
            <w:tcW w:type="dxa" w:w="1300"/>
          </w:tcPr>
          <w:p>
            <w:pPr>
              <w:spacing w:line="276" w:lineRule="auto"/>
            </w:pPr>
            <w:r>
              <w:rPr>
                <w:rFonts w:ascii="Arial" w:cs="Arial" w:eastAsia="Arial" w:hAnsi="Arial"/>
                <w:sz w:val="20"/>
                <w:szCs w:val="20"/>
              </w:rPr>
              <w:t xml:space="preserve">A</w:t>
            </w:r>
          </w:p>
        </w:tc>
        <w:tc>
          <w:tcPr>
            <w:tcW w:type="dxa" w:w="1300"/>
          </w:tcPr>
          <w:p>
            <w:pPr>
              <w:spacing w:line="276" w:lineRule="auto"/>
            </w:pPr>
            <w:r>
              <w:rPr>
                <w:rFonts w:ascii="Arial" w:cs="Arial" w:eastAsia="Arial" w:hAnsi="Arial"/>
                <w:sz w:val="20"/>
                <w:szCs w:val="20"/>
              </w:rPr>
              <w:t xml:space="preserve">R</w:t>
            </w:r>
          </w:p>
        </w:tc>
        <w:tc>
          <w:tcPr>
            <w:tcW w:type="dxa" w:w="1400"/>
          </w:tcPr>
          <w:p>
            <w:pPr>
              <w:spacing w:line="276" w:lineRule="auto"/>
            </w:pPr>
            <w:r>
              <w:rPr>
                <w:rFonts w:ascii="Arial" w:cs="Arial" w:eastAsia="Arial" w:hAnsi="Arial"/>
                <w:sz w:val="20"/>
                <w:szCs w:val="20"/>
              </w:rPr>
              <w:t xml:space="preserve">C</w:t>
            </w:r>
          </w:p>
        </w:tc>
        <w:tc>
          <w:tcPr>
            <w:tcW w:type="dxa" w:w="1500"/>
          </w:tcPr>
          <w:p>
            <w:pPr>
              <w:spacing w:line="276" w:lineRule="auto"/>
            </w:pPr>
            <w:r>
              <w:rPr>
                <w:rFonts w:ascii="Arial" w:cs="Arial" w:eastAsia="Arial" w:hAnsi="Arial"/>
                <w:sz w:val="20"/>
                <w:szCs w:val="20"/>
              </w:rPr>
              <w:t xml:space="preserve">I</w:t>
            </w:r>
          </w:p>
        </w:tc>
        <w:tc>
          <w:tcPr>
            <w:tcW w:type="dxa" w:w="1900"/>
          </w:tcPr>
          <w:p>
            <w:pPr>
              <w:spacing w:line="276" w:lineRule="auto"/>
            </w:pPr>
            <w:r>
              <w:rPr>
                <w:rFonts w:ascii="Arial" w:cs="Arial" w:eastAsia="Arial" w:hAnsi="Arial"/>
                <w:sz w:val="20"/>
                <w:szCs w:val="20"/>
              </w:rPr>
              <w:t xml:space="preserve">I</w:t>
            </w:r>
          </w:p>
        </w:tc>
      </w:tr>
      <w:tr>
        <w:tc>
          <w:tcPr>
            <w:tcW w:type="dxa" w:w="2400"/>
          </w:tcPr>
          <w:p>
            <w:pPr>
              <w:spacing w:line="276" w:lineRule="auto"/>
            </w:pPr>
            <w:r>
              <w:rPr>
                <w:rFonts w:ascii="Arial" w:cs="Arial" w:eastAsia="Arial" w:hAnsi="Arial"/>
                <w:sz w:val="20"/>
                <w:szCs w:val="20"/>
              </w:rPr>
              <w:t xml:space="preserve">Platform development</w:t>
            </w:r>
          </w:p>
        </w:tc>
        <w:tc>
          <w:tcPr>
            <w:tcW w:type="dxa" w:w="1300"/>
          </w:tcPr>
          <w:p>
            <w:pPr>
              <w:spacing w:line="276" w:lineRule="auto"/>
            </w:pPr>
            <w:r>
              <w:rPr>
                <w:rFonts w:ascii="Arial" w:cs="Arial" w:eastAsia="Arial" w:hAnsi="Arial"/>
                <w:sz w:val="20"/>
                <w:szCs w:val="20"/>
              </w:rPr>
              <w:t xml:space="preserve">I</w:t>
            </w:r>
          </w:p>
        </w:tc>
        <w:tc>
          <w:tcPr>
            <w:tcW w:type="dxa" w:w="1300"/>
          </w:tcPr>
          <w:p>
            <w:pPr>
              <w:spacing w:line="276" w:lineRule="auto"/>
            </w:pPr>
            <w:r>
              <w:rPr>
                <w:rFonts w:ascii="Arial" w:cs="Arial" w:eastAsia="Arial" w:hAnsi="Arial"/>
                <w:sz w:val="20"/>
                <w:szCs w:val="20"/>
              </w:rPr>
              <w:t xml:space="preserve">A</w:t>
            </w:r>
          </w:p>
        </w:tc>
        <w:tc>
          <w:tcPr>
            <w:tcW w:type="dxa" w:w="1400"/>
          </w:tcPr>
          <w:p>
            <w:pPr>
              <w:spacing w:line="276" w:lineRule="auto"/>
            </w:pPr>
            <w:r>
              <w:rPr>
                <w:rFonts w:ascii="Arial" w:cs="Arial" w:eastAsia="Arial" w:hAnsi="Arial"/>
                <w:sz w:val="20"/>
                <w:szCs w:val="20"/>
              </w:rPr>
              <w:t xml:space="preserve">R</w:t>
            </w:r>
          </w:p>
        </w:tc>
        <w:tc>
          <w:tcPr>
            <w:tcW w:type="dxa" w:w="1500"/>
          </w:tcPr>
          <w:p>
            <w:pPr>
              <w:spacing w:line="276" w:lineRule="auto"/>
            </w:pPr>
            <w:r>
              <w:rPr>
                <w:rFonts w:ascii="Arial" w:cs="Arial" w:eastAsia="Arial" w:hAnsi="Arial"/>
                <w:sz w:val="20"/>
                <w:szCs w:val="20"/>
              </w:rPr>
              <w:t xml:space="preserve">C</w:t>
            </w:r>
          </w:p>
        </w:tc>
        <w:tc>
          <w:tcPr>
            <w:tcW w:type="dxa" w:w="1900"/>
          </w:tcPr>
          <w:p>
            <w:pPr>
              <w:spacing w:line="276" w:lineRule="auto"/>
            </w:pPr>
            <w:r>
              <w:rPr>
                <w:rFonts w:ascii="Arial" w:cs="Arial" w:eastAsia="Arial" w:hAnsi="Arial"/>
                <w:sz w:val="20"/>
                <w:szCs w:val="20"/>
              </w:rPr>
              <w:t xml:space="preserve">I</w:t>
            </w:r>
          </w:p>
        </w:tc>
      </w:tr>
      <w:tr>
        <w:tc>
          <w:tcPr>
            <w:tcW w:type="dxa" w:w="2400"/>
          </w:tcPr>
          <w:p>
            <w:pPr>
              <w:spacing w:line="276" w:lineRule="auto"/>
            </w:pPr>
            <w:r>
              <w:rPr>
                <w:rFonts w:ascii="Arial" w:cs="Arial" w:eastAsia="Arial" w:hAnsi="Arial"/>
                <w:sz w:val="20"/>
                <w:szCs w:val="20"/>
              </w:rPr>
              <w:t xml:space="preserve">Market rollout plan</w:t>
            </w:r>
          </w:p>
        </w:tc>
        <w:tc>
          <w:tcPr>
            <w:tcW w:type="dxa" w:w="1300"/>
          </w:tcPr>
          <w:p>
            <w:pPr>
              <w:spacing w:line="276" w:lineRule="auto"/>
            </w:pPr>
            <w:r>
              <w:rPr>
                <w:rFonts w:ascii="Arial" w:cs="Arial" w:eastAsia="Arial" w:hAnsi="Arial"/>
                <w:sz w:val="20"/>
                <w:szCs w:val="20"/>
              </w:rPr>
              <w:t xml:space="preserve">I</w:t>
            </w:r>
          </w:p>
        </w:tc>
        <w:tc>
          <w:tcPr>
            <w:tcW w:type="dxa" w:w="1300"/>
          </w:tcPr>
          <w:p>
            <w:pPr>
              <w:spacing w:line="276" w:lineRule="auto"/>
            </w:pPr>
            <w:r>
              <w:rPr>
                <w:rFonts w:ascii="Arial" w:cs="Arial" w:eastAsia="Arial" w:hAnsi="Arial"/>
                <w:sz w:val="20"/>
                <w:szCs w:val="20"/>
              </w:rPr>
              <w:t xml:space="preserve">R</w:t>
            </w:r>
          </w:p>
        </w:tc>
        <w:tc>
          <w:tcPr>
            <w:tcW w:type="dxa" w:w="1400"/>
          </w:tcPr>
          <w:p>
            <w:pPr>
              <w:spacing w:line="276" w:lineRule="auto"/>
            </w:pPr>
            <w:r>
              <w:rPr>
                <w:rFonts w:ascii="Arial" w:cs="Arial" w:eastAsia="Arial" w:hAnsi="Arial"/>
                <w:sz w:val="20"/>
                <w:szCs w:val="20"/>
              </w:rPr>
              <w:t xml:space="preserve">C</w:t>
            </w:r>
          </w:p>
        </w:tc>
        <w:tc>
          <w:tcPr>
            <w:tcW w:type="dxa" w:w="1500"/>
          </w:tcPr>
          <w:p>
            <w:pPr>
              <w:spacing w:line="276" w:lineRule="auto"/>
            </w:pPr>
            <w:r>
              <w:rPr>
                <w:rFonts w:ascii="Arial" w:cs="Arial" w:eastAsia="Arial" w:hAnsi="Arial"/>
                <w:sz w:val="20"/>
                <w:szCs w:val="20"/>
              </w:rPr>
              <w:t xml:space="preserve">C</w:t>
            </w:r>
          </w:p>
        </w:tc>
        <w:tc>
          <w:tcPr>
            <w:tcW w:type="dxa" w:w="1900"/>
          </w:tcPr>
          <w:p>
            <w:pPr>
              <w:spacing w:line="276" w:lineRule="auto"/>
            </w:pPr>
            <w:r>
              <w:rPr>
                <w:rFonts w:ascii="Arial" w:cs="Arial" w:eastAsia="Arial" w:hAnsi="Arial"/>
                <w:sz w:val="20"/>
                <w:szCs w:val="20"/>
              </w:rPr>
              <w:t xml:space="preserve">A</w:t>
            </w:r>
          </w:p>
        </w:tc>
      </w:tr>
      <w:tr>
        <w:tc>
          <w:tcPr>
            <w:tcW w:type="dxa" w:w="2400"/>
          </w:tcPr>
          <w:p>
            <w:pPr>
              <w:spacing w:line="276" w:lineRule="auto"/>
            </w:pPr>
            <w:r>
              <w:rPr>
                <w:rFonts w:ascii="Arial" w:cs="Arial" w:eastAsia="Arial" w:hAnsi="Arial"/>
                <w:sz w:val="20"/>
                <w:szCs w:val="20"/>
              </w:rPr>
              <w:t xml:space="preserve">Local compliance sign off</w:t>
            </w:r>
          </w:p>
        </w:tc>
        <w:tc>
          <w:tcPr>
            <w:tcW w:type="dxa" w:w="1300"/>
          </w:tcPr>
          <w:p>
            <w:pPr>
              <w:spacing w:line="276" w:lineRule="auto"/>
            </w:pPr>
            <w:r>
              <w:rPr>
                <w:rFonts w:ascii="Arial" w:cs="Arial" w:eastAsia="Arial" w:hAnsi="Arial"/>
                <w:sz w:val="20"/>
                <w:szCs w:val="20"/>
              </w:rPr>
              <w:t xml:space="preserve">I</w:t>
            </w:r>
          </w:p>
        </w:tc>
        <w:tc>
          <w:tcPr>
            <w:tcW w:type="dxa" w:w="1300"/>
          </w:tcPr>
          <w:p>
            <w:pPr>
              <w:spacing w:line="276" w:lineRule="auto"/>
            </w:pPr>
            <w:r>
              <w:rPr>
                <w:rFonts w:ascii="Arial" w:cs="Arial" w:eastAsia="Arial" w:hAnsi="Arial"/>
                <w:sz w:val="20"/>
                <w:szCs w:val="20"/>
              </w:rPr>
              <w:t xml:space="preserve">C</w:t>
            </w:r>
          </w:p>
        </w:tc>
        <w:tc>
          <w:tcPr>
            <w:tcW w:type="dxa" w:w="1400"/>
          </w:tcPr>
          <w:p>
            <w:pPr>
              <w:spacing w:line="276" w:lineRule="auto"/>
            </w:pPr>
            <w:r>
              <w:rPr>
                <w:rFonts w:ascii="Arial" w:cs="Arial" w:eastAsia="Arial" w:hAnsi="Arial"/>
                <w:sz w:val="20"/>
                <w:szCs w:val="20"/>
              </w:rPr>
              <w:t xml:space="preserve">I</w:t>
            </w:r>
          </w:p>
        </w:tc>
        <w:tc>
          <w:tcPr>
            <w:tcW w:type="dxa" w:w="1500"/>
          </w:tcPr>
          <w:p>
            <w:pPr>
              <w:spacing w:line="276" w:lineRule="auto"/>
            </w:pPr>
            <w:r>
              <w:rPr>
                <w:rFonts w:ascii="Arial" w:cs="Arial" w:eastAsia="Arial" w:hAnsi="Arial"/>
                <w:sz w:val="20"/>
                <w:szCs w:val="20"/>
              </w:rPr>
              <w:t xml:space="preserve">I</w:t>
            </w:r>
          </w:p>
        </w:tc>
        <w:tc>
          <w:tcPr>
            <w:tcW w:type="dxa" w:w="1900"/>
          </w:tcPr>
          <w:p>
            <w:pPr>
              <w:spacing w:line="276" w:lineRule="auto"/>
            </w:pPr>
            <w:r>
              <w:rPr>
                <w:rFonts w:ascii="Arial" w:cs="Arial" w:eastAsia="Arial" w:hAnsi="Arial"/>
                <w:sz w:val="20"/>
                <w:szCs w:val="20"/>
              </w:rPr>
              <w:t xml:space="preserve">R</w:t>
            </w:r>
          </w:p>
        </w:tc>
      </w:tr>
      <w:tr>
        <w:tc>
          <w:tcPr>
            <w:tcW w:type="dxa" w:w="2400"/>
          </w:tcPr>
          <w:p>
            <w:pPr>
              <w:spacing w:line="276" w:lineRule="auto"/>
            </w:pPr>
            <w:r>
              <w:rPr>
                <w:rFonts w:ascii="Arial" w:cs="Arial" w:eastAsia="Arial" w:hAnsi="Arial"/>
                <w:sz w:val="20"/>
                <w:szCs w:val="20"/>
              </w:rPr>
              <w:t xml:space="preserve">Customer communications</w:t>
            </w:r>
          </w:p>
        </w:tc>
        <w:tc>
          <w:tcPr>
            <w:tcW w:type="dxa" w:w="1300"/>
          </w:tcPr>
          <w:p>
            <w:pPr>
              <w:spacing w:line="276" w:lineRule="auto"/>
            </w:pPr>
            <w:r>
              <w:rPr>
                <w:rFonts w:ascii="Arial" w:cs="Arial" w:eastAsia="Arial" w:hAnsi="Arial"/>
                <w:sz w:val="20"/>
                <w:szCs w:val="20"/>
              </w:rPr>
              <w:t xml:space="preserve">I</w:t>
            </w:r>
          </w:p>
        </w:tc>
        <w:tc>
          <w:tcPr>
            <w:tcW w:type="dxa" w:w="1300"/>
          </w:tcPr>
          <w:p>
            <w:pPr>
              <w:spacing w:line="276" w:lineRule="auto"/>
            </w:pPr>
            <w:r>
              <w:rPr>
                <w:rFonts w:ascii="Arial" w:cs="Arial" w:eastAsia="Arial" w:hAnsi="Arial"/>
                <w:sz w:val="20"/>
                <w:szCs w:val="20"/>
              </w:rPr>
              <w:t xml:space="preserve">A</w:t>
            </w:r>
          </w:p>
        </w:tc>
        <w:tc>
          <w:tcPr>
            <w:tcW w:type="dxa" w:w="1400"/>
          </w:tcPr>
          <w:p>
            <w:pPr>
              <w:spacing w:line="276" w:lineRule="auto"/>
            </w:pPr>
            <w:r>
              <w:rPr>
                <w:rFonts w:ascii="Arial" w:cs="Arial" w:eastAsia="Arial" w:hAnsi="Arial"/>
                <w:sz w:val="20"/>
                <w:szCs w:val="20"/>
              </w:rPr>
              <w:t xml:space="preserve">I</w:t>
            </w:r>
          </w:p>
        </w:tc>
        <w:tc>
          <w:tcPr>
            <w:tcW w:type="dxa" w:w="1500"/>
          </w:tcPr>
          <w:p>
            <w:pPr>
              <w:spacing w:line="276" w:lineRule="auto"/>
            </w:pPr>
            <w:r>
              <w:rPr>
                <w:rFonts w:ascii="Arial" w:cs="Arial" w:eastAsia="Arial" w:hAnsi="Arial"/>
                <w:sz w:val="20"/>
                <w:szCs w:val="20"/>
              </w:rPr>
              <w:t xml:space="preserve">R</w:t>
            </w:r>
          </w:p>
        </w:tc>
        <w:tc>
          <w:tcPr>
            <w:tcW w:type="dxa" w:w="1900"/>
          </w:tcPr>
          <w:p>
            <w:pPr>
              <w:spacing w:line="276" w:lineRule="auto"/>
            </w:pPr>
            <w:r>
              <w:rPr>
                <w:rFonts w:ascii="Arial" w:cs="Arial" w:eastAsia="Arial" w:hAnsi="Arial"/>
                <w:sz w:val="20"/>
                <w:szCs w:val="20"/>
              </w:rPr>
              <w:t xml:space="preserve">C</w:t>
            </w:r>
          </w:p>
        </w:tc>
      </w:tr>
    </w:tbl>
    <w:p>
      <w:pPr>
        <w:spacing w:after="200" w:line="360" w:lineRule="auto"/>
        <w:jc w:val="both"/>
      </w:pPr>
      <w:r>
        <w:rPr>
          <w:rFonts w:ascii="Arial" w:cs="Arial" w:eastAsia="Arial" w:hAnsi="Arial"/>
          <w:sz w:val="22"/>
          <w:szCs w:val="22"/>
        </w:rPr>
        <w:t xml:space="preserve"/>
      </w:r>
    </w:p>
    <w:p>
      <w:pPr>
        <w:spacing w:after="200" w:line="360" w:lineRule="auto"/>
        <w:jc w:val="both"/>
      </w:pPr>
      <w:r>
        <w:rPr>
          <w:rFonts w:ascii="Arial" w:cs="Arial" w:eastAsia="Arial" w:hAnsi="Arial"/>
          <w:i/>
          <w:iCs/>
          <w:sz w:val="22"/>
          <w:szCs w:val="22"/>
        </w:rPr>
        <w:t xml:space="preserve">(R = Responsible, A = Accountable, C = Consulted, I = Informed)</w:t>
      </w:r>
    </w:p>
    <w:p>
      <w:pPr>
        <w:pStyle w:val="Heading2"/>
        <w:spacing w:after="200" w:before="300" w:line="360" w:lineRule="auto"/>
      </w:pPr>
      <w:r>
        <w:rPr>
          <w:rFonts w:ascii="Arial" w:cs="Arial" w:eastAsia="Arial" w:hAnsi="Arial"/>
          <w:b/>
          <w:bCs/>
        </w:rPr>
        <w:t xml:space="preserve">The Right Person Leading the Change</w:t>
      </w:r>
    </w:p>
    <w:p>
      <w:pPr>
        <w:spacing w:after="200" w:line="360" w:lineRule="auto"/>
        <w:jc w:val="both"/>
      </w:pPr>
      <w:r>
        <w:rPr>
          <w:rFonts w:ascii="Arial" w:cs="Arial" w:eastAsia="Arial" w:hAnsi="Arial"/>
          <w:sz w:val="22"/>
          <w:szCs w:val="22"/>
        </w:rPr>
        <w:t xml:space="preserve">Beyond well constructed plans, a project of this size needs the correct individual driving engagement, not just the right process. Kotter (1996) argues that successful change depends on a guiding coalition, a group of people with enough knowledge, expert and relationship influence to move the organisation forward together, rather than relying on authority alone. For ConnectPlus, this means the person leading engagement with franchise partners should not simply be whoever holds the project manager title on paper, but someone who uses legitimate power (formal authority to negotiate on M&amp;S's behalf) alongside relationship power (existing trust with franchise partners) and expert power (credible understanding of the platform itself) (French and Raven, 1959). Where these do not sit within one person, as is often the case, a small guiding group, for example a senior sponsor from the Board paired with a regional operations lead who already has franchise relationships, is more likely to succeed than a single project manager acting alone. Choosing this leadership carefully at the outset is arguably as important as any communication plan, since stakeholders respond to who is asking as much as what is being asked.</w:t>
      </w:r>
    </w:p>
    <w:p>
      <w:pPr>
        <w:pStyle w:val="Heading2"/>
        <w:spacing w:after="200" w:before="300" w:line="360" w:lineRule="auto"/>
      </w:pPr>
      <w:r>
        <w:rPr>
          <w:rFonts w:ascii="Arial" w:cs="Arial" w:eastAsia="Arial" w:hAnsi="Arial"/>
          <w:b/>
          <w:bCs/>
        </w:rPr>
        <w:t xml:space="preserve">Managing Conflict: The Franchise Partner Scenario</w:t>
      </w:r>
    </w:p>
    <w:p>
      <w:pPr>
        <w:spacing w:after="200" w:line="360" w:lineRule="auto"/>
        <w:jc w:val="both"/>
      </w:pPr>
      <w:r>
        <w:rPr>
          <w:rFonts w:ascii="Arial" w:cs="Arial" w:eastAsia="Arial" w:hAnsi="Arial"/>
          <w:sz w:val="22"/>
          <w:szCs w:val="22"/>
        </w:rPr>
        <w:t xml:space="preserve">Despite having a structured plan, conflict is likely. Consider a franchise partner operating in a market with lower digital infrastructure and a data protection regime that is meaningfully different from UK GDPR standards. This partner resists adopting ConnectPlus within the six month window, citing integration costs, disruption during a peak trading period, and uncertainty over how customer data will be handled locally versus centrally.</w:t>
      </w:r>
    </w:p>
    <w:p>
      <w:pPr>
        <w:spacing w:after="200" w:line="360" w:lineRule="auto"/>
        <w:jc w:val="both"/>
      </w:pPr>
      <w:r>
        <w:rPr>
          <w:rFonts w:ascii="Arial" w:cs="Arial" w:eastAsia="Arial" w:hAnsi="Arial"/>
          <w:sz w:val="22"/>
          <w:szCs w:val="22"/>
        </w:rPr>
        <w:t xml:space="preserve">Sources of conflict here are multiple and can get worse: schedule conflict (the six month timeline does not match local operational expectations), resource conflict (integration cost is not fully budgeted at franchise level), and administrative conflict (uncertainty over which data protection rules take precedence) (PMI, 2008).</w:t>
      </w:r>
    </w:p>
    <w:p>
      <w:pPr>
        <w:spacing w:after="200" w:line="360" w:lineRule="auto"/>
        <w:jc w:val="both"/>
      </w:pPr>
      <w:r>
        <w:rPr>
          <w:rFonts w:ascii="Arial" w:cs="Arial" w:eastAsia="Arial" w:hAnsi="Arial"/>
          <w:sz w:val="22"/>
          <w:szCs w:val="22"/>
        </w:rPr>
        <w:t xml:space="preserve">Handling this well starts with listening rather than defending the timeline, as people feel valued when they are listened to. Following the objection handling model from this module, the first step is to let the partner explain their concerns fully, without interrupting, then ask questions to understand the real issue rather than assuming it is simply reluctance to change (PMI, 2008). Often what looks like resistance to a platform is actually a legitimate operational or cost concern that has not been heard.</w:t>
      </w:r>
    </w:p>
    <w:p>
      <w:pPr>
        <w:spacing w:after="200" w:line="360" w:lineRule="auto"/>
        <w:jc w:val="both"/>
      </w:pPr>
      <w:r>
        <w:rPr>
          <w:rFonts w:ascii="Arial" w:cs="Arial" w:eastAsia="Arial" w:hAnsi="Arial"/>
          <w:sz w:val="22"/>
          <w:szCs w:val="22"/>
        </w:rPr>
        <w:t xml:space="preserve">The Feel-Felt-Found technique offers a practical way to respond once the concern is understood: acknowledging the partner's position (“I understand this timeline puts real pressure on your operations”), normalising it by referencing how other partners in similar positions have felt the same initially, and then reframing toward a solution that works for both parties, such as a phased rollout in that specific market rather than the full six month deadline (Cleland, 2004; Burtonshaw-Gunn, 2008).</w:t>
      </w:r>
    </w:p>
    <w:p>
      <w:pPr>
        <w:spacing w:after="200" w:line="360" w:lineRule="auto"/>
        <w:jc w:val="both"/>
      </w:pPr>
      <w:r>
        <w:rPr>
          <w:rFonts w:ascii="Arial" w:cs="Arial" w:eastAsia="Arial" w:hAnsi="Arial"/>
          <w:sz w:val="22"/>
          <w:szCs w:val="22"/>
        </w:rPr>
        <w:t xml:space="preserve">Applying the Thomas-Kilmann model, the appropriate conflict style here is collaborating rather than competing or accommodating. A competing approach, insisting on the original timeline regardless of the partner's constraints, risks damaging a relationship M&amp;S depends on in that market long after ConnectPlus has launched. Simply accommodating the partner's full request, meanwhile, risks the platform launching unevenly across markets, undermining the coordinated rollout objective set earlier in this report. Collaborating, for example agreeing a phased integration timeline specific to that market while maintaining the same data reporting standards throughout, protects both the relationship and the project's core requirements.</w:t>
      </w:r>
    </w:p>
    <w:p>
      <w:pPr>
        <w:spacing w:after="200" w:line="360" w:lineRule="auto"/>
        <w:jc w:val="both"/>
      </w:pPr>
      <w:r>
        <w:rPr>
          <w:rFonts w:ascii="Arial" w:cs="Arial" w:eastAsia="Arial" w:hAnsi="Arial"/>
          <w:sz w:val="22"/>
          <w:szCs w:val="22"/>
        </w:rPr>
        <w:t xml:space="preserve">Trust is pivotal to all of this. Building trust before conflict arises through early and honest communication, respecting the partner's local market knowledge and expertise, and being transparent about data governance requirements from the start, reduces how often conflicts like this escalate in the first place (Larson and LaFasto, cited in Cleland, 2004).</w:t>
      </w:r>
    </w:p>
    <w:p>
      <w:pPr>
        <w:pStyle w:val="Heading1"/>
        <w:spacing w:after="200" w:before="300" w:line="360" w:lineRule="auto"/>
      </w:pPr>
      <w:r>
        <w:rPr>
          <w:rFonts w:ascii="Arial" w:cs="Arial" w:eastAsia="Arial" w:hAnsi="Arial"/>
          <w:b/>
          <w:bCs/>
        </w:rPr>
        <w:t xml:space="preserve">Impact of Sustainable Stakeholder Engagement on Business Performance</w:t>
      </w:r>
    </w:p>
    <w:p>
      <w:pPr>
        <w:spacing w:after="200" w:line="360" w:lineRule="auto"/>
        <w:jc w:val="both"/>
      </w:pPr>
      <w:r>
        <w:rPr>
          <w:rFonts w:ascii="Arial" w:cs="Arial" w:eastAsia="Arial" w:hAnsi="Arial"/>
          <w:sz w:val="22"/>
          <w:szCs w:val="22"/>
        </w:rPr>
        <w:t xml:space="preserve">Sustained stakeholder engagement offers clear benefits to ConnectPlus's success. Engagement helps align business running with stakeholder expectations, which supports long term organisational sustainability and, over time, can strengthen shareholder value as trust and cooperation reduce the friction that typically slows large scale digital rollouts. For a platform built on customer data, engaging customers early and transparently, with the aim of improvement, is not just good practice but a practical requirement. Customers who understand how their data supports better personalisation are more likely to remain engaged Sparks members, while those who feel data is collected without clear benefit are likely to disengage quietly and quickly, which is harder to detect and correct than open complaint.</w:t>
      </w:r>
    </w:p>
    <w:p>
      <w:pPr>
        <w:spacing w:after="200" w:line="360" w:lineRule="auto"/>
        <w:jc w:val="both"/>
      </w:pPr>
      <w:r>
        <w:rPr>
          <w:rFonts w:ascii="Arial" w:cs="Arial" w:eastAsia="Arial" w:hAnsi="Arial"/>
          <w:sz w:val="22"/>
          <w:szCs w:val="22"/>
        </w:rPr>
        <w:t xml:space="preserve">Engagement also supports better risk management. Involving regulators and franchise partners early, rather than presenting them with a finished platform, surfaces compliance and operational concerns while there is still time to adjust the rollout plan. This is particularly important given ConnectPlus operates across markets with different data protection regimes, where a one size fits all approach to compliance risks delay or, in the worst case, regulatory intervention in a specific market.</w:t>
      </w:r>
    </w:p>
    <w:p>
      <w:pPr>
        <w:spacing w:after="200" w:line="360" w:lineRule="auto"/>
        <w:jc w:val="both"/>
      </w:pPr>
      <w:r>
        <w:rPr>
          <w:rFonts w:ascii="Arial" w:cs="Arial" w:eastAsia="Arial" w:hAnsi="Arial"/>
          <w:sz w:val="22"/>
          <w:szCs w:val="22"/>
        </w:rPr>
        <w:t xml:space="preserve">However, engagement of this scale carries real challenges and risks. It is resource intensive. Running structured communication plans, workshops, and consultation across every stakeholder group identified in this report requires time and staff capacity that competes with the technical delivery of the platform itself. There is a genuine risk that engagement becomes a box ticking exercise under time pressure, particularly given the six month timeline, rather than the meaningful two way process the theory describes. A further challenge is that stakeholder expectations can conflict directly, as seen in the franchise partner scenario, where satisfying one group's timeline concerns risks frustrating the Board's desire for a coordinated global launch, thus delaying processes.</w:t>
      </w:r>
    </w:p>
    <w:p>
      <w:pPr>
        <w:spacing w:after="200" w:line="360" w:lineRule="auto"/>
        <w:jc w:val="both"/>
      </w:pPr>
      <w:r>
        <w:rPr>
          <w:rFonts w:ascii="Arial" w:cs="Arial" w:eastAsia="Arial" w:hAnsi="Arial"/>
          <w:sz w:val="22"/>
          <w:szCs w:val="22"/>
        </w:rPr>
        <w:t xml:space="preserve">Ethical considerations sit close to the surface throughout. ConnectPlus is fundamentally a data driven platform, and engaging stakeholders honestly about how AI driven platforms use customer data is not optional. There is a meaningful difference between engagement carried out to genuinely improve the platform and engagement conducted primarily to secure buy-in for decisions already made within the operation. The latter risks becoming a form of manipulation rather than consultation, particularly with less powerful stakeholder groups such as individual customers or junior store staff, who may not feel able to challenge decisions even when consulted or trained. A further ethical tension arises internationally: applying UK style data governance across all markets may be viewed as imposing UK standards rather than genuinely respecting local regulatory and cultural context, while different standards by market risk appearing inconsistent or exploitative of weaker regulatory environments. Getting around this requires more than a communication plan; it requires a genuine commitment to listening to concerns that may not always be convenient for the project timeline or stakeholders.</w:t>
      </w:r>
    </w:p>
    <w:p>
      <w:pPr>
        <w:spacing w:after="200" w:line="360" w:lineRule="auto"/>
        <w:jc w:val="both"/>
      </w:pPr>
      <w:r>
        <w:rPr>
          <w:rFonts w:ascii="Arial" w:cs="Arial" w:eastAsia="Arial" w:hAnsi="Arial"/>
          <w:sz w:val="22"/>
          <w:szCs w:val="22"/>
        </w:rPr>
        <w:t xml:space="preserve">On review, the evidence from this module and the wider stakeholder engagement literature suggests that continued engagement improves the chances of successful platform adoption, but only where it is treated as a genuine two-way, win-win relationship rather than a project milestone to complete. For M&amp;S, the return on the £480 million wider digital investment depends not only on ConnectPlus functioning technically, but on whether the stakeholders who touch it, from Board members to individual customers, feel genuinely engaged rather than simply informed from the top down.</w:t>
      </w:r>
    </w:p>
    <w:p>
      <w:pPr>
        <w:pStyle w:val="Heading1"/>
        <w:spacing w:after="200" w:before="300" w:line="360" w:lineRule="auto"/>
      </w:pPr>
      <w:r>
        <w:rPr>
          <w:rFonts w:ascii="Arial" w:cs="Arial" w:eastAsia="Arial" w:hAnsi="Arial"/>
          <w:b/>
          <w:bCs/>
        </w:rPr>
        <w:t xml:space="preserve">Recommendations and Conclusion</w:t>
      </w:r>
    </w:p>
    <w:p>
      <w:pPr>
        <w:spacing w:after="200" w:line="360" w:lineRule="auto"/>
        <w:jc w:val="both"/>
      </w:pPr>
      <w:r>
        <w:rPr>
          <w:rFonts w:ascii="Arial" w:cs="Arial" w:eastAsia="Arial" w:hAnsi="Arial"/>
          <w:sz w:val="22"/>
          <w:szCs w:val="22"/>
        </w:rPr>
        <w:t xml:space="preserve">Three recommendations follow from this analysis. First, M&amp;S should appoint a small guiding group, combining a senior sponsor with legitimate authority and a regional operations lead with existing franchise relationships, to lead engagement rather than just relying on a single project manager to hold every relationship. Second, the six month rollout timeline should allow for market specific phasing where local readiness genuinely changes, rather than applying a single fixed deadline across the board, since forcing uniformity risks the exact conflict outlined in the franchise partner scenario. Third, data governance communication should be prioritised as early as possible and consistently across every market, given how central trust in data handling is to both customer adoption and regulatory relationships.</w:t>
      </w:r>
    </w:p>
    <w:p>
      <w:pPr>
        <w:spacing w:after="200" w:line="360" w:lineRule="auto"/>
        <w:jc w:val="both"/>
      </w:pPr>
      <w:r>
        <w:rPr>
          <w:rFonts w:ascii="Arial" w:cs="Arial" w:eastAsia="Arial" w:hAnsi="Arial"/>
          <w:sz w:val="22"/>
          <w:szCs w:val="22"/>
        </w:rPr>
        <w:t xml:space="preserve">Moreover, the organisation should focus on organic growth in its stakeholder relationships, strengthening internal capability and capacity to manage engagement well, making fuller use of existing resources such as the trust already built through Sparks, and continuing to build the M&amp;S brand's reputation for responsible data use rather than treating ConnectPlus purely as a technical upgrade.</w:t>
      </w:r>
    </w:p>
    <w:p>
      <w:pPr>
        <w:spacing w:after="200" w:line="360" w:lineRule="auto"/>
        <w:jc w:val="both"/>
      </w:pPr>
      <w:r>
        <w:rPr>
          <w:rFonts w:ascii="Arial" w:cs="Arial" w:eastAsia="Arial" w:hAnsi="Arial"/>
          <w:sz w:val="22"/>
          <w:szCs w:val="22"/>
        </w:rPr>
        <w:t xml:space="preserve">This report has identified the key internal and external stakeholders for the ConnectPlus launch, applied Mendelow's Matrix and the 4 I's framework to categorise their significance, and set out a clear structured plan of engagement built on the 4Cs model, supported by a communication plan, RACI matrix, and clearly assigned engagement leadership. Conflict, as shown through the franchise partner scenario, is best managed through collaboration rather than competition or avoidance, underpinned by trust built early rather than repaired late. Ultimately, ConnectPlus's success depends less on the sophistication of its AI than on whether the people and organisations around it feel genuinely heard throughout its rollout.</w:t>
      </w:r>
    </w:p>
    <w:p>
      <w:r>
        <w:br w:type="page"/>
      </w:r>
    </w:p>
    <w:p>
      <w:pPr>
        <w:pStyle w:val="Heading1"/>
        <w:spacing w:after="200" w:before="300" w:line="360" w:lineRule="auto"/>
      </w:pPr>
      <w:r>
        <w:rPr>
          <w:rFonts w:ascii="Arial" w:cs="Arial" w:eastAsia="Arial" w:hAnsi="Arial"/>
          <w:b/>
          <w:bCs/>
        </w:rPr>
        <w:t xml:space="preserve">Reference List</w:t>
      </w:r>
    </w:p>
    <w:p>
      <w:pPr>
        <w:spacing w:after="200" w:line="360" w:lineRule="auto"/>
        <w:jc w:val="both"/>
      </w:pPr>
      <w:r>
        <w:rPr>
          <w:rFonts w:ascii="Arial" w:cs="Arial" w:eastAsia="Arial" w:hAnsi="Arial"/>
          <w:sz w:val="22"/>
          <w:szCs w:val="22"/>
        </w:rPr>
        <w:t xml:space="preserve">Adanyin, A. (2024) 'Ethical AI in retail: Consumer privacy and fairness', arXiv preprint arXiv:2410.15369.</w:t>
      </w:r>
    </w:p>
    <w:p>
      <w:pPr>
        <w:spacing w:after="200" w:line="360" w:lineRule="auto"/>
        <w:jc w:val="both"/>
      </w:pPr>
      <w:r>
        <w:rPr>
          <w:rFonts w:ascii="Arial" w:cs="Arial" w:eastAsia="Arial" w:hAnsi="Arial"/>
          <w:sz w:val="22"/>
          <w:szCs w:val="22"/>
        </w:rPr>
        <w:t xml:space="preserve">Appelbaum, S. H., Habashy, S., Malo, J. L. and Shafiq, H. (2012) 'Back to the future: revisiting Kotter's 1996 change model', Journal of Management Development, 31(8), pp.764–782.</w:t>
      </w:r>
    </w:p>
    <w:p>
      <w:pPr>
        <w:spacing w:after="200" w:line="360" w:lineRule="auto"/>
        <w:jc w:val="both"/>
      </w:pPr>
      <w:r>
        <w:rPr>
          <w:rFonts w:ascii="Arial" w:cs="Arial" w:eastAsia="Arial" w:hAnsi="Arial"/>
          <w:sz w:val="22"/>
          <w:szCs w:val="22"/>
        </w:rPr>
        <w:t xml:space="preserve">Burtonshaw-Gunn, S. A. (2008) The Essential Management Toolbox. Chichester: John Wiley &amp; Sons.</w:t>
      </w:r>
    </w:p>
    <w:p>
      <w:pPr>
        <w:spacing w:after="200" w:line="360" w:lineRule="auto"/>
        <w:jc w:val="both"/>
      </w:pPr>
      <w:r>
        <w:rPr>
          <w:rFonts w:ascii="Arial" w:cs="Arial" w:eastAsia="Arial" w:hAnsi="Arial"/>
          <w:sz w:val="22"/>
          <w:szCs w:val="22"/>
        </w:rPr>
        <w:t xml:space="preserve">Candelo, E., Casalegno, C. G. and Civera, C. (2022) 'Digital transformation or analogic relationships? A dilemma for small retailer entrepreneurs and its resolution', Journal of Strategy and Management, 15(3), pp.397–415.</w:t>
      </w:r>
    </w:p>
    <w:p>
      <w:pPr>
        <w:spacing w:after="200" w:line="360" w:lineRule="auto"/>
        <w:jc w:val="both"/>
      </w:pPr>
      <w:r>
        <w:rPr>
          <w:rFonts w:ascii="Arial" w:cs="Arial" w:eastAsia="Arial" w:hAnsi="Arial"/>
          <w:sz w:val="22"/>
          <w:szCs w:val="22"/>
        </w:rPr>
        <w:t xml:space="preserve">Christopher, M., Payne, A. and Ballantyne, D. (2013) Relationship Marketing: Creating Stakeholder Value. Saint Louis: Taylor and Francis.</w:t>
      </w:r>
    </w:p>
    <w:p>
      <w:pPr>
        <w:spacing w:after="200" w:line="360" w:lineRule="auto"/>
        <w:jc w:val="both"/>
      </w:pPr>
      <w:r>
        <w:rPr>
          <w:rFonts w:ascii="Arial" w:cs="Arial" w:eastAsia="Arial" w:hAnsi="Arial"/>
          <w:sz w:val="22"/>
          <w:szCs w:val="22"/>
        </w:rPr>
        <w:t xml:space="preserve">Freeman, R. E. (1984) Strategic Management: A Stakeholder Approach. Boston: Pitman.</w:t>
      </w:r>
    </w:p>
    <w:p>
      <w:pPr>
        <w:spacing w:after="200" w:line="360" w:lineRule="auto"/>
        <w:jc w:val="both"/>
      </w:pPr>
      <w:r>
        <w:rPr>
          <w:rFonts w:ascii="Arial" w:cs="Arial" w:eastAsia="Arial" w:hAnsi="Arial"/>
          <w:sz w:val="22"/>
          <w:szCs w:val="22"/>
        </w:rPr>
        <w:t xml:space="preserve">Freeman, R. E. (2020) 'The stakeholder approach revisited', in Wirtschafts- und Unternehmensethik. Wiesbaden: Springer Fachmedien Wiesbaden, pp.657–671.</w:t>
      </w:r>
    </w:p>
    <w:p>
      <w:pPr>
        <w:spacing w:after="200" w:line="360" w:lineRule="auto"/>
        <w:jc w:val="both"/>
      </w:pPr>
      <w:r>
        <w:rPr>
          <w:rFonts w:ascii="Arial" w:cs="Arial" w:eastAsia="Arial" w:hAnsi="Arial"/>
          <w:sz w:val="22"/>
          <w:szCs w:val="22"/>
        </w:rPr>
        <w:t xml:space="preserve">French, J. R. P. and Raven, B. (1959) 'The Bases of Social Power', in Cartwright, D. (ed.) Studies in Social Power. Ann Arbor: University of Michigan Press.</w:t>
      </w:r>
    </w:p>
    <w:p>
      <w:pPr>
        <w:spacing w:after="200" w:line="360" w:lineRule="auto"/>
        <w:jc w:val="both"/>
      </w:pPr>
      <w:r>
        <w:rPr>
          <w:rFonts w:ascii="Arial" w:cs="Arial" w:eastAsia="Arial" w:hAnsi="Arial"/>
          <w:sz w:val="22"/>
          <w:szCs w:val="22"/>
        </w:rPr>
        <w:t xml:space="preserve">Kamp, M., Körffer, B. and Meints, M. (2008) 'Profiling of Customers and Consumers – Customer Loyalty Programmes and Scoring Practices', in Profiling the European Citizen: Cross-Disciplinary Perspectives. Dordrecht: Springer Netherlands, pp.201–215.</w:t>
      </w:r>
    </w:p>
    <w:p>
      <w:pPr>
        <w:spacing w:after="200" w:line="360" w:lineRule="auto"/>
        <w:jc w:val="both"/>
      </w:pPr>
      <w:r>
        <w:rPr>
          <w:rFonts w:ascii="Arial" w:cs="Arial" w:eastAsia="Arial" w:hAnsi="Arial"/>
          <w:sz w:val="22"/>
          <w:szCs w:val="22"/>
        </w:rPr>
        <w:t xml:space="preserve">Kotter, J. P. (1996) Leading Change. Boston: Harvard Business School Press.</w:t>
      </w:r>
    </w:p>
    <w:p>
      <w:pPr>
        <w:spacing w:after="200" w:line="360" w:lineRule="auto"/>
        <w:jc w:val="both"/>
      </w:pPr>
      <w:r>
        <w:rPr>
          <w:rFonts w:ascii="Arial" w:cs="Arial" w:eastAsia="Arial" w:hAnsi="Arial"/>
          <w:sz w:val="22"/>
          <w:szCs w:val="22"/>
        </w:rPr>
        <w:t xml:space="preserve">Marks &amp; Spencer Group plc (2024) Annual Report.</w:t>
      </w:r>
    </w:p>
    <w:p>
      <w:pPr>
        <w:spacing w:after="200" w:line="360" w:lineRule="auto"/>
        <w:jc w:val="both"/>
      </w:pPr>
      <w:r>
        <w:rPr>
          <w:rFonts w:ascii="Arial" w:cs="Arial" w:eastAsia="Arial" w:hAnsi="Arial"/>
          <w:sz w:val="22"/>
          <w:szCs w:val="22"/>
        </w:rPr>
        <w:t xml:space="preserve">Mendelow, A. (1991) 'Environmental Scanning – The Impact of the Stakeholder Concept', Proceedings of the Second International Conference on Information Systems. Cambridge, MA.</w:t>
      </w:r>
    </w:p>
    <w:p>
      <w:pPr>
        <w:spacing w:after="200" w:line="360" w:lineRule="auto"/>
        <w:jc w:val="both"/>
      </w:pPr>
      <w:r>
        <w:rPr>
          <w:rFonts w:ascii="Arial" w:cs="Arial" w:eastAsia="Arial" w:hAnsi="Arial"/>
          <w:sz w:val="22"/>
          <w:szCs w:val="22"/>
        </w:rPr>
        <w:t xml:space="preserve">Moore, C. M., Birtwistle, G. and Burt, S. (2004) 'Channel power, conflict and conflict resolution in international fashion retailing', European Journal of Marketing, 38(7), pp.749–769.</w:t>
      </w:r>
    </w:p>
    <w:p>
      <w:pPr>
        <w:spacing w:after="200" w:line="360" w:lineRule="auto"/>
        <w:jc w:val="both"/>
      </w:pPr>
      <w:r>
        <w:rPr>
          <w:rFonts w:ascii="Arial" w:cs="Arial" w:eastAsia="Arial" w:hAnsi="Arial"/>
          <w:sz w:val="22"/>
          <w:szCs w:val="22"/>
        </w:rPr>
        <w:t xml:space="preserve">Project Management Institute (2008) A Guide to the Project Management Body of Knowledge (PMBOK Guide), 4th edn. Newtown Square, PA: Project Management Institute.</w:t>
      </w:r>
    </w:p>
    <w:p>
      <w:pPr>
        <w:spacing w:after="200" w:line="360" w:lineRule="auto"/>
        <w:jc w:val="both"/>
      </w:pPr>
      <w:r>
        <w:rPr>
          <w:rFonts w:ascii="Arial" w:cs="Arial" w:eastAsia="Arial" w:hAnsi="Arial"/>
          <w:sz w:val="22"/>
          <w:szCs w:val="22"/>
        </w:rPr>
        <w:t xml:space="preserve">Rajput, A. A. (2025) The Influence of Digital Marketing Strategies on Consumer Buying Behavior: ‘A Comprehensive Analysis of Marks and Spencer's Retail in the UK’. Doctoral dissertation. University of Wales Trinity Saint David.</w:t>
      </w:r>
    </w:p>
    <w:p>
      <w:pPr>
        <w:spacing w:after="200" w:line="360" w:lineRule="auto"/>
        <w:jc w:val="both"/>
      </w:pPr>
      <w:r>
        <w:rPr>
          <w:rFonts w:ascii="Arial" w:cs="Arial" w:eastAsia="Arial" w:hAnsi="Arial"/>
          <w:sz w:val="22"/>
          <w:szCs w:val="22"/>
        </w:rPr>
        <w:t xml:space="preserve">Wang, S., Liu, H., Li, Z. and Zhang, S. (2025) 'Security risks and regulation of cross-border e-commerce in digital economy', Journal of Electronic Business &amp; Digital Economics, 4(2), pp.385–401.</w:t>
      </w:r>
    </w:p>
    <w:p>
      <w:pPr>
        <w:spacing w:after="200" w:line="360" w:lineRule="auto"/>
        <w:jc w:val="both"/>
      </w:pPr>
      <w:r>
        <w:rPr>
          <w:rFonts w:ascii="Arial" w:cs="Arial" w:eastAsia="Arial" w:hAnsi="Arial"/>
          <w:sz w:val="22"/>
          <w:szCs w:val="22"/>
        </w:rPr>
        <w:t xml:space="preserve">Yildirim, H. (2023) 'Building a stakeholders' map of R&amp;I in Europe'.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2026-08-18T11:35:41.564Z</dcterms:created>
  <dcterms:modified xsi:type="dcterms:W3CDTF">2026-08-18T11:35:41.565Z</dcterms:modified>
</cp:coreProperties>
</file>

<file path=docProps/custom.xml><?xml version="1.0" encoding="utf-8"?>
<Properties xmlns="http://schemas.openxmlformats.org/officeDocument/2006/custom-properties" xmlns:vt="http://schemas.openxmlformats.org/officeDocument/2006/docPropsVTypes"/>
</file>