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1ED8D" w14:textId="77777777" w:rsidR="00C707E0" w:rsidRPr="00580E6E" w:rsidRDefault="00C707E0" w:rsidP="00C707E0">
      <w:pPr>
        <w:spacing w:after="80" w:line="360" w:lineRule="auto"/>
        <w:rPr>
          <w:rFonts w:ascii="Arial" w:hAnsi="Arial" w:cs="Arial"/>
          <w:sz w:val="24"/>
          <w:szCs w:val="24"/>
        </w:rPr>
      </w:pPr>
      <w:r w:rsidRPr="00580E6E">
        <w:rPr>
          <w:rFonts w:ascii="Arial" w:hAnsi="Arial" w:cs="Arial"/>
          <w:b/>
          <w:bCs/>
          <w:sz w:val="24"/>
          <w:szCs w:val="24"/>
        </w:rPr>
        <w:t>Course: BSc (Hons) Health and Social Care</w:t>
      </w:r>
    </w:p>
    <w:p w14:paraId="4A52E9A7" w14:textId="77777777" w:rsidR="00C707E0" w:rsidRPr="00580E6E" w:rsidRDefault="00C707E0" w:rsidP="00C707E0">
      <w:pPr>
        <w:spacing w:after="80" w:line="360" w:lineRule="auto"/>
        <w:rPr>
          <w:rFonts w:ascii="Arial" w:hAnsi="Arial" w:cs="Arial"/>
          <w:sz w:val="24"/>
          <w:szCs w:val="24"/>
        </w:rPr>
      </w:pPr>
      <w:r w:rsidRPr="00580E6E">
        <w:rPr>
          <w:rFonts w:ascii="Arial" w:hAnsi="Arial" w:cs="Arial"/>
          <w:b/>
          <w:bCs/>
          <w:sz w:val="24"/>
          <w:szCs w:val="24"/>
        </w:rPr>
        <w:t>Module: Independent Project (BMHP6020)</w:t>
      </w:r>
    </w:p>
    <w:p w14:paraId="69DA84AE" w14:textId="77777777" w:rsidR="00C707E0" w:rsidRPr="00580E6E" w:rsidRDefault="00C707E0" w:rsidP="00C707E0">
      <w:pPr>
        <w:spacing w:after="80" w:line="360" w:lineRule="auto"/>
        <w:rPr>
          <w:rFonts w:ascii="Arial" w:hAnsi="Arial" w:cs="Arial"/>
          <w:sz w:val="24"/>
          <w:szCs w:val="24"/>
        </w:rPr>
      </w:pPr>
      <w:r w:rsidRPr="00580E6E">
        <w:rPr>
          <w:rFonts w:ascii="Arial" w:hAnsi="Arial" w:cs="Arial"/>
          <w:b/>
          <w:bCs/>
          <w:sz w:val="24"/>
          <w:szCs w:val="24"/>
        </w:rPr>
        <w:t>Component 1: Element 1 – Project Proposal</w:t>
      </w:r>
    </w:p>
    <w:p w14:paraId="7F20FF51" w14:textId="42472129" w:rsidR="00C707E0" w:rsidRPr="00580E6E" w:rsidRDefault="00C707E0" w:rsidP="00C707E0">
      <w:pPr>
        <w:spacing w:after="80" w:line="360" w:lineRule="auto"/>
        <w:rPr>
          <w:rFonts w:ascii="Arial" w:hAnsi="Arial" w:cs="Arial"/>
          <w:sz w:val="24"/>
          <w:szCs w:val="24"/>
        </w:rPr>
      </w:pPr>
      <w:r w:rsidRPr="00580E6E">
        <w:rPr>
          <w:rFonts w:ascii="Arial" w:hAnsi="Arial" w:cs="Arial"/>
          <w:sz w:val="24"/>
          <w:szCs w:val="24"/>
        </w:rPr>
        <w:t>Student ID:</w:t>
      </w:r>
      <w:r w:rsidR="007C68B1">
        <w:rPr>
          <w:rFonts w:ascii="Arial" w:hAnsi="Arial" w:cs="Arial"/>
          <w:sz w:val="24"/>
          <w:szCs w:val="24"/>
        </w:rPr>
        <w:t xml:space="preserve"> 2324335</w:t>
      </w:r>
    </w:p>
    <w:p w14:paraId="2FEFCD26" w14:textId="420AD661" w:rsidR="00C707E0" w:rsidRPr="00580E6E" w:rsidRDefault="00C707E0" w:rsidP="00C707E0">
      <w:pPr>
        <w:spacing w:line="360" w:lineRule="auto"/>
        <w:rPr>
          <w:rFonts w:ascii="Arial" w:hAnsi="Arial" w:cs="Arial"/>
          <w:sz w:val="24"/>
          <w:szCs w:val="24"/>
        </w:rPr>
      </w:pPr>
      <w:r w:rsidRPr="00580E6E">
        <w:rPr>
          <w:rFonts w:ascii="Arial" w:hAnsi="Arial" w:cs="Arial"/>
          <w:sz w:val="24"/>
          <w:szCs w:val="24"/>
        </w:rPr>
        <w:t>Student Name:</w:t>
      </w:r>
      <w:r w:rsidR="007C68B1">
        <w:rPr>
          <w:rFonts w:ascii="Arial" w:hAnsi="Arial" w:cs="Arial"/>
          <w:sz w:val="24"/>
          <w:szCs w:val="24"/>
        </w:rPr>
        <w:t xml:space="preserve"> Shama Aslam</w:t>
      </w:r>
    </w:p>
    <w:p w14:paraId="1D9DF510" w14:textId="77777777" w:rsidR="00C707E0" w:rsidRPr="00580E6E" w:rsidRDefault="00C707E0" w:rsidP="00C707E0">
      <w:pPr>
        <w:pStyle w:val="Heading1"/>
        <w:spacing w:before="200" w:line="360" w:lineRule="auto"/>
        <w:rPr>
          <w:rFonts w:cs="Arial"/>
          <w:sz w:val="24"/>
          <w:szCs w:val="24"/>
        </w:rPr>
      </w:pPr>
      <w:r w:rsidRPr="00580E6E">
        <w:rPr>
          <w:rFonts w:cs="Arial"/>
          <w:sz w:val="24"/>
          <w:szCs w:val="24"/>
        </w:rPr>
        <w:t>Element 1 – Project Proposal</w:t>
      </w:r>
    </w:p>
    <w:p w14:paraId="4FCF1A83" w14:textId="08A23489" w:rsidR="003D3E7A" w:rsidRPr="00580E6E" w:rsidRDefault="00C707E0" w:rsidP="00580E6E">
      <w:pPr>
        <w:rPr>
          <w:sz w:val="24"/>
          <w:szCs w:val="24"/>
        </w:rPr>
      </w:pPr>
      <w:r w:rsidRPr="00580E6E">
        <w:rPr>
          <w:rFonts w:ascii="Arial" w:hAnsi="Arial" w:cs="Arial"/>
          <w:b/>
          <w:bCs/>
          <w:sz w:val="24"/>
          <w:szCs w:val="24"/>
        </w:rPr>
        <w:t xml:space="preserve"> Title: </w:t>
      </w:r>
      <w:r w:rsidR="00580E6E" w:rsidRPr="00580E6E">
        <w:rPr>
          <w:rFonts w:ascii="Arial" w:hAnsi="Arial" w:cs="Arial"/>
          <w:sz w:val="24"/>
          <w:szCs w:val="24"/>
        </w:rPr>
        <w:t>How did COVID-19 affect disadvantaged people and the NHS in the UK, and what can be learned to better prepare for future pandemics?</w:t>
      </w:r>
    </w:p>
    <w:p w14:paraId="5738FA2A" w14:textId="77777777" w:rsidR="00D84B0B" w:rsidRPr="00580E6E" w:rsidRDefault="00D84B0B" w:rsidP="00C707E0">
      <w:pPr>
        <w:spacing w:line="360" w:lineRule="auto"/>
        <w:rPr>
          <w:rFonts w:ascii="Arial" w:hAnsi="Arial" w:cs="Arial"/>
          <w:b/>
          <w:sz w:val="24"/>
          <w:szCs w:val="24"/>
        </w:rPr>
      </w:pPr>
      <w:r w:rsidRPr="00580E6E">
        <w:rPr>
          <w:rFonts w:ascii="Arial" w:hAnsi="Arial" w:cs="Arial"/>
          <w:b/>
          <w:sz w:val="24"/>
          <w:szCs w:val="24"/>
        </w:rPr>
        <w:t>1) Aim</w:t>
      </w:r>
    </w:p>
    <w:p w14:paraId="3FE210A6" w14:textId="77777777" w:rsidR="00D84B0B" w:rsidRPr="00580E6E" w:rsidRDefault="00D84B0B" w:rsidP="00C707E0">
      <w:pPr>
        <w:spacing w:line="360" w:lineRule="auto"/>
        <w:rPr>
          <w:rFonts w:ascii="Arial" w:hAnsi="Arial" w:cs="Arial"/>
          <w:sz w:val="24"/>
          <w:szCs w:val="24"/>
        </w:rPr>
      </w:pPr>
      <w:r w:rsidRPr="00580E6E">
        <w:rPr>
          <w:rFonts w:ascii="Arial" w:hAnsi="Arial" w:cs="Arial"/>
          <w:sz w:val="24"/>
          <w:szCs w:val="24"/>
        </w:rPr>
        <w:t>The purpose of this project is to critically analyse the effects of the COVID-19 pandemic on health and health inequalities in the United Kingdom, specifically exploring how pre-existing social, economic and structural inequalities helped to drive the unequal burden of infection, mortality, mental health impact and disruption of health services provision, to determine the effectiveness of policy responses and evidence-based recommendations to improve health equity and pandemic preparedness for the future.</w:t>
      </w:r>
    </w:p>
    <w:p w14:paraId="5EA57FA7" w14:textId="77777777" w:rsidR="00D84B0B" w:rsidRPr="00580E6E" w:rsidRDefault="00D84B0B" w:rsidP="00C707E0">
      <w:pPr>
        <w:spacing w:line="360" w:lineRule="auto"/>
        <w:rPr>
          <w:rFonts w:ascii="Arial" w:hAnsi="Arial" w:cs="Arial"/>
          <w:b/>
          <w:sz w:val="24"/>
          <w:szCs w:val="24"/>
        </w:rPr>
      </w:pPr>
      <w:r w:rsidRPr="00580E6E">
        <w:rPr>
          <w:rFonts w:ascii="Arial" w:hAnsi="Arial" w:cs="Arial"/>
          <w:b/>
          <w:sz w:val="24"/>
          <w:szCs w:val="24"/>
        </w:rPr>
        <w:t>2) Objectives</w:t>
      </w:r>
    </w:p>
    <w:p w14:paraId="0E1F1139" w14:textId="7AAD7747" w:rsidR="00D84B0B" w:rsidRPr="00580E6E" w:rsidRDefault="000012F9" w:rsidP="00C707E0">
      <w:pPr>
        <w:pStyle w:val="ListParagraph"/>
        <w:numPr>
          <w:ilvl w:val="0"/>
          <w:numId w:val="1"/>
        </w:numPr>
        <w:spacing w:line="360" w:lineRule="auto"/>
        <w:rPr>
          <w:rFonts w:ascii="Arial" w:hAnsi="Arial" w:cs="Arial"/>
          <w:sz w:val="24"/>
          <w:szCs w:val="24"/>
        </w:rPr>
      </w:pPr>
      <w:r w:rsidRPr="00580E6E">
        <w:rPr>
          <w:rFonts w:ascii="Arial" w:hAnsi="Arial" w:cs="Arial"/>
          <w:sz w:val="24"/>
          <w:szCs w:val="24"/>
        </w:rPr>
        <w:t>To i</w:t>
      </w:r>
      <w:r w:rsidR="00D84B0B" w:rsidRPr="00580E6E">
        <w:rPr>
          <w:rFonts w:ascii="Arial" w:hAnsi="Arial" w:cs="Arial"/>
          <w:sz w:val="24"/>
          <w:szCs w:val="24"/>
        </w:rPr>
        <w:t>dentify and discuss how vulnerable and marginalised groups in the UK, particularly those from deprived socioeconomic backgrounds, or Black, Asian and minority ethnic (BAME), older people and people with pre-existing health conditions have been disproportionately affected by COVID-19 based on mortality and morbidity data.</w:t>
      </w:r>
    </w:p>
    <w:p w14:paraId="58E46C3B" w14:textId="723F147A" w:rsidR="00D84B0B" w:rsidRPr="00580E6E" w:rsidRDefault="000012F9" w:rsidP="00C707E0">
      <w:pPr>
        <w:pStyle w:val="ListParagraph"/>
        <w:numPr>
          <w:ilvl w:val="0"/>
          <w:numId w:val="1"/>
        </w:numPr>
        <w:spacing w:line="360" w:lineRule="auto"/>
        <w:rPr>
          <w:rFonts w:ascii="Arial" w:hAnsi="Arial" w:cs="Arial"/>
          <w:sz w:val="24"/>
          <w:szCs w:val="24"/>
        </w:rPr>
      </w:pPr>
      <w:r w:rsidRPr="00580E6E">
        <w:rPr>
          <w:rFonts w:ascii="Arial" w:hAnsi="Arial" w:cs="Arial"/>
          <w:sz w:val="24"/>
          <w:szCs w:val="24"/>
        </w:rPr>
        <w:t>To e</w:t>
      </w:r>
      <w:r w:rsidR="00D84B0B" w:rsidRPr="00580E6E">
        <w:rPr>
          <w:rFonts w:ascii="Arial" w:hAnsi="Arial" w:cs="Arial"/>
          <w:sz w:val="24"/>
          <w:szCs w:val="24"/>
        </w:rPr>
        <w:t>xamine the impact of COVID-19 on the NHS in the short and long-term, based on evidence from peer-reviewed literature and NHS datasets, including the elective care backlog, the impact on workforce wellbeing, the increased burden of Long COVID as well as mental health services.</w:t>
      </w:r>
    </w:p>
    <w:p w14:paraId="4E18F9EF" w14:textId="4E327435" w:rsidR="00D84B0B" w:rsidRPr="00580E6E" w:rsidRDefault="000012F9" w:rsidP="00C707E0">
      <w:pPr>
        <w:pStyle w:val="ListParagraph"/>
        <w:numPr>
          <w:ilvl w:val="0"/>
          <w:numId w:val="1"/>
        </w:numPr>
        <w:spacing w:line="360" w:lineRule="auto"/>
        <w:rPr>
          <w:rFonts w:ascii="Arial" w:hAnsi="Arial" w:cs="Arial"/>
          <w:sz w:val="24"/>
          <w:szCs w:val="24"/>
        </w:rPr>
      </w:pPr>
      <w:r w:rsidRPr="00580E6E">
        <w:rPr>
          <w:rFonts w:ascii="Arial" w:hAnsi="Arial" w:cs="Arial"/>
          <w:sz w:val="24"/>
          <w:szCs w:val="24"/>
        </w:rPr>
        <w:t xml:space="preserve">To </w:t>
      </w:r>
      <w:r w:rsidR="007C68B1" w:rsidRPr="00580E6E">
        <w:rPr>
          <w:rFonts w:ascii="Arial" w:hAnsi="Arial" w:cs="Arial"/>
          <w:sz w:val="24"/>
          <w:szCs w:val="24"/>
        </w:rPr>
        <w:t>critically</w:t>
      </w:r>
      <w:r w:rsidR="00D84B0B" w:rsidRPr="00580E6E">
        <w:rPr>
          <w:rFonts w:ascii="Arial" w:hAnsi="Arial" w:cs="Arial"/>
          <w:sz w:val="24"/>
          <w:szCs w:val="24"/>
        </w:rPr>
        <w:t xml:space="preserve"> analyse the effectiveness of the UK government's policy and public health measures in reducing health inequalities and protecting the health of the </w:t>
      </w:r>
      <w:r w:rsidR="00D84B0B" w:rsidRPr="00580E6E">
        <w:rPr>
          <w:rFonts w:ascii="Arial" w:hAnsi="Arial" w:cs="Arial"/>
          <w:sz w:val="24"/>
          <w:szCs w:val="24"/>
        </w:rPr>
        <w:lastRenderedPageBreak/>
        <w:t>population during the pandemic, such as lockdown measures, the vaccine rollout and the NHS COVID-19 recovery strategy.</w:t>
      </w:r>
    </w:p>
    <w:p w14:paraId="2F39323F" w14:textId="594C874E" w:rsidR="00D84B0B" w:rsidRPr="00580E6E" w:rsidRDefault="000012F9" w:rsidP="00C707E0">
      <w:pPr>
        <w:pStyle w:val="ListParagraph"/>
        <w:numPr>
          <w:ilvl w:val="0"/>
          <w:numId w:val="1"/>
        </w:numPr>
        <w:spacing w:line="360" w:lineRule="auto"/>
        <w:rPr>
          <w:rFonts w:ascii="Arial" w:hAnsi="Arial" w:cs="Arial"/>
          <w:sz w:val="24"/>
          <w:szCs w:val="24"/>
        </w:rPr>
      </w:pPr>
      <w:r w:rsidRPr="00580E6E">
        <w:rPr>
          <w:rFonts w:ascii="Arial" w:hAnsi="Arial" w:cs="Arial"/>
          <w:sz w:val="24"/>
          <w:szCs w:val="24"/>
        </w:rPr>
        <w:t>To m</w:t>
      </w:r>
      <w:r w:rsidR="00D84B0B" w:rsidRPr="00580E6E">
        <w:rPr>
          <w:rFonts w:ascii="Arial" w:hAnsi="Arial" w:cs="Arial"/>
          <w:sz w:val="24"/>
          <w:szCs w:val="24"/>
        </w:rPr>
        <w:t>ake evidence-informed recommendations for the future of pandemic preparedness and recovery in the UK, focusing on the need to address structural health inequalities, strengthening NHS resilience and ensuring better access to health services for the most vulnerable groups.</w:t>
      </w:r>
    </w:p>
    <w:p w14:paraId="40496E5B" w14:textId="77777777" w:rsidR="003D3E7A" w:rsidRPr="00580E6E" w:rsidRDefault="003D3E7A" w:rsidP="00C707E0">
      <w:pPr>
        <w:spacing w:line="360" w:lineRule="auto"/>
        <w:rPr>
          <w:rFonts w:ascii="Arial" w:hAnsi="Arial" w:cs="Arial"/>
          <w:b/>
          <w:sz w:val="24"/>
          <w:szCs w:val="24"/>
        </w:rPr>
      </w:pPr>
      <w:r w:rsidRPr="00580E6E">
        <w:rPr>
          <w:rFonts w:ascii="Arial" w:hAnsi="Arial" w:cs="Arial"/>
          <w:b/>
          <w:sz w:val="24"/>
          <w:szCs w:val="24"/>
        </w:rPr>
        <w:t>3) Background / Rationale</w:t>
      </w:r>
    </w:p>
    <w:p w14:paraId="5C1B803C" w14:textId="77777777" w:rsidR="003D3E7A" w:rsidRPr="00580E6E" w:rsidRDefault="003D3E7A" w:rsidP="00C707E0">
      <w:pPr>
        <w:spacing w:line="360" w:lineRule="auto"/>
        <w:rPr>
          <w:rFonts w:ascii="Arial" w:hAnsi="Arial" w:cs="Arial"/>
          <w:sz w:val="24"/>
          <w:szCs w:val="24"/>
        </w:rPr>
      </w:pPr>
      <w:r w:rsidRPr="00580E6E">
        <w:rPr>
          <w:rFonts w:ascii="Arial" w:hAnsi="Arial" w:cs="Arial"/>
          <w:sz w:val="24"/>
          <w:szCs w:val="24"/>
        </w:rPr>
        <w:t>The pandemic of COVID-19 that began in early 2020 in the United Kingdom was the largest public health emergency in decades. At the end of the restrictions, more than 200,000 people in the UK had died from COVID-19, while millions have been left with debilitating and ongoing symptoms for weeks or months after infection, known as Long COVID (BMA, 2023). However, the pandemic did not affect all members of society equally. COVID-19 has been a ‘</w:t>
      </w:r>
      <w:proofErr w:type="spellStart"/>
      <w:r w:rsidRPr="00580E6E">
        <w:rPr>
          <w:rFonts w:ascii="Arial" w:hAnsi="Arial" w:cs="Arial"/>
          <w:sz w:val="24"/>
          <w:szCs w:val="24"/>
        </w:rPr>
        <w:t>syndemic</w:t>
      </w:r>
      <w:proofErr w:type="spellEnd"/>
      <w:r w:rsidRPr="00580E6E">
        <w:rPr>
          <w:rFonts w:ascii="Arial" w:hAnsi="Arial" w:cs="Arial"/>
          <w:sz w:val="24"/>
          <w:szCs w:val="24"/>
        </w:rPr>
        <w:t>' as Bambra et al (2020) have demonstrated in their seminal analysis, where it interacted with and exacerbated pre-existing health inequalities that stem from deprivation, ethnicity and social disadvantage.</w:t>
      </w:r>
    </w:p>
    <w:p w14:paraId="26135C35" w14:textId="77777777" w:rsidR="003D3E7A" w:rsidRPr="00580E6E" w:rsidRDefault="003D3E7A" w:rsidP="00C707E0">
      <w:pPr>
        <w:spacing w:line="360" w:lineRule="auto"/>
        <w:rPr>
          <w:rFonts w:ascii="Arial" w:hAnsi="Arial" w:cs="Arial"/>
          <w:sz w:val="24"/>
          <w:szCs w:val="24"/>
        </w:rPr>
      </w:pPr>
      <w:r w:rsidRPr="00580E6E">
        <w:rPr>
          <w:rFonts w:ascii="Arial" w:hAnsi="Arial" w:cs="Arial"/>
          <w:sz w:val="24"/>
          <w:szCs w:val="24"/>
        </w:rPr>
        <w:t>The mortality rates for people of Black African, Pakistani and Black Caribbean backgrounds were 3.5, 2.7 and 1.7 times higher than for White British people, respectively (Wheatle, 2021). Those in the most deprived areas of England also had significantly poorer outcomes and the pandemic added to the existing socioeconomic inequalities in health that were already growing before 2020 (McGowan et al., 2022). At the same time, the NHS was under unprecedented pressure: there were 7.5 million fewer elective referrals compared to pre-pandemic levels (July 2021), and mental health outcomes across the population were negatively affected (Health Foundation, 2022). This project recognises the need to bring together and critically review the evidence on these inequalities and the policy implications, in a context of debate on how to create a more equitable and resilient health and social care system in the post-pandemic era.</w:t>
      </w:r>
    </w:p>
    <w:p w14:paraId="4FC531FF" w14:textId="77777777" w:rsidR="003D3E7A" w:rsidRPr="00580E6E" w:rsidRDefault="003D3E7A" w:rsidP="00C707E0">
      <w:pPr>
        <w:spacing w:line="360" w:lineRule="auto"/>
        <w:rPr>
          <w:rFonts w:ascii="Arial" w:hAnsi="Arial" w:cs="Arial"/>
          <w:b/>
          <w:sz w:val="24"/>
          <w:szCs w:val="24"/>
        </w:rPr>
      </w:pPr>
      <w:r w:rsidRPr="00580E6E">
        <w:rPr>
          <w:rFonts w:ascii="Arial" w:hAnsi="Arial" w:cs="Arial"/>
          <w:b/>
          <w:sz w:val="24"/>
          <w:szCs w:val="24"/>
        </w:rPr>
        <w:t>4) Methods</w:t>
      </w:r>
    </w:p>
    <w:p w14:paraId="5B1BEE2F" w14:textId="77777777" w:rsidR="003D3E7A" w:rsidRPr="00580E6E" w:rsidRDefault="003D3E7A" w:rsidP="00C707E0">
      <w:pPr>
        <w:spacing w:line="360" w:lineRule="auto"/>
        <w:rPr>
          <w:rFonts w:ascii="Arial" w:hAnsi="Arial" w:cs="Arial"/>
          <w:sz w:val="24"/>
          <w:szCs w:val="24"/>
        </w:rPr>
      </w:pPr>
      <w:r w:rsidRPr="00580E6E">
        <w:rPr>
          <w:rFonts w:ascii="Arial" w:hAnsi="Arial" w:cs="Arial"/>
          <w:sz w:val="24"/>
          <w:szCs w:val="24"/>
        </w:rPr>
        <w:t xml:space="preserve">This project will use secondary research methodology, which will include a systematic thematic review of peer reviewed literature, government reports and NHS data. </w:t>
      </w:r>
      <w:r w:rsidRPr="00580E6E">
        <w:rPr>
          <w:rFonts w:ascii="Arial" w:hAnsi="Arial" w:cs="Arial"/>
          <w:sz w:val="24"/>
          <w:szCs w:val="24"/>
        </w:rPr>
        <w:lastRenderedPageBreak/>
        <w:t>Academic sources will be accessed from databases such as PubMed/MEDLINE and CINAHL and Google Scholar and complemented by policy documents from the UK government, NHS England and the Office for National Statistics (ONS) and reports from the Health Foundation, the King's Fund and the British Medical Association (BMA). The choice of sources will be determined by their relevance to the UK context, their academic credibility and their recency (mainly from 2020 onwards). Thematic analysis will be used to identify and synthesise key patterns around health inequalities, impact on the NHS and policy responses. Ethical aspects will include that Harvard referencing is used throughout and that there are no signs of plagiarism and that the limitations and possible biases of the sources used are critically appraised.</w:t>
      </w:r>
    </w:p>
    <w:p w14:paraId="598D6627" w14:textId="77777777" w:rsidR="003D3E7A" w:rsidRPr="00580E6E" w:rsidRDefault="003D3E7A" w:rsidP="00C707E0">
      <w:pPr>
        <w:spacing w:line="360" w:lineRule="auto"/>
        <w:rPr>
          <w:rFonts w:ascii="Arial" w:hAnsi="Arial" w:cs="Arial"/>
          <w:b/>
          <w:sz w:val="24"/>
          <w:szCs w:val="24"/>
        </w:rPr>
      </w:pPr>
      <w:r w:rsidRPr="00580E6E">
        <w:rPr>
          <w:rFonts w:ascii="Arial" w:hAnsi="Arial" w:cs="Arial"/>
          <w:b/>
          <w:sz w:val="24"/>
          <w:szCs w:val="24"/>
        </w:rPr>
        <w:t>5) Resources</w:t>
      </w:r>
    </w:p>
    <w:p w14:paraId="2094C148" w14:textId="77777777" w:rsidR="003D3E7A" w:rsidRPr="00580E6E" w:rsidRDefault="003D3E7A" w:rsidP="00C707E0">
      <w:pPr>
        <w:pStyle w:val="ListParagraph"/>
        <w:numPr>
          <w:ilvl w:val="0"/>
          <w:numId w:val="2"/>
        </w:numPr>
        <w:spacing w:line="360" w:lineRule="auto"/>
        <w:rPr>
          <w:rFonts w:ascii="Arial" w:hAnsi="Arial" w:cs="Arial"/>
          <w:sz w:val="24"/>
          <w:szCs w:val="24"/>
        </w:rPr>
      </w:pPr>
      <w:r w:rsidRPr="00580E6E">
        <w:rPr>
          <w:rFonts w:ascii="Arial" w:hAnsi="Arial" w:cs="Arial"/>
          <w:sz w:val="24"/>
          <w:szCs w:val="24"/>
        </w:rPr>
        <w:t>Online academic databases such as PubMed/MEDLINE, CINAHL, Google Scholar, JSTOR</w:t>
      </w:r>
    </w:p>
    <w:p w14:paraId="05C7BC34" w14:textId="77777777" w:rsidR="003D3E7A" w:rsidRPr="00580E6E" w:rsidRDefault="003D3E7A" w:rsidP="00C707E0">
      <w:pPr>
        <w:pStyle w:val="ListParagraph"/>
        <w:numPr>
          <w:ilvl w:val="0"/>
          <w:numId w:val="2"/>
        </w:numPr>
        <w:spacing w:line="360" w:lineRule="auto"/>
        <w:rPr>
          <w:rFonts w:ascii="Arial" w:hAnsi="Arial" w:cs="Arial"/>
          <w:sz w:val="24"/>
          <w:szCs w:val="24"/>
        </w:rPr>
      </w:pPr>
      <w:r w:rsidRPr="00580E6E">
        <w:rPr>
          <w:rFonts w:ascii="Arial" w:hAnsi="Arial" w:cs="Arial"/>
          <w:sz w:val="24"/>
          <w:szCs w:val="24"/>
        </w:rPr>
        <w:t>UK Government and NHS publications such as GOV.UK, NHS England, Office for National Statistics (ONS), UK Health Security Agency (UKHSA)</w:t>
      </w:r>
    </w:p>
    <w:p w14:paraId="5A8BD096" w14:textId="77777777" w:rsidR="003D3E7A" w:rsidRPr="00580E6E" w:rsidRDefault="003D3E7A" w:rsidP="00C707E0">
      <w:pPr>
        <w:pStyle w:val="ListParagraph"/>
        <w:numPr>
          <w:ilvl w:val="0"/>
          <w:numId w:val="2"/>
        </w:numPr>
        <w:spacing w:line="360" w:lineRule="auto"/>
        <w:rPr>
          <w:rFonts w:ascii="Arial" w:hAnsi="Arial" w:cs="Arial"/>
          <w:sz w:val="24"/>
          <w:szCs w:val="24"/>
        </w:rPr>
      </w:pPr>
      <w:r w:rsidRPr="00580E6E">
        <w:rPr>
          <w:rFonts w:ascii="Arial" w:hAnsi="Arial" w:cs="Arial"/>
          <w:sz w:val="24"/>
          <w:szCs w:val="24"/>
        </w:rPr>
        <w:t>Reports from professional and research organisations: Health Foundation, King's Fund, British Medical Association (BMA), Nuffield Trust</w:t>
      </w:r>
    </w:p>
    <w:p w14:paraId="40CDDF16" w14:textId="77777777" w:rsidR="003D3E7A" w:rsidRPr="00580E6E" w:rsidRDefault="003D3E7A" w:rsidP="00C707E0">
      <w:pPr>
        <w:pStyle w:val="ListParagraph"/>
        <w:numPr>
          <w:ilvl w:val="0"/>
          <w:numId w:val="2"/>
        </w:numPr>
        <w:spacing w:line="360" w:lineRule="auto"/>
        <w:rPr>
          <w:rFonts w:ascii="Arial" w:hAnsi="Arial" w:cs="Arial"/>
          <w:sz w:val="24"/>
          <w:szCs w:val="24"/>
        </w:rPr>
      </w:pPr>
      <w:r w:rsidRPr="00580E6E">
        <w:rPr>
          <w:rFonts w:ascii="Arial" w:hAnsi="Arial" w:cs="Arial"/>
          <w:sz w:val="24"/>
          <w:szCs w:val="24"/>
        </w:rPr>
        <w:t>Library facilities at the University, Harvard reference maker, and Microsoft Word for writing documents</w:t>
      </w:r>
    </w:p>
    <w:p w14:paraId="799742ED" w14:textId="3CBBDAC4" w:rsidR="00580E6E" w:rsidRPr="00580E6E" w:rsidRDefault="003D3E7A" w:rsidP="00580E6E">
      <w:pPr>
        <w:spacing w:line="360" w:lineRule="auto"/>
        <w:rPr>
          <w:rFonts w:ascii="Arial" w:hAnsi="Arial" w:cs="Arial"/>
          <w:b/>
          <w:bCs/>
          <w:sz w:val="24"/>
          <w:szCs w:val="24"/>
        </w:rPr>
      </w:pPr>
      <w:r w:rsidRPr="00580E6E">
        <w:rPr>
          <w:rFonts w:ascii="Arial" w:hAnsi="Arial" w:cs="Arial"/>
          <w:b/>
          <w:bCs/>
          <w:sz w:val="24"/>
          <w:szCs w:val="24"/>
        </w:rPr>
        <w:t>6) Timescale</w:t>
      </w:r>
    </w:p>
    <w:tbl>
      <w:tblPr>
        <w:tblStyle w:val="TableGrid"/>
        <w:tblW w:w="8640" w:type="dxa"/>
        <w:tblBorders>
          <w:top w:val="single" w:sz="4" w:space="0" w:color="2E75B6"/>
          <w:left w:val="single" w:sz="4" w:space="0" w:color="2E75B6"/>
          <w:bottom w:val="single" w:sz="4" w:space="0" w:color="2E75B6"/>
          <w:right w:val="single" w:sz="4" w:space="0" w:color="2E75B6"/>
          <w:insideH w:val="single" w:sz="4" w:space="0" w:color="AAAAAA"/>
          <w:insideV w:val="single" w:sz="4" w:space="0" w:color="2E75B6"/>
        </w:tblBorders>
        <w:tblCellMar>
          <w:top w:w="80" w:type="dxa"/>
          <w:left w:w="120" w:type="dxa"/>
          <w:bottom w:w="80" w:type="dxa"/>
          <w:right w:w="120" w:type="dxa"/>
        </w:tblCellMar>
        <w:tblLook w:val="04A0" w:firstRow="1" w:lastRow="0" w:firstColumn="1" w:lastColumn="0" w:noHBand="0" w:noVBand="1"/>
      </w:tblPr>
      <w:tblGrid>
        <w:gridCol w:w="2160"/>
        <w:gridCol w:w="6480"/>
      </w:tblGrid>
      <w:tr w:rsidR="00580E6E" w:rsidRPr="00580E6E" w14:paraId="2A58574A" w14:textId="77777777" w:rsidTr="00A22E28">
        <w:trPr>
          <w:tblHeader/>
        </w:trPr>
        <w:tc>
          <w:tcPr>
            <w:tcW w:w="2160" w:type="dxa"/>
            <w:shd w:val="clear" w:color="auto" w:fill="2E75B6"/>
          </w:tcPr>
          <w:p w14:paraId="3AEF85DE" w14:textId="77777777" w:rsidR="00580E6E" w:rsidRPr="00580E6E" w:rsidRDefault="00580E6E" w:rsidP="00A22E28">
            <w:pPr>
              <w:jc w:val="center"/>
              <w:rPr>
                <w:sz w:val="24"/>
                <w:szCs w:val="24"/>
              </w:rPr>
            </w:pPr>
            <w:r w:rsidRPr="00580E6E">
              <w:rPr>
                <w:b/>
                <w:color w:val="FFFFFF"/>
                <w:sz w:val="24"/>
                <w:szCs w:val="24"/>
              </w:rPr>
              <w:t>Timeframe</w:t>
            </w:r>
          </w:p>
        </w:tc>
        <w:tc>
          <w:tcPr>
            <w:tcW w:w="6480" w:type="dxa"/>
            <w:shd w:val="clear" w:color="auto" w:fill="2E75B6"/>
          </w:tcPr>
          <w:p w14:paraId="11EF7496" w14:textId="77777777" w:rsidR="00580E6E" w:rsidRPr="00580E6E" w:rsidRDefault="00580E6E" w:rsidP="00A22E28">
            <w:pPr>
              <w:jc w:val="center"/>
              <w:rPr>
                <w:sz w:val="24"/>
                <w:szCs w:val="24"/>
              </w:rPr>
            </w:pPr>
            <w:r w:rsidRPr="00580E6E">
              <w:rPr>
                <w:b/>
                <w:color w:val="FFFFFF"/>
                <w:sz w:val="24"/>
                <w:szCs w:val="24"/>
              </w:rPr>
              <w:t>Activity</w:t>
            </w:r>
          </w:p>
        </w:tc>
      </w:tr>
      <w:tr w:rsidR="00580E6E" w:rsidRPr="00580E6E" w14:paraId="4382D3D7" w14:textId="77777777" w:rsidTr="00A22E28">
        <w:tc>
          <w:tcPr>
            <w:tcW w:w="2160" w:type="dxa"/>
            <w:shd w:val="clear" w:color="auto" w:fill="D6E4F0"/>
          </w:tcPr>
          <w:p w14:paraId="1A197F96" w14:textId="77777777" w:rsidR="00580E6E" w:rsidRPr="00580E6E" w:rsidRDefault="00580E6E" w:rsidP="00A22E28">
            <w:pPr>
              <w:rPr>
                <w:sz w:val="24"/>
                <w:szCs w:val="24"/>
              </w:rPr>
            </w:pPr>
            <w:r w:rsidRPr="00580E6E">
              <w:rPr>
                <w:b/>
                <w:sz w:val="24"/>
                <w:szCs w:val="24"/>
              </w:rPr>
              <w:t>Weeks 1–2</w:t>
            </w:r>
          </w:p>
        </w:tc>
        <w:tc>
          <w:tcPr>
            <w:tcW w:w="6480" w:type="dxa"/>
          </w:tcPr>
          <w:p w14:paraId="5F405ED4" w14:textId="77777777" w:rsidR="00580E6E" w:rsidRPr="00580E6E" w:rsidRDefault="00580E6E" w:rsidP="00A22E28">
            <w:pPr>
              <w:rPr>
                <w:sz w:val="24"/>
                <w:szCs w:val="24"/>
              </w:rPr>
            </w:pPr>
            <w:r w:rsidRPr="00580E6E">
              <w:rPr>
                <w:sz w:val="24"/>
                <w:szCs w:val="24"/>
              </w:rPr>
              <w:t>Finalise project topic, research question and Element 1 proposal.</w:t>
            </w:r>
          </w:p>
        </w:tc>
      </w:tr>
      <w:tr w:rsidR="00580E6E" w:rsidRPr="00580E6E" w14:paraId="69A5D46E" w14:textId="77777777" w:rsidTr="00A22E28">
        <w:tc>
          <w:tcPr>
            <w:tcW w:w="2160" w:type="dxa"/>
            <w:shd w:val="clear" w:color="auto" w:fill="EBF3FB"/>
          </w:tcPr>
          <w:p w14:paraId="0D05BD5E" w14:textId="77777777" w:rsidR="00580E6E" w:rsidRPr="00580E6E" w:rsidRDefault="00580E6E" w:rsidP="00A22E28">
            <w:pPr>
              <w:rPr>
                <w:sz w:val="24"/>
                <w:szCs w:val="24"/>
              </w:rPr>
            </w:pPr>
            <w:r w:rsidRPr="00580E6E">
              <w:rPr>
                <w:b/>
                <w:sz w:val="24"/>
                <w:szCs w:val="24"/>
              </w:rPr>
              <w:t>Week 3</w:t>
            </w:r>
          </w:p>
        </w:tc>
        <w:tc>
          <w:tcPr>
            <w:tcW w:w="6480" w:type="dxa"/>
          </w:tcPr>
          <w:p w14:paraId="303E85F5" w14:textId="77777777" w:rsidR="00580E6E" w:rsidRPr="00580E6E" w:rsidRDefault="00580E6E" w:rsidP="00A22E28">
            <w:pPr>
              <w:rPr>
                <w:sz w:val="24"/>
                <w:szCs w:val="24"/>
              </w:rPr>
            </w:pPr>
            <w:r w:rsidRPr="00580E6E">
              <w:rPr>
                <w:sz w:val="24"/>
                <w:szCs w:val="24"/>
              </w:rPr>
              <w:t>Produce and submit Academic Poster (after Element 1).</w:t>
            </w:r>
          </w:p>
        </w:tc>
      </w:tr>
      <w:tr w:rsidR="00580E6E" w:rsidRPr="00580E6E" w14:paraId="75875085" w14:textId="77777777" w:rsidTr="00A22E28">
        <w:tc>
          <w:tcPr>
            <w:tcW w:w="2160" w:type="dxa"/>
            <w:shd w:val="clear" w:color="auto" w:fill="D6E4F0"/>
          </w:tcPr>
          <w:p w14:paraId="19D3644B" w14:textId="77777777" w:rsidR="00580E6E" w:rsidRPr="00580E6E" w:rsidRDefault="00580E6E" w:rsidP="00A22E28">
            <w:pPr>
              <w:rPr>
                <w:sz w:val="24"/>
                <w:szCs w:val="24"/>
              </w:rPr>
            </w:pPr>
            <w:r w:rsidRPr="00580E6E">
              <w:rPr>
                <w:b/>
                <w:sz w:val="24"/>
                <w:szCs w:val="24"/>
              </w:rPr>
              <w:t>Weeks 4–5</w:t>
            </w:r>
          </w:p>
        </w:tc>
        <w:tc>
          <w:tcPr>
            <w:tcW w:w="6480" w:type="dxa"/>
          </w:tcPr>
          <w:p w14:paraId="5DBB4D0A" w14:textId="77777777" w:rsidR="00580E6E" w:rsidRPr="00580E6E" w:rsidRDefault="00580E6E" w:rsidP="00A22E28">
            <w:pPr>
              <w:rPr>
                <w:sz w:val="24"/>
                <w:szCs w:val="24"/>
              </w:rPr>
            </w:pPr>
            <w:r w:rsidRPr="00580E6E">
              <w:rPr>
                <w:sz w:val="24"/>
                <w:szCs w:val="24"/>
              </w:rPr>
              <w:t>Conduct literature search and identify key academic and policy sources.</w:t>
            </w:r>
          </w:p>
        </w:tc>
      </w:tr>
      <w:tr w:rsidR="00580E6E" w:rsidRPr="00580E6E" w14:paraId="2A3B3AB1" w14:textId="77777777" w:rsidTr="00A22E28">
        <w:tc>
          <w:tcPr>
            <w:tcW w:w="2160" w:type="dxa"/>
            <w:shd w:val="clear" w:color="auto" w:fill="EBF3FB"/>
          </w:tcPr>
          <w:p w14:paraId="632900FD" w14:textId="77777777" w:rsidR="00580E6E" w:rsidRPr="00580E6E" w:rsidRDefault="00580E6E" w:rsidP="00A22E28">
            <w:pPr>
              <w:rPr>
                <w:sz w:val="24"/>
                <w:szCs w:val="24"/>
              </w:rPr>
            </w:pPr>
            <w:r w:rsidRPr="00580E6E">
              <w:rPr>
                <w:b/>
                <w:sz w:val="24"/>
                <w:szCs w:val="24"/>
              </w:rPr>
              <w:t>Weeks 6–7</w:t>
            </w:r>
          </w:p>
        </w:tc>
        <w:tc>
          <w:tcPr>
            <w:tcW w:w="6480" w:type="dxa"/>
          </w:tcPr>
          <w:p w14:paraId="3717E1B9" w14:textId="77777777" w:rsidR="00580E6E" w:rsidRPr="00580E6E" w:rsidRDefault="00580E6E" w:rsidP="00A22E28">
            <w:pPr>
              <w:rPr>
                <w:sz w:val="24"/>
                <w:szCs w:val="24"/>
              </w:rPr>
            </w:pPr>
            <w:r w:rsidRPr="00580E6E">
              <w:rPr>
                <w:sz w:val="24"/>
                <w:szCs w:val="24"/>
              </w:rPr>
              <w:t>Review and critically analyse literature; develop themes.</w:t>
            </w:r>
          </w:p>
        </w:tc>
      </w:tr>
      <w:tr w:rsidR="00580E6E" w:rsidRPr="00580E6E" w14:paraId="5DCDE20B" w14:textId="77777777" w:rsidTr="00A22E28">
        <w:tc>
          <w:tcPr>
            <w:tcW w:w="2160" w:type="dxa"/>
            <w:shd w:val="clear" w:color="auto" w:fill="D6E4F0"/>
          </w:tcPr>
          <w:p w14:paraId="3D4772E4" w14:textId="77777777" w:rsidR="00580E6E" w:rsidRPr="00580E6E" w:rsidRDefault="00580E6E" w:rsidP="00A22E28">
            <w:pPr>
              <w:rPr>
                <w:sz w:val="24"/>
                <w:szCs w:val="24"/>
              </w:rPr>
            </w:pPr>
            <w:r w:rsidRPr="00580E6E">
              <w:rPr>
                <w:b/>
                <w:sz w:val="24"/>
                <w:szCs w:val="24"/>
              </w:rPr>
              <w:t>Weeks 8–9</w:t>
            </w:r>
          </w:p>
        </w:tc>
        <w:tc>
          <w:tcPr>
            <w:tcW w:w="6480" w:type="dxa"/>
          </w:tcPr>
          <w:p w14:paraId="790F5F74" w14:textId="77777777" w:rsidR="00580E6E" w:rsidRPr="00580E6E" w:rsidRDefault="00580E6E" w:rsidP="00A22E28">
            <w:pPr>
              <w:rPr>
                <w:sz w:val="24"/>
                <w:szCs w:val="24"/>
              </w:rPr>
            </w:pPr>
            <w:r w:rsidRPr="00580E6E">
              <w:rPr>
                <w:sz w:val="24"/>
                <w:szCs w:val="24"/>
              </w:rPr>
              <w:t>Draft Chapter 1 (Introduction) and Chapter 2 (Literature Review).</w:t>
            </w:r>
          </w:p>
        </w:tc>
      </w:tr>
      <w:tr w:rsidR="00580E6E" w:rsidRPr="00580E6E" w14:paraId="0B10174B" w14:textId="77777777" w:rsidTr="00A22E28">
        <w:tc>
          <w:tcPr>
            <w:tcW w:w="2160" w:type="dxa"/>
            <w:shd w:val="clear" w:color="auto" w:fill="EBF3FB"/>
          </w:tcPr>
          <w:p w14:paraId="3E65B868" w14:textId="77777777" w:rsidR="00580E6E" w:rsidRPr="00580E6E" w:rsidRDefault="00580E6E" w:rsidP="00A22E28">
            <w:pPr>
              <w:rPr>
                <w:sz w:val="24"/>
                <w:szCs w:val="24"/>
              </w:rPr>
            </w:pPr>
            <w:r w:rsidRPr="00580E6E">
              <w:rPr>
                <w:b/>
                <w:sz w:val="24"/>
                <w:szCs w:val="24"/>
              </w:rPr>
              <w:lastRenderedPageBreak/>
              <w:t>Weeks 10–11</w:t>
            </w:r>
          </w:p>
        </w:tc>
        <w:tc>
          <w:tcPr>
            <w:tcW w:w="6480" w:type="dxa"/>
          </w:tcPr>
          <w:p w14:paraId="5F6043A6" w14:textId="77777777" w:rsidR="00580E6E" w:rsidRPr="00580E6E" w:rsidRDefault="00580E6E" w:rsidP="00A22E28">
            <w:pPr>
              <w:rPr>
                <w:sz w:val="24"/>
                <w:szCs w:val="24"/>
              </w:rPr>
            </w:pPr>
            <w:r w:rsidRPr="00580E6E">
              <w:rPr>
                <w:sz w:val="24"/>
                <w:szCs w:val="24"/>
              </w:rPr>
              <w:t>Draft Chapter 3 (Methods).</w:t>
            </w:r>
          </w:p>
        </w:tc>
      </w:tr>
      <w:tr w:rsidR="00580E6E" w:rsidRPr="00580E6E" w14:paraId="06D329F4" w14:textId="77777777" w:rsidTr="00A22E28">
        <w:tc>
          <w:tcPr>
            <w:tcW w:w="2160" w:type="dxa"/>
            <w:shd w:val="clear" w:color="auto" w:fill="D6E4F0"/>
          </w:tcPr>
          <w:p w14:paraId="035A3F83" w14:textId="77777777" w:rsidR="00580E6E" w:rsidRPr="00580E6E" w:rsidRDefault="00580E6E" w:rsidP="00A22E28">
            <w:pPr>
              <w:rPr>
                <w:sz w:val="24"/>
                <w:szCs w:val="24"/>
              </w:rPr>
            </w:pPr>
            <w:r w:rsidRPr="00580E6E">
              <w:rPr>
                <w:b/>
                <w:sz w:val="24"/>
                <w:szCs w:val="24"/>
              </w:rPr>
              <w:t>Weeks 12–13</w:t>
            </w:r>
          </w:p>
        </w:tc>
        <w:tc>
          <w:tcPr>
            <w:tcW w:w="6480" w:type="dxa"/>
          </w:tcPr>
          <w:p w14:paraId="38433EF6" w14:textId="77777777" w:rsidR="00580E6E" w:rsidRPr="00580E6E" w:rsidRDefault="00580E6E" w:rsidP="00A22E28">
            <w:pPr>
              <w:rPr>
                <w:sz w:val="24"/>
                <w:szCs w:val="24"/>
              </w:rPr>
            </w:pPr>
            <w:r w:rsidRPr="00580E6E">
              <w:rPr>
                <w:sz w:val="24"/>
                <w:szCs w:val="24"/>
              </w:rPr>
              <w:t>Draft Chapter 4 (Results and Discussion).</w:t>
            </w:r>
          </w:p>
        </w:tc>
      </w:tr>
      <w:tr w:rsidR="00580E6E" w:rsidRPr="00580E6E" w14:paraId="1F315187" w14:textId="77777777" w:rsidTr="00A22E28">
        <w:tc>
          <w:tcPr>
            <w:tcW w:w="2160" w:type="dxa"/>
            <w:shd w:val="clear" w:color="auto" w:fill="EBF3FB"/>
          </w:tcPr>
          <w:p w14:paraId="6DFD2D29" w14:textId="77777777" w:rsidR="00580E6E" w:rsidRPr="00580E6E" w:rsidRDefault="00580E6E" w:rsidP="00A22E28">
            <w:pPr>
              <w:rPr>
                <w:sz w:val="24"/>
                <w:szCs w:val="24"/>
              </w:rPr>
            </w:pPr>
            <w:r w:rsidRPr="00580E6E">
              <w:rPr>
                <w:b/>
                <w:sz w:val="24"/>
                <w:szCs w:val="24"/>
              </w:rPr>
              <w:t>Week 14</w:t>
            </w:r>
          </w:p>
        </w:tc>
        <w:tc>
          <w:tcPr>
            <w:tcW w:w="6480" w:type="dxa"/>
          </w:tcPr>
          <w:p w14:paraId="24BA6E97" w14:textId="77777777" w:rsidR="00580E6E" w:rsidRPr="00580E6E" w:rsidRDefault="00580E6E" w:rsidP="00A22E28">
            <w:pPr>
              <w:rPr>
                <w:sz w:val="24"/>
                <w:szCs w:val="24"/>
              </w:rPr>
            </w:pPr>
            <w:r w:rsidRPr="00580E6E">
              <w:rPr>
                <w:sz w:val="24"/>
                <w:szCs w:val="24"/>
              </w:rPr>
              <w:t>Draft Chapter 5 (Recommendations and Conclusion).</w:t>
            </w:r>
          </w:p>
        </w:tc>
      </w:tr>
      <w:tr w:rsidR="00580E6E" w:rsidRPr="00580E6E" w14:paraId="70E32AB9" w14:textId="77777777" w:rsidTr="00A22E28">
        <w:tc>
          <w:tcPr>
            <w:tcW w:w="2160" w:type="dxa"/>
            <w:shd w:val="clear" w:color="auto" w:fill="D6E4F0"/>
          </w:tcPr>
          <w:p w14:paraId="42116423" w14:textId="77777777" w:rsidR="00580E6E" w:rsidRPr="00580E6E" w:rsidRDefault="00580E6E" w:rsidP="00A22E28">
            <w:pPr>
              <w:rPr>
                <w:sz w:val="24"/>
                <w:szCs w:val="24"/>
              </w:rPr>
            </w:pPr>
            <w:r w:rsidRPr="00580E6E">
              <w:rPr>
                <w:b/>
                <w:sz w:val="24"/>
                <w:szCs w:val="24"/>
              </w:rPr>
              <w:t>Week 15</w:t>
            </w:r>
          </w:p>
        </w:tc>
        <w:tc>
          <w:tcPr>
            <w:tcW w:w="6480" w:type="dxa"/>
          </w:tcPr>
          <w:p w14:paraId="303B601E" w14:textId="77777777" w:rsidR="00580E6E" w:rsidRPr="00580E6E" w:rsidRDefault="00580E6E" w:rsidP="00A22E28">
            <w:pPr>
              <w:rPr>
                <w:sz w:val="24"/>
                <w:szCs w:val="24"/>
              </w:rPr>
            </w:pPr>
            <w:r w:rsidRPr="00580E6E">
              <w:rPr>
                <w:sz w:val="24"/>
                <w:szCs w:val="24"/>
              </w:rPr>
              <w:t>Editing, proofreading, referencing and supervisor feedback.</w:t>
            </w:r>
          </w:p>
        </w:tc>
      </w:tr>
      <w:tr w:rsidR="00580E6E" w:rsidRPr="00580E6E" w14:paraId="45FC493F" w14:textId="77777777" w:rsidTr="00A22E28">
        <w:tc>
          <w:tcPr>
            <w:tcW w:w="2160" w:type="dxa"/>
            <w:shd w:val="clear" w:color="auto" w:fill="EBF3FB"/>
          </w:tcPr>
          <w:p w14:paraId="55EAF484" w14:textId="77777777" w:rsidR="00580E6E" w:rsidRPr="00580E6E" w:rsidRDefault="00580E6E" w:rsidP="00A22E28">
            <w:pPr>
              <w:rPr>
                <w:sz w:val="24"/>
                <w:szCs w:val="24"/>
              </w:rPr>
            </w:pPr>
            <w:r w:rsidRPr="00580E6E">
              <w:rPr>
                <w:b/>
                <w:sz w:val="24"/>
                <w:szCs w:val="24"/>
              </w:rPr>
              <w:t>Week 16</w:t>
            </w:r>
          </w:p>
        </w:tc>
        <w:tc>
          <w:tcPr>
            <w:tcW w:w="6480" w:type="dxa"/>
          </w:tcPr>
          <w:p w14:paraId="31B348CA" w14:textId="77777777" w:rsidR="00580E6E" w:rsidRPr="00580E6E" w:rsidRDefault="00580E6E" w:rsidP="00A22E28">
            <w:pPr>
              <w:rPr>
                <w:sz w:val="24"/>
                <w:szCs w:val="24"/>
              </w:rPr>
            </w:pPr>
            <w:r w:rsidRPr="00580E6E">
              <w:rPr>
                <w:sz w:val="24"/>
                <w:szCs w:val="24"/>
              </w:rPr>
              <w:t>Final revisions and submission.</w:t>
            </w:r>
          </w:p>
        </w:tc>
      </w:tr>
    </w:tbl>
    <w:p w14:paraId="0E6DFA8F" w14:textId="77777777" w:rsidR="00580E6E" w:rsidRPr="00580E6E" w:rsidRDefault="00580E6E" w:rsidP="00580E6E">
      <w:pPr>
        <w:spacing w:line="360" w:lineRule="auto"/>
        <w:rPr>
          <w:rFonts w:ascii="Arial" w:hAnsi="Arial" w:cs="Arial"/>
          <w:b/>
          <w:sz w:val="24"/>
          <w:szCs w:val="24"/>
        </w:rPr>
      </w:pPr>
    </w:p>
    <w:p w14:paraId="7580DAC2" w14:textId="1FD3764C" w:rsidR="003D3E7A" w:rsidRPr="00580E6E" w:rsidRDefault="003D3E7A" w:rsidP="00580E6E">
      <w:pPr>
        <w:spacing w:line="360" w:lineRule="auto"/>
        <w:rPr>
          <w:rFonts w:ascii="Arial" w:hAnsi="Arial" w:cs="Arial"/>
          <w:b/>
          <w:sz w:val="24"/>
          <w:szCs w:val="24"/>
        </w:rPr>
      </w:pPr>
      <w:r w:rsidRPr="00580E6E">
        <w:rPr>
          <w:rFonts w:ascii="Arial" w:hAnsi="Arial" w:cs="Arial"/>
          <w:b/>
          <w:sz w:val="24"/>
          <w:szCs w:val="24"/>
        </w:rPr>
        <w:t>7) Self-Reflection as Researcher</w:t>
      </w:r>
    </w:p>
    <w:p w14:paraId="6B55402E" w14:textId="4FF0EE0C" w:rsidR="003D3E7A" w:rsidRPr="00580E6E" w:rsidRDefault="00580E6E" w:rsidP="00C707E0">
      <w:pPr>
        <w:spacing w:line="360" w:lineRule="auto"/>
        <w:rPr>
          <w:rFonts w:ascii="Arial" w:hAnsi="Arial" w:cs="Arial"/>
          <w:sz w:val="24"/>
          <w:szCs w:val="24"/>
        </w:rPr>
      </w:pPr>
      <w:r w:rsidRPr="00580E6E">
        <w:rPr>
          <w:rFonts w:ascii="Arial" w:hAnsi="Arial" w:cs="Arial"/>
          <w:sz w:val="24"/>
          <w:szCs w:val="24"/>
        </w:rPr>
        <w:t>The researcher is very interested in carrying out this research, as COVID-19 is a public health problem that has a huge impact on disadvantaged groups and the NHS. The researcher has good skills in critical reading, academic writing and synthesizing information from various and diverse sources. One constraint is the amount of literature in the field of COVID-19 and the need to identify the most relevant, yet still focus and have a clear scope for literature input. During the research process, students will be expected to carefully evaluate sources and to learn how to perform thematic analysis to discover patterns and findings. The researcher will ensure that only the evidence that has been critically evaluated from multiple perspectives is used, and that there is regular feedback with the project supervisor, aiming to minimise bias and enhance the quality of the study. This method will help to build a well-rounded, research- and education-based project.</w:t>
      </w:r>
    </w:p>
    <w:p w14:paraId="408C20B8" w14:textId="77777777" w:rsidR="003D3E7A" w:rsidRPr="00580E6E" w:rsidRDefault="003D3E7A" w:rsidP="00C707E0">
      <w:pPr>
        <w:spacing w:line="360" w:lineRule="auto"/>
        <w:rPr>
          <w:rFonts w:ascii="Arial" w:hAnsi="Arial" w:cs="Arial"/>
          <w:b/>
          <w:sz w:val="24"/>
          <w:szCs w:val="24"/>
        </w:rPr>
      </w:pPr>
      <w:r w:rsidRPr="00580E6E">
        <w:rPr>
          <w:rFonts w:ascii="Arial" w:hAnsi="Arial" w:cs="Arial"/>
          <w:b/>
          <w:sz w:val="24"/>
          <w:szCs w:val="24"/>
        </w:rPr>
        <w:t>References</w:t>
      </w:r>
    </w:p>
    <w:p w14:paraId="5ACFFDFF" w14:textId="77777777" w:rsidR="00C707E0" w:rsidRPr="00580E6E" w:rsidRDefault="00C707E0" w:rsidP="00C707E0">
      <w:pPr>
        <w:spacing w:after="100" w:line="360" w:lineRule="auto"/>
        <w:ind w:left="720" w:hanging="720"/>
        <w:rPr>
          <w:rFonts w:ascii="Arial" w:eastAsia="Arial" w:hAnsi="Arial" w:cs="Arial"/>
          <w:sz w:val="24"/>
          <w:szCs w:val="24"/>
          <w:lang w:eastAsia="en-GB"/>
        </w:rPr>
      </w:pPr>
      <w:r w:rsidRPr="00580E6E">
        <w:rPr>
          <w:rFonts w:ascii="Arial" w:eastAsia="Arial" w:hAnsi="Arial" w:cs="Arial"/>
          <w:sz w:val="24"/>
          <w:szCs w:val="24"/>
          <w:lang w:eastAsia="en-GB"/>
        </w:rPr>
        <w:t xml:space="preserve">Bambra, C., Riordan, R., Ford, J. and Matthews, F. (2020) ‘The COVID-19 pandemic and health inequalities’, Journal of Epidemiology and Community Health, 74(11), pp. 964–968. </w:t>
      </w:r>
      <w:proofErr w:type="spellStart"/>
      <w:r w:rsidRPr="00580E6E">
        <w:rPr>
          <w:rFonts w:ascii="Arial" w:eastAsia="Arial" w:hAnsi="Arial" w:cs="Arial"/>
          <w:sz w:val="24"/>
          <w:szCs w:val="24"/>
          <w:lang w:eastAsia="en-GB"/>
        </w:rPr>
        <w:t>doi</w:t>
      </w:r>
      <w:proofErr w:type="spellEnd"/>
      <w:r w:rsidRPr="00580E6E">
        <w:rPr>
          <w:rFonts w:ascii="Arial" w:eastAsia="Arial" w:hAnsi="Arial" w:cs="Arial"/>
          <w:sz w:val="24"/>
          <w:szCs w:val="24"/>
          <w:lang w:eastAsia="en-GB"/>
        </w:rPr>
        <w:t>: 10.1136/jech-2020-214401.</w:t>
      </w:r>
    </w:p>
    <w:p w14:paraId="78500097" w14:textId="77777777" w:rsidR="00C707E0" w:rsidRPr="00580E6E" w:rsidRDefault="00C707E0" w:rsidP="00C707E0">
      <w:pPr>
        <w:spacing w:after="100" w:line="360" w:lineRule="auto"/>
        <w:ind w:left="720" w:hanging="720"/>
        <w:rPr>
          <w:rFonts w:ascii="Arial" w:eastAsia="Arial" w:hAnsi="Arial" w:cs="Arial"/>
          <w:sz w:val="24"/>
          <w:szCs w:val="24"/>
          <w:lang w:eastAsia="en-GB"/>
        </w:rPr>
      </w:pPr>
      <w:r w:rsidRPr="00580E6E">
        <w:rPr>
          <w:rFonts w:ascii="Arial" w:eastAsia="Arial" w:hAnsi="Arial" w:cs="Arial"/>
          <w:sz w:val="24"/>
          <w:szCs w:val="24"/>
          <w:lang w:eastAsia="en-GB"/>
        </w:rPr>
        <w:t>British Medical Association (BMA) (2023) The impact of the pandemic on population health and health inequalities. London: BMA. Available at: https://www.bma.org.uk (Accessed: 22 May 2026).</w:t>
      </w:r>
    </w:p>
    <w:p w14:paraId="3033A2B5" w14:textId="77777777" w:rsidR="00C707E0" w:rsidRPr="00580E6E" w:rsidRDefault="00C707E0" w:rsidP="00C707E0">
      <w:pPr>
        <w:spacing w:after="100" w:line="360" w:lineRule="auto"/>
        <w:ind w:left="720" w:hanging="720"/>
        <w:rPr>
          <w:rFonts w:ascii="Arial" w:eastAsia="Arial" w:hAnsi="Arial" w:cs="Arial"/>
          <w:sz w:val="24"/>
          <w:szCs w:val="24"/>
          <w:lang w:eastAsia="en-GB"/>
        </w:rPr>
      </w:pPr>
      <w:r w:rsidRPr="00580E6E">
        <w:rPr>
          <w:rFonts w:ascii="Arial" w:eastAsia="Arial" w:hAnsi="Arial" w:cs="Arial"/>
          <w:sz w:val="24"/>
          <w:szCs w:val="24"/>
          <w:lang w:eastAsia="en-GB"/>
        </w:rPr>
        <w:lastRenderedPageBreak/>
        <w:t>Health Foundation (2022) The continuing impact of COVID-19 on health and inequalities. London: Health Foundation. Available at: https://www.health.org.uk (Accessed: 22 May 2026).</w:t>
      </w:r>
    </w:p>
    <w:p w14:paraId="47F5CB5A" w14:textId="77777777" w:rsidR="00C707E0" w:rsidRPr="00580E6E" w:rsidRDefault="00C707E0" w:rsidP="00C707E0">
      <w:pPr>
        <w:spacing w:after="100" w:line="360" w:lineRule="auto"/>
        <w:ind w:left="720" w:hanging="720"/>
        <w:rPr>
          <w:rFonts w:ascii="Arial" w:eastAsia="Arial" w:hAnsi="Arial" w:cs="Arial"/>
          <w:sz w:val="24"/>
          <w:szCs w:val="24"/>
          <w:lang w:eastAsia="en-GB"/>
        </w:rPr>
      </w:pPr>
      <w:r w:rsidRPr="00580E6E">
        <w:rPr>
          <w:rFonts w:ascii="Arial" w:eastAsia="Arial" w:hAnsi="Arial" w:cs="Arial"/>
          <w:sz w:val="24"/>
          <w:szCs w:val="24"/>
          <w:lang w:eastAsia="en-GB"/>
        </w:rPr>
        <w:t xml:space="preserve">Marmot, M., Allen, J., Boyce, T., Goldblatt, P. and Morrison, J. (2020) Health equity in England: </w:t>
      </w:r>
      <w:proofErr w:type="gramStart"/>
      <w:r w:rsidRPr="00580E6E">
        <w:rPr>
          <w:rFonts w:ascii="Arial" w:eastAsia="Arial" w:hAnsi="Arial" w:cs="Arial"/>
          <w:sz w:val="24"/>
          <w:szCs w:val="24"/>
          <w:lang w:eastAsia="en-GB"/>
        </w:rPr>
        <w:t>the</w:t>
      </w:r>
      <w:proofErr w:type="gramEnd"/>
      <w:r w:rsidRPr="00580E6E">
        <w:rPr>
          <w:rFonts w:ascii="Arial" w:eastAsia="Arial" w:hAnsi="Arial" w:cs="Arial"/>
          <w:sz w:val="24"/>
          <w:szCs w:val="24"/>
          <w:lang w:eastAsia="en-GB"/>
        </w:rPr>
        <w:t xml:space="preserve"> Marmot Review 10 years on. London: Institute of Health Equity.</w:t>
      </w:r>
    </w:p>
    <w:p w14:paraId="3B870E1E" w14:textId="77777777" w:rsidR="00C707E0" w:rsidRPr="00580E6E" w:rsidRDefault="00C707E0" w:rsidP="00C707E0">
      <w:pPr>
        <w:spacing w:after="100" w:line="360" w:lineRule="auto"/>
        <w:ind w:left="720" w:hanging="720"/>
        <w:rPr>
          <w:rFonts w:ascii="Arial" w:eastAsia="Arial" w:hAnsi="Arial" w:cs="Arial"/>
          <w:sz w:val="24"/>
          <w:szCs w:val="24"/>
          <w:lang w:eastAsia="en-GB"/>
        </w:rPr>
      </w:pPr>
      <w:r w:rsidRPr="00580E6E">
        <w:rPr>
          <w:rFonts w:ascii="Arial" w:eastAsia="Arial" w:hAnsi="Arial" w:cs="Arial"/>
          <w:sz w:val="24"/>
          <w:szCs w:val="24"/>
          <w:lang w:eastAsia="en-GB"/>
        </w:rPr>
        <w:t xml:space="preserve">McGowan, V.J., Bambra, C. and Stafford, M. (2022) ‘COVID-19 mortality and deprivation: pandemic, </w:t>
      </w:r>
      <w:proofErr w:type="spellStart"/>
      <w:r w:rsidRPr="00580E6E">
        <w:rPr>
          <w:rFonts w:ascii="Arial" w:eastAsia="Arial" w:hAnsi="Arial" w:cs="Arial"/>
          <w:sz w:val="24"/>
          <w:szCs w:val="24"/>
          <w:lang w:eastAsia="en-GB"/>
        </w:rPr>
        <w:t>syndemic</w:t>
      </w:r>
      <w:proofErr w:type="spellEnd"/>
      <w:r w:rsidRPr="00580E6E">
        <w:rPr>
          <w:rFonts w:ascii="Arial" w:eastAsia="Arial" w:hAnsi="Arial" w:cs="Arial"/>
          <w:sz w:val="24"/>
          <w:szCs w:val="24"/>
          <w:lang w:eastAsia="en-GB"/>
        </w:rPr>
        <w:t xml:space="preserve">, and endemic health inequalities’, The Lancet Public Health, 7(11), pp. e966–e975. </w:t>
      </w:r>
      <w:proofErr w:type="spellStart"/>
      <w:r w:rsidRPr="00580E6E">
        <w:rPr>
          <w:rFonts w:ascii="Arial" w:eastAsia="Arial" w:hAnsi="Arial" w:cs="Arial"/>
          <w:sz w:val="24"/>
          <w:szCs w:val="24"/>
          <w:lang w:eastAsia="en-GB"/>
        </w:rPr>
        <w:t>doi</w:t>
      </w:r>
      <w:proofErr w:type="spellEnd"/>
      <w:r w:rsidRPr="00580E6E">
        <w:rPr>
          <w:rFonts w:ascii="Arial" w:eastAsia="Arial" w:hAnsi="Arial" w:cs="Arial"/>
          <w:sz w:val="24"/>
          <w:szCs w:val="24"/>
          <w:lang w:eastAsia="en-GB"/>
        </w:rPr>
        <w:t>: 10.1016/S2468-2667(22)00223-7.</w:t>
      </w:r>
    </w:p>
    <w:p w14:paraId="4735673F" w14:textId="77777777" w:rsidR="00C707E0" w:rsidRPr="00580E6E" w:rsidRDefault="00C707E0" w:rsidP="00C707E0">
      <w:pPr>
        <w:spacing w:after="100" w:line="360" w:lineRule="auto"/>
        <w:ind w:left="720" w:hanging="720"/>
        <w:rPr>
          <w:rFonts w:ascii="Arial" w:eastAsia="Arial" w:hAnsi="Arial" w:cs="Arial"/>
          <w:sz w:val="24"/>
          <w:szCs w:val="24"/>
          <w:lang w:eastAsia="en-GB"/>
        </w:rPr>
      </w:pPr>
      <w:r w:rsidRPr="00580E6E">
        <w:rPr>
          <w:rFonts w:ascii="Arial" w:eastAsia="Arial" w:hAnsi="Arial" w:cs="Arial"/>
          <w:sz w:val="24"/>
          <w:szCs w:val="24"/>
          <w:lang w:eastAsia="en-GB"/>
        </w:rPr>
        <w:t xml:space="preserve">Pierce, M., McManus, S., Hope, H., </w:t>
      </w:r>
      <w:proofErr w:type="spellStart"/>
      <w:r w:rsidRPr="00580E6E">
        <w:rPr>
          <w:rFonts w:ascii="Arial" w:eastAsia="Arial" w:hAnsi="Arial" w:cs="Arial"/>
          <w:sz w:val="24"/>
          <w:szCs w:val="24"/>
          <w:lang w:eastAsia="en-GB"/>
        </w:rPr>
        <w:t>Hotopf</w:t>
      </w:r>
      <w:proofErr w:type="spellEnd"/>
      <w:r w:rsidRPr="00580E6E">
        <w:rPr>
          <w:rFonts w:ascii="Arial" w:eastAsia="Arial" w:hAnsi="Arial" w:cs="Arial"/>
          <w:sz w:val="24"/>
          <w:szCs w:val="24"/>
          <w:lang w:eastAsia="en-GB"/>
        </w:rPr>
        <w:t xml:space="preserve">, M., Ford, T., Hatch, S.L. and Abel, K.M. (2021) ‘Mental health responses to the COVID-19 pandemic: a latent class trajectory analysis using longitudinal UK data’, The Lancet Psychiatry, 8(7), pp. 610–619. </w:t>
      </w:r>
      <w:proofErr w:type="spellStart"/>
      <w:r w:rsidRPr="00580E6E">
        <w:rPr>
          <w:rFonts w:ascii="Arial" w:eastAsia="Arial" w:hAnsi="Arial" w:cs="Arial"/>
          <w:sz w:val="24"/>
          <w:szCs w:val="24"/>
          <w:lang w:eastAsia="en-GB"/>
        </w:rPr>
        <w:t>doi</w:t>
      </w:r>
      <w:proofErr w:type="spellEnd"/>
      <w:r w:rsidRPr="00580E6E">
        <w:rPr>
          <w:rFonts w:ascii="Arial" w:eastAsia="Arial" w:hAnsi="Arial" w:cs="Arial"/>
          <w:sz w:val="24"/>
          <w:szCs w:val="24"/>
          <w:lang w:eastAsia="en-GB"/>
        </w:rPr>
        <w:t>: 10.1016/S2215-0366(21)00151-6.</w:t>
      </w:r>
    </w:p>
    <w:p w14:paraId="66C6A743" w14:textId="77777777" w:rsidR="00C707E0" w:rsidRPr="00580E6E" w:rsidRDefault="00C707E0" w:rsidP="00C707E0">
      <w:pPr>
        <w:spacing w:after="100" w:line="360" w:lineRule="auto"/>
        <w:ind w:left="720" w:hanging="720"/>
        <w:rPr>
          <w:rFonts w:ascii="Arial" w:eastAsia="Arial" w:hAnsi="Arial" w:cs="Arial"/>
          <w:sz w:val="24"/>
          <w:szCs w:val="24"/>
          <w:lang w:eastAsia="en-GB"/>
        </w:rPr>
      </w:pPr>
      <w:proofErr w:type="spellStart"/>
      <w:r w:rsidRPr="00580E6E">
        <w:rPr>
          <w:rFonts w:ascii="Arial" w:eastAsia="Arial" w:hAnsi="Arial" w:cs="Arial"/>
          <w:sz w:val="24"/>
          <w:szCs w:val="24"/>
          <w:lang w:eastAsia="en-GB"/>
        </w:rPr>
        <w:t>Sunkersing</w:t>
      </w:r>
      <w:proofErr w:type="spellEnd"/>
      <w:r w:rsidRPr="00580E6E">
        <w:rPr>
          <w:rFonts w:ascii="Arial" w:eastAsia="Arial" w:hAnsi="Arial" w:cs="Arial"/>
          <w:sz w:val="24"/>
          <w:szCs w:val="24"/>
          <w:lang w:eastAsia="en-GB"/>
        </w:rPr>
        <w:t xml:space="preserve">, D., Ramasawmy, M., Alwan, N.A., Clutterbuck, D., Mu, Y. and </w:t>
      </w:r>
      <w:proofErr w:type="spellStart"/>
      <w:r w:rsidRPr="00580E6E">
        <w:rPr>
          <w:rFonts w:ascii="Arial" w:eastAsia="Arial" w:hAnsi="Arial" w:cs="Arial"/>
          <w:sz w:val="24"/>
          <w:szCs w:val="24"/>
          <w:lang w:eastAsia="en-GB"/>
        </w:rPr>
        <w:t>Horstmanshof</w:t>
      </w:r>
      <w:proofErr w:type="spellEnd"/>
      <w:r w:rsidRPr="00580E6E">
        <w:rPr>
          <w:rFonts w:ascii="Arial" w:eastAsia="Arial" w:hAnsi="Arial" w:cs="Arial"/>
          <w:sz w:val="24"/>
          <w:szCs w:val="24"/>
          <w:lang w:eastAsia="en-GB"/>
        </w:rPr>
        <w:t xml:space="preserve">, K. (2024) ‘What is current care for people with Long COVID in England? A qualitative interview study’, BMJ Open, 14(5), p. e080967. </w:t>
      </w:r>
      <w:proofErr w:type="spellStart"/>
      <w:r w:rsidRPr="00580E6E">
        <w:rPr>
          <w:rFonts w:ascii="Arial" w:eastAsia="Arial" w:hAnsi="Arial" w:cs="Arial"/>
          <w:sz w:val="24"/>
          <w:szCs w:val="24"/>
          <w:lang w:eastAsia="en-GB"/>
        </w:rPr>
        <w:t>doi</w:t>
      </w:r>
      <w:proofErr w:type="spellEnd"/>
      <w:r w:rsidRPr="00580E6E">
        <w:rPr>
          <w:rFonts w:ascii="Arial" w:eastAsia="Arial" w:hAnsi="Arial" w:cs="Arial"/>
          <w:sz w:val="24"/>
          <w:szCs w:val="24"/>
          <w:lang w:eastAsia="en-GB"/>
        </w:rPr>
        <w:t>: 10.1136/bmjopen-2023-080967.</w:t>
      </w:r>
    </w:p>
    <w:p w14:paraId="6E0BAB33" w14:textId="77777777" w:rsidR="00C707E0" w:rsidRPr="00580E6E" w:rsidRDefault="00C707E0" w:rsidP="00C707E0">
      <w:pPr>
        <w:spacing w:after="100" w:line="360" w:lineRule="auto"/>
        <w:ind w:left="720" w:hanging="720"/>
        <w:rPr>
          <w:rFonts w:ascii="Arial" w:eastAsia="Arial" w:hAnsi="Arial" w:cs="Arial"/>
          <w:sz w:val="24"/>
          <w:szCs w:val="24"/>
          <w:lang w:eastAsia="en-GB"/>
        </w:rPr>
      </w:pPr>
      <w:r w:rsidRPr="00580E6E">
        <w:rPr>
          <w:rFonts w:ascii="Arial" w:eastAsia="Arial" w:hAnsi="Arial" w:cs="Arial"/>
          <w:sz w:val="24"/>
          <w:szCs w:val="24"/>
          <w:lang w:eastAsia="en-GB"/>
        </w:rPr>
        <w:t xml:space="preserve">Wheatle, M. (2021) ‘COVID-19 highlights health inequalities in individuals from black and minority ethnic backgrounds within the United Kingdom’, Health Promotion Perspectives, 11(2), pp. 120–122. </w:t>
      </w:r>
      <w:proofErr w:type="spellStart"/>
      <w:r w:rsidRPr="00580E6E">
        <w:rPr>
          <w:rFonts w:ascii="Arial" w:eastAsia="Arial" w:hAnsi="Arial" w:cs="Arial"/>
          <w:sz w:val="24"/>
          <w:szCs w:val="24"/>
          <w:lang w:eastAsia="en-GB"/>
        </w:rPr>
        <w:t>doi</w:t>
      </w:r>
      <w:proofErr w:type="spellEnd"/>
      <w:r w:rsidRPr="00580E6E">
        <w:rPr>
          <w:rFonts w:ascii="Arial" w:eastAsia="Arial" w:hAnsi="Arial" w:cs="Arial"/>
          <w:sz w:val="24"/>
          <w:szCs w:val="24"/>
          <w:lang w:eastAsia="en-GB"/>
        </w:rPr>
        <w:t>: 10.34172/hpp.2021.15.</w:t>
      </w:r>
    </w:p>
    <w:p w14:paraId="50B3B904" w14:textId="77777777" w:rsidR="0057349C" w:rsidRPr="00580E6E" w:rsidRDefault="0057349C" w:rsidP="00C707E0">
      <w:pPr>
        <w:spacing w:line="360" w:lineRule="auto"/>
        <w:rPr>
          <w:rFonts w:ascii="Arial" w:hAnsi="Arial" w:cs="Arial"/>
          <w:sz w:val="24"/>
          <w:szCs w:val="24"/>
        </w:rPr>
      </w:pPr>
    </w:p>
    <w:sectPr w:rsidR="0057349C" w:rsidRPr="00580E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E7285"/>
    <w:multiLevelType w:val="hybridMultilevel"/>
    <w:tmpl w:val="3DF65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4C31D5"/>
    <w:multiLevelType w:val="hybridMultilevel"/>
    <w:tmpl w:val="EA788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2535CB"/>
    <w:multiLevelType w:val="hybridMultilevel"/>
    <w:tmpl w:val="FBC69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070108">
    <w:abstractNumId w:val="2"/>
  </w:num>
  <w:num w:numId="2" w16cid:durableId="563686705">
    <w:abstractNumId w:val="1"/>
  </w:num>
  <w:num w:numId="3" w16cid:durableId="1182013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E7A"/>
    <w:rsid w:val="000012F9"/>
    <w:rsid w:val="0032478E"/>
    <w:rsid w:val="00373D03"/>
    <w:rsid w:val="003D3E7A"/>
    <w:rsid w:val="003E3C40"/>
    <w:rsid w:val="00563569"/>
    <w:rsid w:val="0057349C"/>
    <w:rsid w:val="00580E6E"/>
    <w:rsid w:val="00606CF6"/>
    <w:rsid w:val="00667255"/>
    <w:rsid w:val="006D736A"/>
    <w:rsid w:val="006D7E3A"/>
    <w:rsid w:val="0075704E"/>
    <w:rsid w:val="007C68B1"/>
    <w:rsid w:val="00802789"/>
    <w:rsid w:val="00822C04"/>
    <w:rsid w:val="00836D14"/>
    <w:rsid w:val="009A5CAD"/>
    <w:rsid w:val="009B7890"/>
    <w:rsid w:val="00B94854"/>
    <w:rsid w:val="00C35F8D"/>
    <w:rsid w:val="00C707E0"/>
    <w:rsid w:val="00D84B0B"/>
    <w:rsid w:val="00EE7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F0999"/>
  <w15:docId w15:val="{F3BDC2F8-8D4A-4156-AA6C-288894BE7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563569"/>
    <w:pPr>
      <w:keepNext/>
      <w:keepLines/>
      <w:spacing w:before="240" w:after="0" w:line="259" w:lineRule="auto"/>
      <w:outlineLvl w:val="0"/>
    </w:pPr>
    <w:rPr>
      <w:rFonts w:ascii="Arial" w:eastAsiaTheme="majorEastAsia" w:hAnsi="Arial" w:cstheme="majorBidi"/>
      <w:b/>
      <w:color w:val="000000" w:themeColor="text1"/>
      <w:sz w:val="28"/>
      <w:szCs w:val="32"/>
      <w:lang w:val="en-US"/>
    </w:rPr>
  </w:style>
  <w:style w:type="paragraph" w:styleId="Heading2">
    <w:name w:val="heading 2"/>
    <w:basedOn w:val="Normal"/>
    <w:next w:val="Normal"/>
    <w:link w:val="Heading2Char"/>
    <w:autoRedefine/>
    <w:uiPriority w:val="9"/>
    <w:unhideWhenUsed/>
    <w:qFormat/>
    <w:rsid w:val="0057349C"/>
    <w:pPr>
      <w:keepNext/>
      <w:keepLines/>
      <w:spacing w:before="200" w:after="0"/>
      <w:outlineLvl w:val="1"/>
    </w:pPr>
    <w:rPr>
      <w:rFonts w:asciiTheme="majorHAnsi" w:eastAsiaTheme="majorEastAsia" w:hAnsiTheme="majorHAnsi" w:cstheme="majorBidi"/>
      <w:b/>
      <w:bCs/>
      <w:sz w:val="24"/>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569"/>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57349C"/>
    <w:rPr>
      <w:rFonts w:asciiTheme="majorHAnsi" w:eastAsiaTheme="majorEastAsia" w:hAnsiTheme="majorHAnsi" w:cstheme="majorBidi"/>
      <w:b/>
      <w:bCs/>
      <w:sz w:val="24"/>
      <w:szCs w:val="26"/>
    </w:rPr>
  </w:style>
  <w:style w:type="paragraph" w:styleId="ListParagraph">
    <w:name w:val="List Paragraph"/>
    <w:basedOn w:val="Normal"/>
    <w:uiPriority w:val="34"/>
    <w:qFormat/>
    <w:rsid w:val="00C707E0"/>
    <w:pPr>
      <w:ind w:left="720"/>
      <w:contextualSpacing/>
    </w:pPr>
  </w:style>
  <w:style w:type="table" w:styleId="TableGrid">
    <w:name w:val="Table Grid"/>
    <w:basedOn w:val="TableNormal"/>
    <w:uiPriority w:val="59"/>
    <w:rsid w:val="00580E6E"/>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1270</Words>
  <Characters>7239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Shama Aslam (2324335)</cp:lastModifiedBy>
  <cp:revision>2</cp:revision>
  <dcterms:created xsi:type="dcterms:W3CDTF">2026-06-08T07:50:00Z</dcterms:created>
  <dcterms:modified xsi:type="dcterms:W3CDTF">2026-06-08T07:50:00Z</dcterms:modified>
</cp:coreProperties>
</file>