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7CD110" w14:textId="5449C3A8" w:rsidR="00096BDD" w:rsidRDefault="00096BDD" w:rsidP="00096BDD">
      <w:pPr>
        <w:spacing w:line="360" w:lineRule="auto"/>
        <w:jc w:val="both"/>
        <w:rPr>
          <w:rFonts w:ascii="Arial" w:hAnsi="Arial" w:cs="Arial"/>
          <w:sz w:val="24"/>
          <w:szCs w:val="24"/>
        </w:rPr>
      </w:pPr>
      <w:r>
        <w:rPr>
          <w:rFonts w:ascii="Arial" w:hAnsi="Arial" w:cs="Arial"/>
          <w:sz w:val="24"/>
          <w:szCs w:val="24"/>
        </w:rPr>
        <w:t>The Teenage Brain</w:t>
      </w:r>
    </w:p>
    <w:p w14:paraId="2829D35D" w14:textId="5448449B" w:rsidR="00096BDD" w:rsidRDefault="00096BDD" w:rsidP="00096BDD">
      <w:pPr>
        <w:spacing w:line="360" w:lineRule="auto"/>
        <w:jc w:val="both"/>
        <w:rPr>
          <w:rFonts w:ascii="Arial" w:hAnsi="Arial" w:cs="Arial"/>
          <w:sz w:val="24"/>
          <w:szCs w:val="24"/>
        </w:rPr>
      </w:pPr>
      <w:r>
        <w:rPr>
          <w:rFonts w:ascii="Arial" w:hAnsi="Arial" w:cs="Arial"/>
          <w:sz w:val="24"/>
          <w:szCs w:val="24"/>
        </w:rPr>
        <w:t xml:space="preserve">Some of us more mature students have had the pleasure of watching our children grow and develop through the stages of childhood, adolescence and in to young adulthood; some of us are still at the age of enlightenment and are walking the path of maturation.  For those lucky enough to have experienced the changes that take place from childhood to teenage years you may compare this transition in a similar way to that of Harry Enfield, and the sudden transformation of Kevin, the innocent and obedient son, on the eve of his thirteenth birthday at the striking of the twelfth bell. The once clean cut, polite and well-spoken child turns in to a greasy, scruffy, </w:t>
      </w:r>
      <w:proofErr w:type="gramStart"/>
      <w:r>
        <w:rPr>
          <w:rFonts w:ascii="Arial" w:hAnsi="Arial" w:cs="Arial"/>
          <w:sz w:val="24"/>
          <w:szCs w:val="24"/>
        </w:rPr>
        <w:t>angry</w:t>
      </w:r>
      <w:proofErr w:type="gramEnd"/>
      <w:r>
        <w:rPr>
          <w:rFonts w:ascii="Arial" w:hAnsi="Arial" w:cs="Arial"/>
          <w:sz w:val="24"/>
          <w:szCs w:val="24"/>
        </w:rPr>
        <w:t xml:space="preserve"> and rude adolescent, who knows everything and hates everybody. Although my own personal experiences have not been as extreme, it is true that there are definitive changes occurring in the teenage psych.</w:t>
      </w:r>
    </w:p>
    <w:p w14:paraId="679E6A1A"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 xml:space="preserve">It has often been a cause of concern, and interest to me why my eldest daughter, from the age of twelve onwards, was not only hit by the neurological </w:t>
      </w:r>
      <w:proofErr w:type="gramStart"/>
      <w:r>
        <w:rPr>
          <w:rFonts w:ascii="Arial" w:hAnsi="Arial" w:cs="Arial"/>
          <w:sz w:val="24"/>
          <w:szCs w:val="24"/>
        </w:rPr>
        <w:t>text book</w:t>
      </w:r>
      <w:proofErr w:type="gramEnd"/>
      <w:r>
        <w:rPr>
          <w:rFonts w:ascii="Arial" w:hAnsi="Arial" w:cs="Arial"/>
          <w:sz w:val="24"/>
          <w:szCs w:val="24"/>
        </w:rPr>
        <w:t>, but was probably the basis for many.  How is it possible, or even fair, for one single young girl to be suddenly afflicted by so many neurological issues and still come out the other side smiling?</w:t>
      </w:r>
    </w:p>
    <w:p w14:paraId="4359670C"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The answer is to be found in recent research and neurological studies of the teenager in action</w:t>
      </w:r>
      <w:proofErr w:type="gramStart"/>
      <w:r>
        <w:rPr>
          <w:rFonts w:ascii="Arial" w:hAnsi="Arial" w:cs="Arial"/>
          <w:sz w:val="24"/>
          <w:szCs w:val="24"/>
        </w:rPr>
        <w:t xml:space="preserve">.  </w:t>
      </w:r>
      <w:proofErr w:type="gramEnd"/>
      <w:r>
        <w:rPr>
          <w:rFonts w:ascii="Arial" w:hAnsi="Arial" w:cs="Arial"/>
          <w:sz w:val="24"/>
          <w:szCs w:val="24"/>
        </w:rPr>
        <w:t>Complex in their simplicity, they open the closed door on teenage angst and offer the coping mechanism of understanding.</w:t>
      </w:r>
    </w:p>
    <w:p w14:paraId="57D31E03"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 xml:space="preserve">Since the </w:t>
      </w:r>
      <w:proofErr w:type="spellStart"/>
      <w:r>
        <w:rPr>
          <w:rFonts w:ascii="Arial" w:hAnsi="Arial" w:cs="Arial"/>
          <w:sz w:val="24"/>
          <w:szCs w:val="24"/>
        </w:rPr>
        <w:t>mid 1980s</w:t>
      </w:r>
      <w:proofErr w:type="spellEnd"/>
      <w:r>
        <w:rPr>
          <w:rFonts w:ascii="Arial" w:hAnsi="Arial" w:cs="Arial"/>
          <w:sz w:val="24"/>
          <w:szCs w:val="24"/>
        </w:rPr>
        <w:t xml:space="preserve"> and the development of magnetic resonance imaging, or MRI, scientists have made remarkable discoveries concerning the brain development of the teenager </w:t>
      </w:r>
      <w:sdt>
        <w:sdtPr>
          <w:rPr>
            <w:rFonts w:ascii="Arial" w:hAnsi="Arial" w:cs="Arial"/>
            <w:sz w:val="24"/>
            <w:szCs w:val="24"/>
          </w:rPr>
          <w:id w:val="-1126468964"/>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424440">
            <w:rPr>
              <w:rFonts w:ascii="Arial" w:hAnsi="Arial" w:cs="Arial"/>
              <w:noProof/>
              <w:sz w:val="24"/>
              <w:szCs w:val="24"/>
            </w:rPr>
            <w:t>(Arain, et al., 2013)</w:t>
          </w:r>
          <w:r>
            <w:rPr>
              <w:rFonts w:ascii="Arial" w:hAnsi="Arial" w:cs="Arial"/>
              <w:sz w:val="24"/>
              <w:szCs w:val="24"/>
            </w:rPr>
            <w:fldChar w:fldCharType="end"/>
          </w:r>
        </w:sdtContent>
      </w:sdt>
      <w:r>
        <w:rPr>
          <w:rFonts w:ascii="Arial" w:hAnsi="Arial" w:cs="Arial"/>
          <w:sz w:val="24"/>
          <w:szCs w:val="24"/>
        </w:rPr>
        <w:t xml:space="preserve">.  Whereas adolescence is known to be a ‘difficult’ period in the maturing young human, the use of MRI scans </w:t>
      </w:r>
      <w:proofErr w:type="gramStart"/>
      <w:r>
        <w:rPr>
          <w:rFonts w:ascii="Arial" w:hAnsi="Arial" w:cs="Arial"/>
          <w:sz w:val="24"/>
          <w:szCs w:val="24"/>
        </w:rPr>
        <w:t>have</w:t>
      </w:r>
      <w:proofErr w:type="gramEnd"/>
      <w:r>
        <w:rPr>
          <w:rFonts w:ascii="Arial" w:hAnsi="Arial" w:cs="Arial"/>
          <w:sz w:val="24"/>
          <w:szCs w:val="24"/>
        </w:rPr>
        <w:t xml:space="preserve"> been able to demonstrate just how difficult it can be to the individual.  They have shown, that in terms of human development, adolescence is the equivalent to the growth witnessed in infancy for the rate of changes that take place in the evolving brain </w:t>
      </w:r>
      <w:sdt>
        <w:sdtPr>
          <w:rPr>
            <w:rFonts w:ascii="Arial" w:hAnsi="Arial" w:cs="Arial"/>
            <w:sz w:val="24"/>
            <w:szCs w:val="24"/>
          </w:rPr>
          <w:id w:val="38406282"/>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BD5B64">
            <w:rPr>
              <w:rFonts w:ascii="Arial" w:hAnsi="Arial" w:cs="Arial"/>
              <w:noProof/>
              <w:sz w:val="24"/>
              <w:szCs w:val="24"/>
            </w:rPr>
            <w:t>(Arain, et al., 2013)</w:t>
          </w:r>
          <w:r>
            <w:rPr>
              <w:rFonts w:ascii="Arial" w:hAnsi="Arial" w:cs="Arial"/>
              <w:sz w:val="24"/>
              <w:szCs w:val="24"/>
            </w:rPr>
            <w:fldChar w:fldCharType="end"/>
          </w:r>
        </w:sdtContent>
      </w:sdt>
      <w:r>
        <w:rPr>
          <w:rFonts w:ascii="Arial" w:hAnsi="Arial" w:cs="Arial"/>
          <w:sz w:val="24"/>
          <w:szCs w:val="24"/>
        </w:rPr>
        <w:t xml:space="preserve">.  </w:t>
      </w:r>
    </w:p>
    <w:p w14:paraId="59332D15"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 xml:space="preserve">Although, by the age of twelve (girls) and fourteen (boys), the brain has reached its maximum size </w:t>
      </w:r>
      <w:sdt>
        <w:sdtPr>
          <w:rPr>
            <w:rFonts w:ascii="Arial" w:hAnsi="Arial" w:cs="Arial"/>
            <w:sz w:val="24"/>
            <w:szCs w:val="24"/>
          </w:rPr>
          <w:id w:val="-1919087300"/>
          <w:citation/>
        </w:sdtPr>
        <w:sdtContent>
          <w:r>
            <w:rPr>
              <w:rFonts w:ascii="Arial" w:hAnsi="Arial" w:cs="Arial"/>
              <w:sz w:val="24"/>
              <w:szCs w:val="24"/>
            </w:rPr>
            <w:fldChar w:fldCharType="begin"/>
          </w:r>
          <w:r>
            <w:rPr>
              <w:rFonts w:ascii="Arial" w:hAnsi="Arial" w:cs="Arial"/>
              <w:sz w:val="24"/>
              <w:szCs w:val="24"/>
            </w:rPr>
            <w:instrText xml:space="preserve"> CITATION NIM20 \l 2057 </w:instrText>
          </w:r>
          <w:r>
            <w:rPr>
              <w:rFonts w:ascii="Arial" w:hAnsi="Arial" w:cs="Arial"/>
              <w:sz w:val="24"/>
              <w:szCs w:val="24"/>
            </w:rPr>
            <w:fldChar w:fldCharType="separate"/>
          </w:r>
          <w:r w:rsidRPr="00BD5B64">
            <w:rPr>
              <w:rFonts w:ascii="Arial" w:hAnsi="Arial" w:cs="Arial"/>
              <w:noProof/>
              <w:sz w:val="24"/>
              <w:szCs w:val="24"/>
            </w:rPr>
            <w:t>(NIMH, n.d.)</w:t>
          </w:r>
          <w:r>
            <w:rPr>
              <w:rFonts w:ascii="Arial" w:hAnsi="Arial" w:cs="Arial"/>
              <w:sz w:val="24"/>
              <w:szCs w:val="24"/>
            </w:rPr>
            <w:fldChar w:fldCharType="end"/>
          </w:r>
        </w:sdtContent>
      </w:sdt>
      <w:r>
        <w:rPr>
          <w:rFonts w:ascii="Arial" w:hAnsi="Arial" w:cs="Arial"/>
          <w:sz w:val="24"/>
          <w:szCs w:val="24"/>
        </w:rPr>
        <w:t xml:space="preserve">, it will continue to change and mature up to the late twenties </w:t>
      </w:r>
      <w:sdt>
        <w:sdtPr>
          <w:rPr>
            <w:rFonts w:ascii="Arial" w:hAnsi="Arial" w:cs="Arial"/>
            <w:sz w:val="24"/>
            <w:szCs w:val="24"/>
          </w:rPr>
          <w:id w:val="-1394964666"/>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ED1708">
            <w:rPr>
              <w:rFonts w:ascii="Arial" w:hAnsi="Arial" w:cs="Arial"/>
              <w:noProof/>
              <w:sz w:val="24"/>
              <w:szCs w:val="24"/>
            </w:rPr>
            <w:t>(Arain, et al., 2013)</w:t>
          </w:r>
          <w:r>
            <w:rPr>
              <w:rFonts w:ascii="Arial" w:hAnsi="Arial" w:cs="Arial"/>
              <w:sz w:val="24"/>
              <w:szCs w:val="24"/>
            </w:rPr>
            <w:fldChar w:fldCharType="end"/>
          </w:r>
        </w:sdtContent>
      </w:sdt>
      <w:r>
        <w:rPr>
          <w:rFonts w:ascii="Arial" w:hAnsi="Arial" w:cs="Arial"/>
          <w:sz w:val="24"/>
          <w:szCs w:val="24"/>
        </w:rPr>
        <w:t>.  It is these changes that can cause irrational behaviour or development of neurological conditions.</w:t>
      </w:r>
    </w:p>
    <w:p w14:paraId="1B557039"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lastRenderedPageBreak/>
        <w:t>The brain works in not so mysterious ways, as studies have demonstrated</w:t>
      </w:r>
      <w:proofErr w:type="gramStart"/>
      <w:r>
        <w:rPr>
          <w:rFonts w:ascii="Arial" w:hAnsi="Arial" w:cs="Arial"/>
          <w:sz w:val="24"/>
          <w:szCs w:val="24"/>
        </w:rPr>
        <w:t xml:space="preserve">.  </w:t>
      </w:r>
      <w:proofErr w:type="gramEnd"/>
      <w:r>
        <w:rPr>
          <w:rFonts w:ascii="Arial" w:hAnsi="Arial" w:cs="Arial"/>
          <w:sz w:val="24"/>
          <w:szCs w:val="24"/>
        </w:rPr>
        <w:t>The grey matter, which is made up of neurons (nerve cells) is the outer layer of the brain and is about two millimetres thick</w:t>
      </w:r>
      <w:proofErr w:type="gramStart"/>
      <w:r>
        <w:rPr>
          <w:rFonts w:ascii="Arial" w:hAnsi="Arial" w:cs="Arial"/>
          <w:sz w:val="24"/>
          <w:szCs w:val="24"/>
        </w:rPr>
        <w:t xml:space="preserve">.  </w:t>
      </w:r>
      <w:proofErr w:type="gramEnd"/>
      <w:r>
        <w:rPr>
          <w:rFonts w:ascii="Arial" w:hAnsi="Arial" w:cs="Arial"/>
          <w:sz w:val="24"/>
          <w:szCs w:val="24"/>
        </w:rPr>
        <w:t>Beneath this is the white matter, made up of axons, which are the tails of the neurons and are the transmitters</w:t>
      </w:r>
      <w:proofErr w:type="gramStart"/>
      <w:r>
        <w:rPr>
          <w:rFonts w:ascii="Arial" w:hAnsi="Arial" w:cs="Arial"/>
          <w:sz w:val="24"/>
          <w:szCs w:val="24"/>
        </w:rPr>
        <w:t xml:space="preserve">.  </w:t>
      </w:r>
      <w:proofErr w:type="gramEnd"/>
      <w:r>
        <w:rPr>
          <w:rFonts w:ascii="Arial" w:hAnsi="Arial" w:cs="Arial"/>
          <w:sz w:val="24"/>
          <w:szCs w:val="24"/>
        </w:rPr>
        <w:t>Branching off the axons are the dendrites which are the receivers</w:t>
      </w:r>
      <w:proofErr w:type="gramStart"/>
      <w:r>
        <w:rPr>
          <w:rFonts w:ascii="Arial" w:hAnsi="Arial" w:cs="Arial"/>
          <w:sz w:val="24"/>
          <w:szCs w:val="24"/>
        </w:rPr>
        <w:t xml:space="preserve">.  </w:t>
      </w:r>
      <w:proofErr w:type="gramEnd"/>
      <w:r>
        <w:rPr>
          <w:rFonts w:ascii="Arial" w:hAnsi="Arial" w:cs="Arial"/>
          <w:sz w:val="24"/>
          <w:szCs w:val="24"/>
        </w:rPr>
        <w:t xml:space="preserve">The way it works is that the neurons send the messages, which are transmitted down the axons and sent to the dendrites by jumping over a tiny gap, known as a synapse </w:t>
      </w:r>
      <w:sdt>
        <w:sdtPr>
          <w:rPr>
            <w:rFonts w:ascii="Arial" w:hAnsi="Arial" w:cs="Arial"/>
            <w:sz w:val="24"/>
            <w:szCs w:val="24"/>
          </w:rPr>
          <w:id w:val="-896819413"/>
          <w:citation/>
        </w:sdtPr>
        <w:sdtContent>
          <w:r>
            <w:rPr>
              <w:rFonts w:ascii="Arial" w:hAnsi="Arial" w:cs="Arial"/>
              <w:sz w:val="24"/>
              <w:szCs w:val="24"/>
            </w:rPr>
            <w:fldChar w:fldCharType="begin"/>
          </w:r>
          <w:r>
            <w:rPr>
              <w:rFonts w:ascii="Arial" w:hAnsi="Arial" w:cs="Arial"/>
              <w:sz w:val="24"/>
              <w:szCs w:val="24"/>
            </w:rPr>
            <w:instrText xml:space="preserve">CITATION Mor13 \p 94 \l 2057 </w:instrText>
          </w:r>
          <w:r>
            <w:rPr>
              <w:rFonts w:ascii="Arial" w:hAnsi="Arial" w:cs="Arial"/>
              <w:sz w:val="24"/>
              <w:szCs w:val="24"/>
            </w:rPr>
            <w:fldChar w:fldCharType="separate"/>
          </w:r>
          <w:r w:rsidRPr="00370DD2">
            <w:rPr>
              <w:rFonts w:ascii="Arial" w:hAnsi="Arial" w:cs="Arial"/>
              <w:noProof/>
              <w:sz w:val="24"/>
              <w:szCs w:val="24"/>
            </w:rPr>
            <w:t>(Morgan, 2013, p. 94)</w:t>
          </w:r>
          <w:r>
            <w:rPr>
              <w:rFonts w:ascii="Arial" w:hAnsi="Arial" w:cs="Arial"/>
              <w:sz w:val="24"/>
              <w:szCs w:val="24"/>
            </w:rPr>
            <w:fldChar w:fldCharType="end"/>
          </w:r>
        </w:sdtContent>
      </w:sdt>
      <w:r>
        <w:rPr>
          <w:rFonts w:ascii="Arial" w:hAnsi="Arial" w:cs="Arial"/>
          <w:sz w:val="24"/>
          <w:szCs w:val="24"/>
        </w:rPr>
        <w:t>.  Simple enough!</w:t>
      </w:r>
    </w:p>
    <w:p w14:paraId="37BEFC45"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 xml:space="preserve">However, during puberty the grey matter in the prefrontal cortex, or logic, decision making and general thinking area, begins to decline; by sixteen around 15% can be lost </w:t>
      </w:r>
      <w:sdt>
        <w:sdtPr>
          <w:rPr>
            <w:rFonts w:ascii="Arial" w:hAnsi="Arial" w:cs="Arial"/>
            <w:sz w:val="24"/>
            <w:szCs w:val="24"/>
          </w:rPr>
          <w:id w:val="-27567433"/>
          <w:citation/>
        </w:sdtPr>
        <w:sdtContent>
          <w:r>
            <w:rPr>
              <w:rFonts w:ascii="Arial" w:hAnsi="Arial" w:cs="Arial"/>
              <w:sz w:val="24"/>
              <w:szCs w:val="24"/>
            </w:rPr>
            <w:fldChar w:fldCharType="begin"/>
          </w:r>
          <w:r>
            <w:rPr>
              <w:rFonts w:ascii="Arial" w:hAnsi="Arial" w:cs="Arial"/>
              <w:sz w:val="24"/>
              <w:szCs w:val="24"/>
            </w:rPr>
            <w:instrText xml:space="preserve">CITATION Mor13 \p 233 \l 2057 </w:instrText>
          </w:r>
          <w:r>
            <w:rPr>
              <w:rFonts w:ascii="Arial" w:hAnsi="Arial" w:cs="Arial"/>
              <w:sz w:val="24"/>
              <w:szCs w:val="24"/>
            </w:rPr>
            <w:fldChar w:fldCharType="separate"/>
          </w:r>
          <w:r w:rsidRPr="00370DD2">
            <w:rPr>
              <w:rFonts w:ascii="Arial" w:hAnsi="Arial" w:cs="Arial"/>
              <w:noProof/>
              <w:sz w:val="24"/>
              <w:szCs w:val="24"/>
            </w:rPr>
            <w:t>(Morgan, 2013, p. 233)</w:t>
          </w:r>
          <w:r>
            <w:rPr>
              <w:rFonts w:ascii="Arial" w:hAnsi="Arial" w:cs="Arial"/>
              <w:sz w:val="24"/>
              <w:szCs w:val="24"/>
            </w:rPr>
            <w:fldChar w:fldCharType="end"/>
          </w:r>
        </w:sdtContent>
      </w:sdt>
      <w:r>
        <w:rPr>
          <w:rFonts w:ascii="Arial" w:hAnsi="Arial" w:cs="Arial"/>
          <w:sz w:val="24"/>
          <w:szCs w:val="24"/>
        </w:rPr>
        <w:t xml:space="preserve">.  The dendrites begin to be pruned, to strengthen new and reinforce existing ones </w:t>
      </w:r>
      <w:sdt>
        <w:sdtPr>
          <w:rPr>
            <w:rFonts w:ascii="Arial" w:hAnsi="Arial" w:cs="Arial"/>
            <w:sz w:val="24"/>
            <w:szCs w:val="24"/>
          </w:rPr>
          <w:id w:val="394943376"/>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2248FF">
            <w:rPr>
              <w:rFonts w:ascii="Arial" w:hAnsi="Arial" w:cs="Arial"/>
              <w:noProof/>
              <w:sz w:val="24"/>
              <w:szCs w:val="24"/>
            </w:rPr>
            <w:t>(Arain, et al., 2013)</w:t>
          </w:r>
          <w:r>
            <w:rPr>
              <w:rFonts w:ascii="Arial" w:hAnsi="Arial" w:cs="Arial"/>
              <w:sz w:val="24"/>
              <w:szCs w:val="24"/>
            </w:rPr>
            <w:fldChar w:fldCharType="end"/>
          </w:r>
        </w:sdtContent>
      </w:sdt>
      <w:proofErr w:type="gramStart"/>
      <w:r>
        <w:rPr>
          <w:rFonts w:ascii="Arial" w:hAnsi="Arial" w:cs="Arial"/>
          <w:sz w:val="24"/>
          <w:szCs w:val="24"/>
        </w:rPr>
        <w:t xml:space="preserve">.  </w:t>
      </w:r>
      <w:proofErr w:type="gramEnd"/>
      <w:r>
        <w:rPr>
          <w:rFonts w:ascii="Arial" w:hAnsi="Arial" w:cs="Arial"/>
          <w:sz w:val="24"/>
          <w:szCs w:val="24"/>
        </w:rPr>
        <w:t xml:space="preserve">With the prefrontal cortex mostly closed for reconstruction work, the brain re-directs the thought process through the amygdala, or primitive area of raw emotion, instinct and gut reaction, once described to me by a paediatric psychiatrist, as the </w:t>
      </w:r>
      <w:proofErr w:type="spellStart"/>
      <w:r>
        <w:rPr>
          <w:rFonts w:ascii="Arial" w:hAnsi="Arial" w:cs="Arial"/>
          <w:sz w:val="24"/>
          <w:szCs w:val="24"/>
        </w:rPr>
        <w:t>masterless</w:t>
      </w:r>
      <w:proofErr w:type="spellEnd"/>
      <w:r>
        <w:rPr>
          <w:rFonts w:ascii="Arial" w:hAnsi="Arial" w:cs="Arial"/>
          <w:sz w:val="24"/>
          <w:szCs w:val="24"/>
        </w:rPr>
        <w:t xml:space="preserve"> Jack Russel of the brain.  With the battle of </w:t>
      </w:r>
      <w:proofErr w:type="spellStart"/>
      <w:r>
        <w:rPr>
          <w:rFonts w:ascii="Arial" w:hAnsi="Arial" w:cs="Arial"/>
          <w:sz w:val="24"/>
          <w:szCs w:val="24"/>
        </w:rPr>
        <w:t>estrogen</w:t>
      </w:r>
      <w:proofErr w:type="spellEnd"/>
      <w:r>
        <w:rPr>
          <w:rFonts w:ascii="Arial" w:hAnsi="Arial" w:cs="Arial"/>
          <w:sz w:val="24"/>
          <w:szCs w:val="24"/>
        </w:rPr>
        <w:t>, progesterone and testosterone hormones searching for gender identity, the increased production of cortisol (stress hormone) and decrease in dopamine (pleasure hormone) it should be of no surprise that the teenage behaviour can become irrational during this time of conflict.  Boys more than girls will become risk takers, with the surge of dopamine becoming addictive, and sought out more and more</w:t>
      </w:r>
      <w:proofErr w:type="gramStart"/>
      <w:r>
        <w:rPr>
          <w:rFonts w:ascii="Arial" w:hAnsi="Arial" w:cs="Arial"/>
          <w:sz w:val="24"/>
          <w:szCs w:val="24"/>
        </w:rPr>
        <w:t xml:space="preserve">.  </w:t>
      </w:r>
      <w:proofErr w:type="gramEnd"/>
      <w:r>
        <w:rPr>
          <w:rFonts w:ascii="Arial" w:hAnsi="Arial" w:cs="Arial"/>
          <w:sz w:val="24"/>
          <w:szCs w:val="24"/>
        </w:rPr>
        <w:t xml:space="preserve">Feelings of embarrassment are </w:t>
      </w:r>
      <w:proofErr w:type="gramStart"/>
      <w:r>
        <w:rPr>
          <w:rFonts w:ascii="Arial" w:hAnsi="Arial" w:cs="Arial"/>
          <w:sz w:val="24"/>
          <w:szCs w:val="24"/>
        </w:rPr>
        <w:t>increased</w:t>
      </w:r>
      <w:proofErr w:type="gramEnd"/>
      <w:r>
        <w:rPr>
          <w:rFonts w:ascii="Arial" w:hAnsi="Arial" w:cs="Arial"/>
          <w:sz w:val="24"/>
          <w:szCs w:val="24"/>
        </w:rPr>
        <w:t xml:space="preserve"> and the production of cortisol can cause aggressive outbursts.  Their tendency is to use emotional consideration and live in the present without thinking of long term consequences </w:t>
      </w:r>
      <w:sdt>
        <w:sdtPr>
          <w:rPr>
            <w:rFonts w:ascii="Arial" w:hAnsi="Arial" w:cs="Arial"/>
            <w:sz w:val="24"/>
            <w:szCs w:val="24"/>
          </w:rPr>
          <w:id w:val="876201961"/>
          <w:citation/>
        </w:sdtPr>
        <w:sdtContent>
          <w:r>
            <w:rPr>
              <w:rFonts w:ascii="Arial" w:hAnsi="Arial" w:cs="Arial"/>
              <w:sz w:val="24"/>
              <w:szCs w:val="24"/>
            </w:rPr>
            <w:fldChar w:fldCharType="begin"/>
          </w:r>
          <w:r>
            <w:rPr>
              <w:rFonts w:ascii="Arial" w:hAnsi="Arial" w:cs="Arial"/>
              <w:sz w:val="24"/>
              <w:szCs w:val="24"/>
            </w:rPr>
            <w:instrText xml:space="preserve">CITATION Mor13 \p 311 \l 2057 </w:instrText>
          </w:r>
          <w:r>
            <w:rPr>
              <w:rFonts w:ascii="Arial" w:hAnsi="Arial" w:cs="Arial"/>
              <w:sz w:val="24"/>
              <w:szCs w:val="24"/>
            </w:rPr>
            <w:fldChar w:fldCharType="separate"/>
          </w:r>
          <w:r w:rsidRPr="00370DD2">
            <w:rPr>
              <w:rFonts w:ascii="Arial" w:hAnsi="Arial" w:cs="Arial"/>
              <w:noProof/>
              <w:sz w:val="24"/>
              <w:szCs w:val="24"/>
            </w:rPr>
            <w:t>(Morgan, 2013, p. 311)</w:t>
          </w:r>
          <w:r>
            <w:rPr>
              <w:rFonts w:ascii="Arial" w:hAnsi="Arial" w:cs="Arial"/>
              <w:sz w:val="24"/>
              <w:szCs w:val="24"/>
            </w:rPr>
            <w:fldChar w:fldCharType="end"/>
          </w:r>
        </w:sdtContent>
      </w:sdt>
      <w:r>
        <w:rPr>
          <w:rFonts w:ascii="Arial" w:hAnsi="Arial" w:cs="Arial"/>
          <w:sz w:val="24"/>
          <w:szCs w:val="24"/>
        </w:rPr>
        <w:t xml:space="preserve">.  With the increased use of the primal limbic system (amygdala, hippocampus and hypothalamus) feelings of pleasure are released to reward actions that promote species survival therefore eating and sexual impulses can increase </w:t>
      </w:r>
      <w:sdt>
        <w:sdtPr>
          <w:rPr>
            <w:rFonts w:ascii="Arial" w:hAnsi="Arial" w:cs="Arial"/>
            <w:sz w:val="24"/>
            <w:szCs w:val="24"/>
          </w:rPr>
          <w:id w:val="1503092360"/>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CD1593">
            <w:rPr>
              <w:rFonts w:ascii="Arial" w:hAnsi="Arial" w:cs="Arial"/>
              <w:noProof/>
              <w:sz w:val="24"/>
              <w:szCs w:val="24"/>
            </w:rPr>
            <w:t>(Arain, et al., 2013)</w:t>
          </w:r>
          <w:r>
            <w:rPr>
              <w:rFonts w:ascii="Arial" w:hAnsi="Arial" w:cs="Arial"/>
              <w:sz w:val="24"/>
              <w:szCs w:val="24"/>
            </w:rPr>
            <w:fldChar w:fldCharType="end"/>
          </w:r>
        </w:sdtContent>
      </w:sdt>
      <w:r>
        <w:rPr>
          <w:rFonts w:ascii="Arial" w:hAnsi="Arial" w:cs="Arial"/>
          <w:sz w:val="24"/>
          <w:szCs w:val="24"/>
        </w:rPr>
        <w:t xml:space="preserve">.  Sleep patterns become disturbed as the production of melatonin, or sleep hormone, changes its production schedule by releasing later in the evening and stopping later in the morning, confirming that teenagers actually do need more sleep </w:t>
      </w:r>
      <w:sdt>
        <w:sdtPr>
          <w:rPr>
            <w:rFonts w:ascii="Arial" w:hAnsi="Arial" w:cs="Arial"/>
            <w:sz w:val="24"/>
            <w:szCs w:val="24"/>
          </w:rPr>
          <w:id w:val="-1373684430"/>
          <w:citation/>
        </w:sdtPr>
        <w:sdtContent>
          <w:r>
            <w:rPr>
              <w:rFonts w:ascii="Arial" w:hAnsi="Arial" w:cs="Arial"/>
              <w:sz w:val="24"/>
              <w:szCs w:val="24"/>
            </w:rPr>
            <w:fldChar w:fldCharType="begin"/>
          </w:r>
          <w:r>
            <w:rPr>
              <w:rFonts w:ascii="Arial" w:hAnsi="Arial" w:cs="Arial"/>
              <w:sz w:val="24"/>
              <w:szCs w:val="24"/>
            </w:rPr>
            <w:instrText xml:space="preserve"> CITATION NIM20 \l 2057 </w:instrText>
          </w:r>
          <w:r>
            <w:rPr>
              <w:rFonts w:ascii="Arial" w:hAnsi="Arial" w:cs="Arial"/>
              <w:sz w:val="24"/>
              <w:szCs w:val="24"/>
            </w:rPr>
            <w:fldChar w:fldCharType="separate"/>
          </w:r>
          <w:r w:rsidRPr="00CD1593">
            <w:rPr>
              <w:rFonts w:ascii="Arial" w:hAnsi="Arial" w:cs="Arial"/>
              <w:noProof/>
              <w:sz w:val="24"/>
              <w:szCs w:val="24"/>
            </w:rPr>
            <w:t>(NIMH, n.d.)</w:t>
          </w:r>
          <w:r>
            <w:rPr>
              <w:rFonts w:ascii="Arial" w:hAnsi="Arial" w:cs="Arial"/>
              <w:sz w:val="24"/>
              <w:szCs w:val="24"/>
            </w:rPr>
            <w:fldChar w:fldCharType="end"/>
          </w:r>
        </w:sdtContent>
      </w:sdt>
      <w:r>
        <w:rPr>
          <w:rFonts w:ascii="Arial" w:hAnsi="Arial" w:cs="Arial"/>
          <w:sz w:val="24"/>
          <w:szCs w:val="24"/>
        </w:rPr>
        <w:t>.</w:t>
      </w:r>
    </w:p>
    <w:p w14:paraId="34E0BA6F"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 xml:space="preserve">Increased emotions and lack of impulse control are some of the effects of this tumultuous period of maturation, along with an enhanced ability to multi-task, process  complex information and improvement in problem solving skills </w:t>
      </w:r>
      <w:sdt>
        <w:sdtPr>
          <w:rPr>
            <w:rFonts w:ascii="Arial" w:hAnsi="Arial" w:cs="Arial"/>
            <w:sz w:val="24"/>
            <w:szCs w:val="24"/>
          </w:rPr>
          <w:id w:val="1052508543"/>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963C07">
            <w:rPr>
              <w:rFonts w:ascii="Arial" w:hAnsi="Arial" w:cs="Arial"/>
              <w:noProof/>
              <w:sz w:val="24"/>
              <w:szCs w:val="24"/>
            </w:rPr>
            <w:t>(Arain, et al., 2013)</w:t>
          </w:r>
          <w:r>
            <w:rPr>
              <w:rFonts w:ascii="Arial" w:hAnsi="Arial" w:cs="Arial"/>
              <w:sz w:val="24"/>
              <w:szCs w:val="24"/>
            </w:rPr>
            <w:fldChar w:fldCharType="end"/>
          </w:r>
        </w:sdtContent>
      </w:sdt>
      <w:r>
        <w:rPr>
          <w:rFonts w:ascii="Arial" w:hAnsi="Arial" w:cs="Arial"/>
          <w:sz w:val="24"/>
          <w:szCs w:val="24"/>
        </w:rPr>
        <w:t xml:space="preserve">.  However, these are not stand alone responses to the physical and chemical changes </w:t>
      </w:r>
      <w:r>
        <w:rPr>
          <w:rFonts w:ascii="Arial" w:hAnsi="Arial" w:cs="Arial"/>
          <w:sz w:val="24"/>
          <w:szCs w:val="24"/>
        </w:rPr>
        <w:lastRenderedPageBreak/>
        <w:t xml:space="preserve">that are raging around the teenage brain; how these have a long term impact on the evolving young adult can be exacerbated or diminished by environmental and external influences </w:t>
      </w:r>
      <w:sdt>
        <w:sdtPr>
          <w:rPr>
            <w:rFonts w:ascii="Arial" w:hAnsi="Arial" w:cs="Arial"/>
            <w:sz w:val="24"/>
            <w:szCs w:val="24"/>
          </w:rPr>
          <w:id w:val="1743366092"/>
          <w:citation/>
        </w:sdtPr>
        <w:sdtContent>
          <w:r>
            <w:rPr>
              <w:rFonts w:ascii="Arial" w:hAnsi="Arial" w:cs="Arial"/>
              <w:sz w:val="24"/>
              <w:szCs w:val="24"/>
            </w:rPr>
            <w:fldChar w:fldCharType="begin"/>
          </w:r>
          <w:r>
            <w:rPr>
              <w:rFonts w:ascii="Arial" w:hAnsi="Arial" w:cs="Arial"/>
              <w:sz w:val="24"/>
              <w:szCs w:val="24"/>
            </w:rPr>
            <w:instrText xml:space="preserve"> CITATION Ara13 \l 2057 </w:instrText>
          </w:r>
          <w:r>
            <w:rPr>
              <w:rFonts w:ascii="Arial" w:hAnsi="Arial" w:cs="Arial"/>
              <w:sz w:val="24"/>
              <w:szCs w:val="24"/>
            </w:rPr>
            <w:fldChar w:fldCharType="separate"/>
          </w:r>
          <w:r w:rsidRPr="007173A6">
            <w:rPr>
              <w:rFonts w:ascii="Arial" w:hAnsi="Arial" w:cs="Arial"/>
              <w:noProof/>
              <w:sz w:val="24"/>
              <w:szCs w:val="24"/>
            </w:rPr>
            <w:t>(Arain, et al., 2013)</w:t>
          </w:r>
          <w:r>
            <w:rPr>
              <w:rFonts w:ascii="Arial" w:hAnsi="Arial" w:cs="Arial"/>
              <w:sz w:val="24"/>
              <w:szCs w:val="24"/>
            </w:rPr>
            <w:fldChar w:fldCharType="end"/>
          </w:r>
        </w:sdtContent>
      </w:sdt>
      <w:r>
        <w:rPr>
          <w:rFonts w:ascii="Arial" w:hAnsi="Arial" w:cs="Arial"/>
          <w:sz w:val="24"/>
          <w:szCs w:val="24"/>
        </w:rPr>
        <w:t xml:space="preserve">.  The increase in risk taking, search for pleasure and lack of forward thinking can result in substance abuse, accidents, teenage pregnancy and physical harm, all of which can have long term consequences </w:t>
      </w:r>
      <w:sdt>
        <w:sdtPr>
          <w:rPr>
            <w:rFonts w:ascii="Arial" w:hAnsi="Arial" w:cs="Arial"/>
            <w:sz w:val="24"/>
            <w:szCs w:val="24"/>
          </w:rPr>
          <w:id w:val="1864403852"/>
          <w:citation/>
        </w:sdtPr>
        <w:sdtContent>
          <w:r>
            <w:rPr>
              <w:rFonts w:ascii="Arial" w:hAnsi="Arial" w:cs="Arial"/>
              <w:sz w:val="24"/>
              <w:szCs w:val="24"/>
            </w:rPr>
            <w:fldChar w:fldCharType="begin"/>
          </w:r>
          <w:r>
            <w:rPr>
              <w:rFonts w:ascii="Arial" w:hAnsi="Arial" w:cs="Arial"/>
              <w:sz w:val="24"/>
              <w:szCs w:val="24"/>
            </w:rPr>
            <w:instrText xml:space="preserve">CITATION Mor13 \p 315 \l 2057 </w:instrText>
          </w:r>
          <w:r>
            <w:rPr>
              <w:rFonts w:ascii="Arial" w:hAnsi="Arial" w:cs="Arial"/>
              <w:sz w:val="24"/>
              <w:szCs w:val="24"/>
            </w:rPr>
            <w:fldChar w:fldCharType="separate"/>
          </w:r>
          <w:r w:rsidRPr="00093F21">
            <w:rPr>
              <w:rFonts w:ascii="Arial" w:hAnsi="Arial" w:cs="Arial"/>
              <w:noProof/>
              <w:sz w:val="24"/>
              <w:szCs w:val="24"/>
            </w:rPr>
            <w:t>(Morgan, 2013, p. 315)</w:t>
          </w:r>
          <w:r>
            <w:rPr>
              <w:rFonts w:ascii="Arial" w:hAnsi="Arial" w:cs="Arial"/>
              <w:sz w:val="24"/>
              <w:szCs w:val="24"/>
            </w:rPr>
            <w:fldChar w:fldCharType="end"/>
          </w:r>
        </w:sdtContent>
      </w:sdt>
      <w:r>
        <w:rPr>
          <w:rFonts w:ascii="Arial" w:hAnsi="Arial" w:cs="Arial"/>
          <w:sz w:val="24"/>
          <w:szCs w:val="24"/>
        </w:rPr>
        <w:t>.  With all that to consider it is of little wonder they can become irritable, or even make it to adulthood.</w:t>
      </w:r>
    </w:p>
    <w:p w14:paraId="2C5D0639" w14:textId="77777777" w:rsidR="00096BDD" w:rsidRDefault="00096BDD" w:rsidP="00096BDD">
      <w:pPr>
        <w:spacing w:line="360" w:lineRule="auto"/>
        <w:jc w:val="both"/>
        <w:rPr>
          <w:rFonts w:ascii="Arial" w:hAnsi="Arial" w:cs="Arial"/>
          <w:sz w:val="24"/>
          <w:szCs w:val="24"/>
        </w:rPr>
      </w:pPr>
      <w:r>
        <w:rPr>
          <w:rFonts w:ascii="Arial" w:hAnsi="Arial" w:cs="Arial"/>
          <w:sz w:val="24"/>
          <w:szCs w:val="24"/>
        </w:rPr>
        <w:t>I have often told my daughters that they are scary without realising the truth behind it</w:t>
      </w:r>
      <w:proofErr w:type="gramStart"/>
      <w:r>
        <w:rPr>
          <w:rFonts w:ascii="Arial" w:hAnsi="Arial" w:cs="Arial"/>
          <w:sz w:val="24"/>
          <w:szCs w:val="24"/>
        </w:rPr>
        <w:t xml:space="preserve">.  </w:t>
      </w:r>
      <w:proofErr w:type="gramEnd"/>
      <w:r>
        <w:rPr>
          <w:rFonts w:ascii="Arial" w:hAnsi="Arial" w:cs="Arial"/>
          <w:sz w:val="24"/>
          <w:szCs w:val="24"/>
        </w:rPr>
        <w:t xml:space="preserve">Maybe next time there is a confrontation with a teenager with attitude it </w:t>
      </w:r>
      <w:proofErr w:type="gramStart"/>
      <w:r>
        <w:rPr>
          <w:rFonts w:ascii="Arial" w:hAnsi="Arial" w:cs="Arial"/>
          <w:sz w:val="24"/>
          <w:szCs w:val="24"/>
        </w:rPr>
        <w:t>may</w:t>
      </w:r>
      <w:proofErr w:type="gramEnd"/>
      <w:r>
        <w:rPr>
          <w:rFonts w:ascii="Arial" w:hAnsi="Arial" w:cs="Arial"/>
          <w:sz w:val="24"/>
          <w:szCs w:val="24"/>
        </w:rPr>
        <w:t xml:space="preserve"> wiser to offer chocolate (dietary needs and intolerances taken in to consideration) and a chat, rather than lectures and confrontations.</w:t>
      </w:r>
    </w:p>
    <w:sdt>
      <w:sdtPr>
        <w:rPr>
          <w:rFonts w:asciiTheme="minorHAnsi" w:eastAsiaTheme="minorHAnsi" w:hAnsiTheme="minorHAnsi" w:cstheme="minorBidi"/>
          <w:color w:val="auto"/>
          <w:sz w:val="22"/>
          <w:szCs w:val="22"/>
          <w:lang w:val="en-GB"/>
        </w:rPr>
        <w:id w:val="-1702783455"/>
        <w:docPartObj>
          <w:docPartGallery w:val="Bibliographies"/>
          <w:docPartUnique/>
        </w:docPartObj>
      </w:sdtPr>
      <w:sdtContent>
        <w:p w14:paraId="07C480A4" w14:textId="77777777" w:rsidR="00096BDD" w:rsidRDefault="00096BDD" w:rsidP="00096BDD">
          <w:pPr>
            <w:pStyle w:val="Heading1"/>
          </w:pPr>
          <w:r>
            <w:t>References</w:t>
          </w:r>
        </w:p>
        <w:sdt>
          <w:sdtPr>
            <w:id w:val="-573587230"/>
            <w:bibliography/>
          </w:sdtPr>
          <w:sdtContent>
            <w:p w14:paraId="1887D571" w14:textId="77777777" w:rsidR="00096BDD" w:rsidRDefault="00096BDD" w:rsidP="00096BDD">
              <w:pPr>
                <w:pStyle w:val="Bibliography"/>
                <w:rPr>
                  <w:noProof/>
                  <w:sz w:val="24"/>
                  <w:szCs w:val="24"/>
                  <w:lang w:val="en-US"/>
                </w:rPr>
              </w:pPr>
              <w:r>
                <w:fldChar w:fldCharType="begin"/>
              </w:r>
              <w:r>
                <w:instrText xml:space="preserve"> BIBLIOGRAPHY </w:instrText>
              </w:r>
              <w:r>
                <w:fldChar w:fldCharType="separate"/>
              </w:r>
              <w:r>
                <w:rPr>
                  <w:noProof/>
                  <w:lang w:val="en-US"/>
                </w:rPr>
                <w:t xml:space="preserve">AACAP, 2016. </w:t>
              </w:r>
              <w:r>
                <w:rPr>
                  <w:i/>
                  <w:iCs/>
                  <w:noProof/>
                  <w:lang w:val="en-US"/>
                </w:rPr>
                <w:t xml:space="preserve">Teen Brain: Behavior, Problem Solving, and Decision Making. </w:t>
              </w:r>
              <w:r>
                <w:rPr>
                  <w:noProof/>
                  <w:lang w:val="en-US"/>
                </w:rPr>
                <w:t xml:space="preserve">[Online] </w:t>
              </w:r>
              <w:r>
                <w:rPr>
                  <w:noProof/>
                  <w:lang w:val="en-US"/>
                </w:rPr>
                <w:br/>
                <w:t xml:space="preserve">Available at: </w:t>
              </w:r>
              <w:r>
                <w:rPr>
                  <w:noProof/>
                  <w:u w:val="single"/>
                  <w:lang w:val="en-US"/>
                </w:rPr>
                <w:t>https://www.aacap.org/AACAP/Families_and_Youth/Facts_for_Families/FFF-Guide/The-Teen-Brain-Behavior-Problem-Solving-and-Decision-Making-095.aspx</w:t>
              </w:r>
              <w:r>
                <w:rPr>
                  <w:noProof/>
                  <w:lang w:val="en-US"/>
                </w:rPr>
                <w:br/>
                <w:t>[Accessed 6 2 2020].</w:t>
              </w:r>
            </w:p>
            <w:p w14:paraId="2E141CEE" w14:textId="77777777" w:rsidR="00096BDD" w:rsidRDefault="00096BDD" w:rsidP="00096BDD">
              <w:pPr>
                <w:pStyle w:val="Bibliography"/>
                <w:rPr>
                  <w:noProof/>
                  <w:lang w:val="en-US"/>
                </w:rPr>
              </w:pPr>
              <w:r>
                <w:rPr>
                  <w:noProof/>
                  <w:lang w:val="en-US"/>
                </w:rPr>
                <w:t xml:space="preserve">Arain, M. et al., 2013. Maturation of the adolescent brain. </w:t>
              </w:r>
              <w:r>
                <w:rPr>
                  <w:i/>
                  <w:iCs/>
                  <w:noProof/>
                  <w:lang w:val="en-US"/>
                </w:rPr>
                <w:t xml:space="preserve">Neuropsychiatric Disease and Treatment, </w:t>
              </w:r>
              <w:r>
                <w:rPr>
                  <w:noProof/>
                  <w:lang w:val="en-US"/>
                </w:rPr>
                <w:t>Volume 9, pp. 449-461.</w:t>
              </w:r>
            </w:p>
            <w:p w14:paraId="54A697DF" w14:textId="77777777" w:rsidR="00096BDD" w:rsidRDefault="00096BDD" w:rsidP="00096BDD">
              <w:pPr>
                <w:pStyle w:val="Bibliography"/>
                <w:rPr>
                  <w:noProof/>
                  <w:lang w:val="en-US"/>
                </w:rPr>
              </w:pPr>
              <w:r>
                <w:rPr>
                  <w:noProof/>
                  <w:lang w:val="en-US"/>
                </w:rPr>
                <w:t xml:space="preserve">Edwards, C., 2018. </w:t>
              </w:r>
              <w:r>
                <w:rPr>
                  <w:i/>
                  <w:iCs/>
                  <w:noProof/>
                  <w:lang w:val="en-US"/>
                </w:rPr>
                <w:t xml:space="preserve">Social Media and Mental Health. </w:t>
              </w:r>
              <w:r>
                <w:rPr>
                  <w:noProof/>
                  <w:lang w:val="en-US"/>
                </w:rPr>
                <w:t>Newark: Trigger.</w:t>
              </w:r>
            </w:p>
            <w:p w14:paraId="161D35CF" w14:textId="77777777" w:rsidR="00096BDD" w:rsidRDefault="00096BDD" w:rsidP="00096BDD">
              <w:pPr>
                <w:pStyle w:val="Bibliography"/>
                <w:rPr>
                  <w:noProof/>
                  <w:lang w:val="en-US"/>
                </w:rPr>
              </w:pPr>
              <w:r>
                <w:rPr>
                  <w:noProof/>
                  <w:lang w:val="en-US"/>
                </w:rPr>
                <w:t xml:space="preserve">Morgan, N., 2013. </w:t>
              </w:r>
              <w:r>
                <w:rPr>
                  <w:i/>
                  <w:iCs/>
                  <w:noProof/>
                  <w:lang w:val="en-US"/>
                </w:rPr>
                <w:t xml:space="preserve">Blame my Brain; The Amazing Teenage Brain Revealed. </w:t>
              </w:r>
              <w:r>
                <w:rPr>
                  <w:noProof/>
                  <w:lang w:val="en-US"/>
                </w:rPr>
                <w:t>2 ed. Edinburgh: Walker.</w:t>
              </w:r>
            </w:p>
            <w:p w14:paraId="79A5F9F9" w14:textId="77777777" w:rsidR="00096BDD" w:rsidRDefault="00096BDD" w:rsidP="00096BDD">
              <w:pPr>
                <w:pStyle w:val="Bibliography"/>
                <w:rPr>
                  <w:noProof/>
                  <w:lang w:val="en-US"/>
                </w:rPr>
              </w:pPr>
              <w:r>
                <w:rPr>
                  <w:noProof/>
                  <w:lang w:val="en-US"/>
                </w:rPr>
                <w:t xml:space="preserve">Morgan, N., 2018. </w:t>
              </w:r>
              <w:r>
                <w:rPr>
                  <w:i/>
                  <w:iCs/>
                  <w:noProof/>
                  <w:lang w:val="en-US"/>
                </w:rPr>
                <w:t xml:space="preserve">Positively Teenage; A Positively Brilliant Guide to Teenage Well-Being. </w:t>
              </w:r>
              <w:r>
                <w:rPr>
                  <w:noProof/>
                  <w:lang w:val="en-US"/>
                </w:rPr>
                <w:t>London: Franklin Watts.</w:t>
              </w:r>
            </w:p>
            <w:p w14:paraId="6F73B300" w14:textId="77777777" w:rsidR="00096BDD" w:rsidRDefault="00096BDD" w:rsidP="00096BDD">
              <w:pPr>
                <w:pStyle w:val="Bibliography"/>
                <w:rPr>
                  <w:noProof/>
                  <w:lang w:val="en-US"/>
                </w:rPr>
              </w:pPr>
              <w:r>
                <w:rPr>
                  <w:noProof/>
                  <w:lang w:val="en-US"/>
                </w:rPr>
                <w:t xml:space="preserve">NIMH, n.d. </w:t>
              </w:r>
              <w:r>
                <w:rPr>
                  <w:i/>
                  <w:iCs/>
                  <w:noProof/>
                  <w:lang w:val="en-US"/>
                </w:rPr>
                <w:t xml:space="preserve">National Institute of Mental Health. </w:t>
              </w:r>
              <w:r>
                <w:rPr>
                  <w:noProof/>
                  <w:lang w:val="en-US"/>
                </w:rPr>
                <w:t xml:space="preserve">[Online] </w:t>
              </w:r>
              <w:r>
                <w:rPr>
                  <w:noProof/>
                  <w:lang w:val="en-US"/>
                </w:rPr>
                <w:br/>
                <w:t xml:space="preserve">Available at: </w:t>
              </w:r>
              <w:r>
                <w:rPr>
                  <w:noProof/>
                  <w:u w:val="single"/>
                  <w:lang w:val="en-US"/>
                </w:rPr>
                <w:t>https://www.nimh.nih.gov/health/publications/the-teen-brain-6-things-to-know/index.shtml</w:t>
              </w:r>
              <w:r>
                <w:rPr>
                  <w:noProof/>
                  <w:lang w:val="en-US"/>
                </w:rPr>
                <w:br/>
                <w:t>[Accessed 6 February 2020].</w:t>
              </w:r>
            </w:p>
            <w:p w14:paraId="44A6F66B" w14:textId="77777777" w:rsidR="00096BDD" w:rsidRDefault="00096BDD" w:rsidP="00096BDD">
              <w:r>
                <w:rPr>
                  <w:b/>
                  <w:bCs/>
                  <w:noProof/>
                </w:rPr>
                <w:fldChar w:fldCharType="end"/>
              </w:r>
            </w:p>
          </w:sdtContent>
        </w:sdt>
      </w:sdtContent>
    </w:sdt>
    <w:p w14:paraId="4146800F" w14:textId="2CE3F327" w:rsidR="0064111F" w:rsidRDefault="00096BDD" w:rsidP="00096BDD">
      <w:pPr>
        <w:spacing w:line="360" w:lineRule="auto"/>
        <w:jc w:val="both"/>
        <w:rPr>
          <w:rFonts w:ascii="Arial" w:hAnsi="Arial" w:cs="Arial"/>
          <w:sz w:val="24"/>
          <w:szCs w:val="24"/>
        </w:rPr>
      </w:pPr>
    </w:p>
    <w:p w14:paraId="3FF3E0F5" w14:textId="0A09DCEA" w:rsidR="00096BDD" w:rsidRDefault="00096BDD" w:rsidP="00096BDD">
      <w:pPr>
        <w:spacing w:line="360" w:lineRule="auto"/>
        <w:jc w:val="both"/>
        <w:rPr>
          <w:rFonts w:ascii="Arial" w:hAnsi="Arial" w:cs="Arial"/>
          <w:sz w:val="24"/>
          <w:szCs w:val="24"/>
        </w:rPr>
      </w:pPr>
    </w:p>
    <w:p w14:paraId="376CC28B" w14:textId="6270178D" w:rsidR="00096BDD" w:rsidRDefault="00096BDD" w:rsidP="00096BDD">
      <w:pPr>
        <w:spacing w:line="360" w:lineRule="auto"/>
        <w:jc w:val="both"/>
        <w:rPr>
          <w:rFonts w:ascii="Arial" w:hAnsi="Arial" w:cs="Arial"/>
          <w:sz w:val="24"/>
          <w:szCs w:val="24"/>
        </w:rPr>
      </w:pPr>
    </w:p>
    <w:p w14:paraId="014459E3" w14:textId="36390EE4" w:rsidR="00096BDD" w:rsidRDefault="00096BDD" w:rsidP="00096BDD">
      <w:pPr>
        <w:spacing w:line="360" w:lineRule="auto"/>
        <w:jc w:val="both"/>
        <w:rPr>
          <w:rFonts w:ascii="Arial" w:hAnsi="Arial" w:cs="Arial"/>
          <w:sz w:val="24"/>
          <w:szCs w:val="24"/>
        </w:rPr>
      </w:pPr>
    </w:p>
    <w:p w14:paraId="45FD07DC" w14:textId="17236FB8" w:rsidR="00096BDD" w:rsidRDefault="00096BDD" w:rsidP="00096BDD">
      <w:pPr>
        <w:spacing w:line="360" w:lineRule="auto"/>
        <w:jc w:val="both"/>
        <w:rPr>
          <w:rFonts w:ascii="Arial" w:hAnsi="Arial" w:cs="Arial"/>
          <w:sz w:val="24"/>
          <w:szCs w:val="24"/>
        </w:rPr>
      </w:pPr>
    </w:p>
    <w:p w14:paraId="779897B7" w14:textId="15A902D3" w:rsidR="00096BDD" w:rsidRDefault="00096BDD" w:rsidP="00096BDD">
      <w:pPr>
        <w:spacing w:line="360" w:lineRule="auto"/>
        <w:jc w:val="both"/>
        <w:rPr>
          <w:rFonts w:ascii="Arial" w:eastAsia="Calibri" w:hAnsi="Arial" w:cs="Arial"/>
          <w:sz w:val="24"/>
          <w:szCs w:val="24"/>
        </w:rPr>
      </w:pPr>
      <w:r>
        <w:rPr>
          <w:rFonts w:ascii="Arial" w:eastAsia="Calibri" w:hAnsi="Arial" w:cs="Arial"/>
          <w:sz w:val="24"/>
          <w:szCs w:val="24"/>
        </w:rPr>
        <w:lastRenderedPageBreak/>
        <w:t>The Annoying Mosquito</w:t>
      </w:r>
    </w:p>
    <w:p w14:paraId="44448420" w14:textId="3B66F382"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noProof/>
        </w:rPr>
        <w:drawing>
          <wp:anchor distT="0" distB="0" distL="114300" distR="114300" simplePos="0" relativeHeight="251659264" behindDoc="1" locked="0" layoutInCell="1" allowOverlap="1" wp14:anchorId="122B320C" wp14:editId="1E2BC1AA">
            <wp:simplePos x="0" y="0"/>
            <wp:positionH relativeFrom="margin">
              <wp:align>right</wp:align>
            </wp:positionH>
            <wp:positionV relativeFrom="paragraph">
              <wp:posOffset>6350</wp:posOffset>
            </wp:positionV>
            <wp:extent cx="5727700" cy="2794000"/>
            <wp:effectExtent l="0" t="0" r="635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alphaModFix amt="35000"/>
                      <a:extLst>
                        <a:ext uri="{28A0092B-C50C-407E-A947-70E740481C1C}">
                          <a14:useLocalDpi xmlns:a14="http://schemas.microsoft.com/office/drawing/2010/main" val="0"/>
                        </a:ext>
                      </a:extLst>
                    </a:blip>
                    <a:srcRect/>
                    <a:stretch>
                      <a:fillRect/>
                    </a:stretch>
                  </pic:blipFill>
                  <pic:spPr bwMode="auto">
                    <a:xfrm>
                      <a:off x="0" y="0"/>
                      <a:ext cx="5727700" cy="279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96BDD">
        <w:rPr>
          <w:rFonts w:ascii="Arial" w:eastAsia="Calibri" w:hAnsi="Arial" w:cs="Arial"/>
          <w:sz w:val="24"/>
          <w:szCs w:val="24"/>
        </w:rPr>
        <w:t>How is it we have reached the stage where we treat our children and young people like packs of wild animals</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Where we feel that running them off by annoying and distressing them would be a better solution than trying to help provide a safe and relaxed place for them to meet their friends and just ‘hang-out’?</w:t>
      </w:r>
    </w:p>
    <w:p w14:paraId="138DA023"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In 2005 Howard Stapleton invented the first barbaric torture device to prevent the gathering of young people in public areas</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Christened the ‘Mosquito’, it sends out a high frequency tone that is audible only to individuals under the age of around 25</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 xml:space="preserve">During the development of this transmitter, at his home in Merthyr Tydfil, Stapleton tested the range of frequencies and levels of annoyance on his own three young children </w:t>
      </w:r>
      <w:sdt>
        <w:sdtPr>
          <w:rPr>
            <w:rFonts w:ascii="Arial" w:eastAsia="Calibri" w:hAnsi="Arial" w:cs="Arial"/>
            <w:sz w:val="24"/>
            <w:szCs w:val="24"/>
          </w:rPr>
          <w:id w:val="-539818607"/>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CSS20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(CSS Ltd, 2020)</w:t>
          </w:r>
          <w:r w:rsidRPr="00096BDD">
            <w:rPr>
              <w:rFonts w:ascii="Arial" w:eastAsia="Calibri" w:hAnsi="Arial" w:cs="Arial"/>
              <w:sz w:val="24"/>
              <w:szCs w:val="24"/>
            </w:rPr>
            <w:fldChar w:fldCharType="end"/>
          </w:r>
        </w:sdtContent>
      </w:sdt>
      <w:r w:rsidRPr="00096BDD">
        <w:rPr>
          <w:rFonts w:ascii="Arial" w:eastAsia="Calibri" w:hAnsi="Arial" w:cs="Arial"/>
          <w:sz w:val="24"/>
          <w:szCs w:val="24"/>
        </w:rPr>
        <w:t>.</w:t>
      </w:r>
    </w:p>
    <w:p w14:paraId="3B451065"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noProof/>
        </w:rPr>
        <w:drawing>
          <wp:anchor distT="0" distB="0" distL="114300" distR="114300" simplePos="0" relativeHeight="251660288" behindDoc="0" locked="0" layoutInCell="1" allowOverlap="1" wp14:anchorId="0FB15F4B" wp14:editId="22A16D21">
            <wp:simplePos x="0" y="0"/>
            <wp:positionH relativeFrom="margin">
              <wp:align>right</wp:align>
            </wp:positionH>
            <wp:positionV relativeFrom="paragraph">
              <wp:posOffset>62230</wp:posOffset>
            </wp:positionV>
            <wp:extent cx="5721219" cy="568325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alphaModFix amt="20000"/>
                      <a:extLst>
                        <a:ext uri="{28A0092B-C50C-407E-A947-70E740481C1C}">
                          <a14:useLocalDpi xmlns:a14="http://schemas.microsoft.com/office/drawing/2010/main" val="0"/>
                        </a:ext>
                      </a:extLst>
                    </a:blip>
                    <a:srcRect/>
                    <a:stretch>
                      <a:fillRect/>
                    </a:stretch>
                  </pic:blipFill>
                  <pic:spPr bwMode="auto">
                    <a:xfrm>
                      <a:off x="0" y="0"/>
                      <a:ext cx="5721219" cy="5683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6BDD">
        <w:rPr>
          <w:rFonts w:ascii="Arial" w:eastAsia="Calibri" w:hAnsi="Arial" w:cs="Arial"/>
          <w:sz w:val="24"/>
          <w:szCs w:val="24"/>
        </w:rPr>
        <w:t>The high-pitched frequency transmitted by the devices can only be heard by young people in this age group due to presbycusis, a natural reduction in auditory perception owing to the ageing process</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 xml:space="preserve">This is a normal progression of reduced perception of higher frequency sounds and affects everyone over this age group </w:t>
      </w:r>
      <w:sdt>
        <w:sdtPr>
          <w:rPr>
            <w:rFonts w:ascii="Arial" w:eastAsia="Calibri" w:hAnsi="Arial" w:cs="Arial"/>
            <w:sz w:val="24"/>
            <w:szCs w:val="24"/>
          </w:rPr>
          <w:id w:val="-580915057"/>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DAS20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(DASP, 2020)</w:t>
          </w:r>
          <w:r w:rsidRPr="00096BDD">
            <w:rPr>
              <w:rFonts w:ascii="Arial" w:eastAsia="Calibri" w:hAnsi="Arial" w:cs="Arial"/>
              <w:sz w:val="24"/>
              <w:szCs w:val="24"/>
            </w:rPr>
            <w:fldChar w:fldCharType="end"/>
          </w:r>
        </w:sdtContent>
      </w:sdt>
      <w:r w:rsidRPr="00096BDD">
        <w:rPr>
          <w:rFonts w:ascii="Arial" w:eastAsia="Calibri" w:hAnsi="Arial" w:cs="Arial"/>
          <w:sz w:val="24"/>
          <w:szCs w:val="24"/>
        </w:rPr>
        <w:t>.</w:t>
      </w:r>
    </w:p>
    <w:p w14:paraId="6392B693"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So, this is then clearly a device targeted against children and young people with the intent of preventing them meeting in groups in public areas</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 xml:space="preserve">Although there are stories of vandalism, </w:t>
      </w:r>
      <w:proofErr w:type="gramStart"/>
      <w:r w:rsidRPr="00096BDD">
        <w:rPr>
          <w:rFonts w:ascii="Arial" w:eastAsia="Calibri" w:hAnsi="Arial" w:cs="Arial"/>
          <w:sz w:val="24"/>
          <w:szCs w:val="24"/>
        </w:rPr>
        <w:t>graffiti</w:t>
      </w:r>
      <w:proofErr w:type="gramEnd"/>
      <w:r w:rsidRPr="00096BDD">
        <w:rPr>
          <w:rFonts w:ascii="Arial" w:eastAsia="Calibri" w:hAnsi="Arial" w:cs="Arial"/>
          <w:sz w:val="24"/>
          <w:szCs w:val="24"/>
        </w:rPr>
        <w:t xml:space="preserve"> and anti-social behaviour occurrences when groups or crowds form, they are not solely in the domain of todays’ young people. Vandals and vandalism is not a new phenomenon, with Vandals being around since early references to the tribe in 155 </w:t>
      </w:r>
      <w:proofErr w:type="spellStart"/>
      <w:proofErr w:type="gramStart"/>
      <w:r w:rsidRPr="00096BDD">
        <w:rPr>
          <w:rFonts w:ascii="Arial" w:eastAsia="Calibri" w:hAnsi="Arial" w:cs="Arial"/>
          <w:sz w:val="24"/>
          <w:szCs w:val="24"/>
        </w:rPr>
        <w:t>c.e.</w:t>
      </w:r>
      <w:proofErr w:type="spellEnd"/>
      <w:r w:rsidRPr="00096BDD">
        <w:rPr>
          <w:rFonts w:ascii="Arial" w:eastAsia="Calibri" w:hAnsi="Arial" w:cs="Arial"/>
          <w:sz w:val="24"/>
          <w:szCs w:val="24"/>
        </w:rPr>
        <w:t>.</w:t>
      </w:r>
      <w:proofErr w:type="gramEnd"/>
      <w:r w:rsidRPr="00096BDD">
        <w:rPr>
          <w:rFonts w:ascii="Arial" w:eastAsia="Calibri" w:hAnsi="Arial" w:cs="Arial"/>
          <w:sz w:val="24"/>
          <w:szCs w:val="24"/>
        </w:rPr>
        <w:t xml:space="preserve">  Although there is very little written about them their name was used by Roman historians to describe the sacking of Rome by Barbarian tribes in 455 </w:t>
      </w:r>
      <w:proofErr w:type="spellStart"/>
      <w:r w:rsidRPr="00096BDD">
        <w:rPr>
          <w:rFonts w:ascii="Arial" w:eastAsia="Calibri" w:hAnsi="Arial" w:cs="Arial"/>
          <w:sz w:val="24"/>
          <w:szCs w:val="24"/>
        </w:rPr>
        <w:t>c.e.</w:t>
      </w:r>
      <w:proofErr w:type="spellEnd"/>
      <w:r w:rsidRPr="00096BDD">
        <w:rPr>
          <w:rFonts w:ascii="Arial" w:eastAsia="Calibri" w:hAnsi="Arial" w:cs="Arial"/>
          <w:sz w:val="24"/>
          <w:szCs w:val="24"/>
        </w:rPr>
        <w:t xml:space="preserve"> and ever since their name has become synonymous with destruction </w:t>
      </w:r>
      <w:sdt>
        <w:sdtPr>
          <w:rPr>
            <w:rFonts w:ascii="Arial" w:eastAsia="Calibri" w:hAnsi="Arial" w:cs="Arial"/>
            <w:sz w:val="24"/>
            <w:szCs w:val="24"/>
          </w:rPr>
          <w:id w:val="-381638369"/>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Jar17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(Jarus, 2017)</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Likewise graffiti can be traced back to the scratchings found on the walls of the city of Pompeii, with the name first coined in 1851, literally meaning ‘scratchings’, with some even considering the early cave paintings as forms of graffiti </w:t>
      </w:r>
      <w:sdt>
        <w:sdtPr>
          <w:rPr>
            <w:rFonts w:ascii="Arial" w:eastAsia="Calibri" w:hAnsi="Arial" w:cs="Arial"/>
            <w:sz w:val="24"/>
            <w:szCs w:val="24"/>
          </w:rPr>
          <w:id w:val="753320877"/>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Bla17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(Blazeski, 2017)</w:t>
          </w:r>
          <w:r w:rsidRPr="00096BDD">
            <w:rPr>
              <w:rFonts w:ascii="Arial" w:eastAsia="Calibri" w:hAnsi="Arial" w:cs="Arial"/>
              <w:sz w:val="24"/>
              <w:szCs w:val="24"/>
            </w:rPr>
            <w:fldChar w:fldCharType="end"/>
          </w:r>
        </w:sdtContent>
      </w:sdt>
      <w:r w:rsidRPr="00096BDD">
        <w:rPr>
          <w:rFonts w:ascii="Arial" w:eastAsia="Calibri" w:hAnsi="Arial" w:cs="Arial"/>
          <w:sz w:val="24"/>
          <w:szCs w:val="24"/>
        </w:rPr>
        <w:t>.  Acts such as these are not limited to the young people of today but can be carried out by people of all genders and ages.</w:t>
      </w:r>
    </w:p>
    <w:p w14:paraId="0E7314F9"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 xml:space="preserve">These devices are put in place by local authorities and shop owners to prevent the gathering of young people and are available globally, with countries such as Australia, France, Denmark, Italy, Spain, Germany, Switzerland, Canada and America </w:t>
      </w:r>
      <w:sdt>
        <w:sdtPr>
          <w:rPr>
            <w:rFonts w:ascii="Arial" w:eastAsia="Calibri" w:hAnsi="Arial" w:cs="Arial"/>
            <w:sz w:val="24"/>
            <w:szCs w:val="24"/>
          </w:rPr>
          <w:id w:val="19519702"/>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CSS20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 xml:space="preserve">(CSS Ltd, </w:t>
          </w:r>
          <w:r w:rsidRPr="00096BDD">
            <w:rPr>
              <w:rFonts w:ascii="Arial" w:eastAsia="Calibri" w:hAnsi="Arial" w:cs="Arial"/>
              <w:noProof/>
              <w:sz w:val="24"/>
              <w:szCs w:val="24"/>
            </w:rPr>
            <w:lastRenderedPageBreak/>
            <w:t>2020)</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all buying in to the idea that installing such tortuous devices will prevent instances of anti-social behaviours and acts of vandalism.</w:t>
      </w:r>
    </w:p>
    <w:p w14:paraId="6FF859B0"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noProof/>
        </w:rPr>
        <w:drawing>
          <wp:anchor distT="0" distB="0" distL="114300" distR="114300" simplePos="0" relativeHeight="251661312" behindDoc="0" locked="0" layoutInCell="1" allowOverlap="1" wp14:anchorId="25E45D43" wp14:editId="44DA97C0">
            <wp:simplePos x="0" y="0"/>
            <wp:positionH relativeFrom="margin">
              <wp:align>left</wp:align>
            </wp:positionH>
            <wp:positionV relativeFrom="paragraph">
              <wp:posOffset>495300</wp:posOffset>
            </wp:positionV>
            <wp:extent cx="5710157" cy="7366000"/>
            <wp:effectExtent l="0" t="0" r="508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alphaModFix amt="20000"/>
                      <a:extLst>
                        <a:ext uri="{28A0092B-C50C-407E-A947-70E740481C1C}">
                          <a14:useLocalDpi xmlns:a14="http://schemas.microsoft.com/office/drawing/2010/main" val="0"/>
                        </a:ext>
                      </a:extLst>
                    </a:blip>
                    <a:srcRect/>
                    <a:stretch>
                      <a:fillRect/>
                    </a:stretch>
                  </pic:blipFill>
                  <pic:spPr bwMode="auto">
                    <a:xfrm>
                      <a:off x="0" y="0"/>
                      <a:ext cx="5721694" cy="7380883"/>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6BDD">
        <w:rPr>
          <w:rFonts w:ascii="Arial" w:eastAsia="Calibri" w:hAnsi="Arial" w:cs="Arial"/>
          <w:sz w:val="24"/>
          <w:szCs w:val="24"/>
        </w:rPr>
        <w:t xml:space="preserve">With young people of all ages reporting headaches, tinnitus, </w:t>
      </w:r>
      <w:proofErr w:type="gramStart"/>
      <w:r w:rsidRPr="00096BDD">
        <w:rPr>
          <w:rFonts w:ascii="Arial" w:eastAsia="Calibri" w:hAnsi="Arial" w:cs="Arial"/>
          <w:sz w:val="24"/>
          <w:szCs w:val="24"/>
        </w:rPr>
        <w:t>anxiety</w:t>
      </w:r>
      <w:proofErr w:type="gramEnd"/>
      <w:r w:rsidRPr="00096BDD">
        <w:rPr>
          <w:rFonts w:ascii="Arial" w:eastAsia="Calibri" w:hAnsi="Arial" w:cs="Arial"/>
          <w:sz w:val="24"/>
          <w:szCs w:val="24"/>
        </w:rPr>
        <w:t xml:space="preserve"> and nausea as a result of these intrusive transmitters, how must the families with young children cope with living close by.  Any young children living within the </w:t>
      </w:r>
      <w:proofErr w:type="gramStart"/>
      <w:r w:rsidRPr="00096BDD">
        <w:rPr>
          <w:rFonts w:ascii="Arial" w:eastAsia="Calibri" w:hAnsi="Arial" w:cs="Arial"/>
          <w:sz w:val="24"/>
          <w:szCs w:val="24"/>
        </w:rPr>
        <w:t>200 foot</w:t>
      </w:r>
      <w:proofErr w:type="gramEnd"/>
      <w:r w:rsidRPr="00096BDD">
        <w:rPr>
          <w:rFonts w:ascii="Arial" w:eastAsia="Calibri" w:hAnsi="Arial" w:cs="Arial"/>
          <w:sz w:val="24"/>
          <w:szCs w:val="24"/>
        </w:rPr>
        <w:t xml:space="preserve"> range of the outlet will be having to cope with these constant conditions, the cause unbeknown to the parents.  Families wondering why their children start to cry or appear to be in pain when they pass a certain corner in town, or frequent a particular shop, not realising the effect is a deliberate measure put in place by the shopkeeper or local authority.  Although recent tests by Timothy Leighton, Professor of acoustics at Southampton University has shown there are no lasting effects from these frequencies </w:t>
      </w:r>
      <w:sdt>
        <w:sdtPr>
          <w:rPr>
            <w:rFonts w:ascii="Arial" w:eastAsia="Calibri" w:hAnsi="Arial" w:cs="Arial"/>
            <w:sz w:val="24"/>
            <w:szCs w:val="24"/>
          </w:rPr>
          <w:id w:val="-2060392041"/>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Lei18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(Leighton, et al., 2018)</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it does not take away from the alarming and frightening effects of the moment.</w:t>
      </w:r>
    </w:p>
    <w:p w14:paraId="2595AED9"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It does not appear to have occurred to these upstanding pillars of the community, along with the local authorities, that the £600 investment they made in each of these Mosquito devices would be far better spent by investing, collectively, in activities for the young people to become involved in such as social groups, youth clubs and places to gather so they do not have to gather on street corners or in front of the local convenience store. The root cause of the situation is predominantly due to government and local authority cutbacks in funding resources for social activities and clubs for the young people. Maybe by re-directing these resources towards a more proactive approach would prove more beneficial, as opposed to one that will incite rebellion from the groups they are trying to disperse and cause the very result they are attempting to prevent.</w:t>
      </w:r>
    </w:p>
    <w:p w14:paraId="7A6182AF"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Let it not be forgotten that vandalism and anti-social behaviour is not strictly the domain of the young but also the older generation who perhaps have in the past been as let down as the young people of today are being and have passed on a habit of reaction to the attitude and assumptions of the wider society.</w:t>
      </w:r>
    </w:p>
    <w:p w14:paraId="09DF7B33"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It is also worth noting that in 2008 The Mosquito won the ‘</w:t>
      </w:r>
      <w:proofErr w:type="spellStart"/>
      <w:r w:rsidRPr="00096BDD">
        <w:rPr>
          <w:rFonts w:ascii="Arial" w:eastAsia="Calibri" w:hAnsi="Arial" w:cs="Arial"/>
          <w:sz w:val="24"/>
          <w:szCs w:val="24"/>
        </w:rPr>
        <w:t>ig</w:t>
      </w:r>
      <w:proofErr w:type="spellEnd"/>
      <w:r w:rsidRPr="00096BDD">
        <w:rPr>
          <w:rFonts w:ascii="Arial" w:eastAsia="Calibri" w:hAnsi="Arial" w:cs="Arial"/>
          <w:sz w:val="24"/>
          <w:szCs w:val="24"/>
        </w:rPr>
        <w:t xml:space="preserve"> Nobel Peace’ award, while initially impressive, when delving deeper in to the accolade it can be found that they are actually the ‘ignoble’ awards and have been awarded every year since 1991 </w:t>
      </w:r>
      <w:sdt>
        <w:sdtPr>
          <w:rPr>
            <w:rFonts w:ascii="Arial" w:eastAsia="Calibri" w:hAnsi="Arial" w:cs="Arial"/>
            <w:sz w:val="24"/>
            <w:szCs w:val="24"/>
          </w:rPr>
          <w:id w:val="1175543998"/>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Abr19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(Abrahams, 2019)</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The winners of the physics prize last year included a group of </w:t>
      </w:r>
      <w:r w:rsidRPr="00096BDD">
        <w:rPr>
          <w:rFonts w:ascii="Arial" w:eastAsia="Calibri" w:hAnsi="Arial" w:cs="Arial"/>
          <w:sz w:val="24"/>
          <w:szCs w:val="24"/>
        </w:rPr>
        <w:lastRenderedPageBreak/>
        <w:t xml:space="preserve">researchers who were investigating why wombats have square shaped poo; with last year’s peace prize going to the group measuring levels of pleasure whilst scratching an itch </w:t>
      </w:r>
      <w:sdt>
        <w:sdtPr>
          <w:rPr>
            <w:rFonts w:ascii="Arial" w:eastAsia="Calibri" w:hAnsi="Arial" w:cs="Arial"/>
            <w:sz w:val="24"/>
            <w:szCs w:val="24"/>
          </w:rPr>
          <w:id w:val="-1643884815"/>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Abr19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(Abrahams, 2019)</w:t>
          </w:r>
          <w:r w:rsidRPr="00096BDD">
            <w:rPr>
              <w:rFonts w:ascii="Arial" w:eastAsia="Calibri" w:hAnsi="Arial" w:cs="Arial"/>
              <w:sz w:val="24"/>
              <w:szCs w:val="24"/>
            </w:rPr>
            <w:fldChar w:fldCharType="end"/>
          </w:r>
        </w:sdtContent>
      </w:sdt>
      <w:r w:rsidRPr="00096BDD">
        <w:rPr>
          <w:rFonts w:ascii="Arial" w:eastAsia="Calibri" w:hAnsi="Arial" w:cs="Arial"/>
          <w:sz w:val="24"/>
          <w:szCs w:val="24"/>
        </w:rPr>
        <w:t>, in my opinion, very fitting company.</w:t>
      </w:r>
    </w:p>
    <w:p w14:paraId="5D85FE4F"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 xml:space="preserve">Background images: </w:t>
      </w:r>
      <w:sdt>
        <w:sdtPr>
          <w:rPr>
            <w:rFonts w:ascii="Arial" w:eastAsia="Calibri" w:hAnsi="Arial" w:cs="Arial"/>
            <w:sz w:val="24"/>
            <w:szCs w:val="24"/>
          </w:rPr>
          <w:id w:val="1921985583"/>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Goo20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(Google Images, 2020)</w:t>
          </w:r>
          <w:r w:rsidRPr="00096BDD">
            <w:rPr>
              <w:rFonts w:ascii="Arial" w:eastAsia="Calibri" w:hAnsi="Arial" w:cs="Arial"/>
              <w:sz w:val="24"/>
              <w:szCs w:val="24"/>
            </w:rPr>
            <w:fldChar w:fldCharType="end"/>
          </w:r>
        </w:sdtContent>
      </w:sdt>
    </w:p>
    <w:sdt>
      <w:sdtPr>
        <w:rPr>
          <w:rFonts w:ascii="Calibri" w:eastAsia="Calibri" w:hAnsi="Calibri" w:cs="Times New Roman"/>
        </w:rPr>
        <w:id w:val="-1621452719"/>
        <w:docPartObj>
          <w:docPartGallery w:val="Bibliographies"/>
          <w:docPartUnique/>
        </w:docPartObj>
      </w:sdtPr>
      <w:sdtContent>
        <w:p w14:paraId="787A1209" w14:textId="77777777" w:rsidR="00096BDD" w:rsidRPr="00096BDD" w:rsidRDefault="00096BDD" w:rsidP="00096BDD">
          <w:pPr>
            <w:keepNext/>
            <w:keepLines/>
            <w:spacing w:before="240" w:after="0"/>
            <w:outlineLvl w:val="0"/>
            <w:rPr>
              <w:rFonts w:ascii="Calibri Light" w:eastAsia="Times New Roman" w:hAnsi="Calibri Light" w:cs="Times New Roman"/>
              <w:color w:val="2F5496"/>
              <w:sz w:val="32"/>
              <w:szCs w:val="32"/>
              <w:lang w:val="en-US"/>
            </w:rPr>
          </w:pPr>
          <w:r w:rsidRPr="00096BDD">
            <w:rPr>
              <w:rFonts w:ascii="Calibri Light" w:eastAsia="Times New Roman" w:hAnsi="Calibri Light" w:cs="Times New Roman"/>
              <w:color w:val="2F5496"/>
              <w:sz w:val="32"/>
              <w:szCs w:val="32"/>
              <w:lang w:val="en-US"/>
            </w:rPr>
            <w:t>References</w:t>
          </w:r>
        </w:p>
        <w:sdt>
          <w:sdtPr>
            <w:rPr>
              <w:rFonts w:ascii="Calibri" w:eastAsia="Calibri" w:hAnsi="Calibri" w:cs="Times New Roman"/>
            </w:rPr>
            <w:id w:val="2111539651"/>
            <w:bibliography/>
          </w:sdtPr>
          <w:sdtContent>
            <w:p w14:paraId="7E12CE57" w14:textId="77777777" w:rsidR="00096BDD" w:rsidRPr="00096BDD" w:rsidRDefault="00096BDD" w:rsidP="00096BDD">
              <w:pPr>
                <w:rPr>
                  <w:rFonts w:ascii="Calibri" w:eastAsia="Calibri" w:hAnsi="Calibri" w:cs="Times New Roman"/>
                  <w:noProof/>
                  <w:sz w:val="24"/>
                  <w:szCs w:val="24"/>
                  <w:lang w:val="en-US"/>
                </w:rPr>
              </w:pPr>
              <w:r w:rsidRPr="00096BDD">
                <w:rPr>
                  <w:rFonts w:ascii="Calibri" w:eastAsia="Calibri" w:hAnsi="Calibri" w:cs="Times New Roman"/>
                </w:rPr>
                <w:fldChar w:fldCharType="begin"/>
              </w:r>
              <w:r w:rsidRPr="00096BDD">
                <w:rPr>
                  <w:rFonts w:ascii="Calibri" w:eastAsia="Calibri" w:hAnsi="Calibri" w:cs="Times New Roman"/>
                </w:rPr>
                <w:instrText xml:space="preserve"> BIBLIOGRAPHY </w:instrText>
              </w:r>
              <w:r w:rsidRPr="00096BDD">
                <w:rPr>
                  <w:rFonts w:ascii="Calibri" w:eastAsia="Calibri" w:hAnsi="Calibri" w:cs="Times New Roman"/>
                </w:rPr>
                <w:fldChar w:fldCharType="separate"/>
              </w:r>
              <w:r w:rsidRPr="00096BDD">
                <w:rPr>
                  <w:rFonts w:ascii="Calibri" w:eastAsia="Calibri" w:hAnsi="Calibri" w:cs="Times New Roman"/>
                  <w:noProof/>
                  <w:lang w:val="en-US"/>
                </w:rPr>
                <w:t xml:space="preserve">Abrahams, M., 2019. </w:t>
              </w:r>
              <w:r w:rsidRPr="00096BDD">
                <w:rPr>
                  <w:rFonts w:ascii="Calibri" w:eastAsia="Calibri" w:hAnsi="Calibri" w:cs="Times New Roman"/>
                  <w:i/>
                  <w:iCs/>
                  <w:noProof/>
                  <w:lang w:val="en-US"/>
                </w:rPr>
                <w:t xml:space="preserve">Improbable Research.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https://www.improbable.com/2019/09/12/announcing-the-2019-ig-nobel-prize-winners/</w:t>
              </w:r>
              <w:r w:rsidRPr="00096BDD">
                <w:rPr>
                  <w:rFonts w:ascii="Calibri" w:eastAsia="Calibri" w:hAnsi="Calibri" w:cs="Times New Roman"/>
                  <w:noProof/>
                  <w:lang w:val="en-US"/>
                </w:rPr>
                <w:br/>
                <w:t>[Accessed 18 March 2020].</w:t>
              </w:r>
            </w:p>
            <w:p w14:paraId="3282CF2D"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Blazeski, G., 2017. </w:t>
              </w:r>
              <w:r w:rsidRPr="00096BDD">
                <w:rPr>
                  <w:rFonts w:ascii="Calibri" w:eastAsia="Calibri" w:hAnsi="Calibri" w:cs="Times New Roman"/>
                  <w:i/>
                  <w:iCs/>
                  <w:noProof/>
                  <w:lang w:val="en-US"/>
                </w:rPr>
                <w:t xml:space="preserve">The Vintage News.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https://www.thevintagenews.com/2016/11/17/the-history-of-graffiti-from-ancient-times-to-modern-days/</w:t>
              </w:r>
              <w:r w:rsidRPr="00096BDD">
                <w:rPr>
                  <w:rFonts w:ascii="Calibri" w:eastAsia="Calibri" w:hAnsi="Calibri" w:cs="Times New Roman"/>
                  <w:noProof/>
                  <w:lang w:val="en-US"/>
                </w:rPr>
                <w:br/>
                <w:t>[Accessed 18 March 2020].</w:t>
              </w:r>
            </w:p>
            <w:p w14:paraId="5F52B6A8"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CSS Ltd, 2020. </w:t>
              </w:r>
              <w:r w:rsidRPr="00096BDD">
                <w:rPr>
                  <w:rFonts w:ascii="Calibri" w:eastAsia="Calibri" w:hAnsi="Calibri" w:cs="Times New Roman"/>
                  <w:i/>
                  <w:iCs/>
                  <w:noProof/>
                  <w:lang w:val="en-US"/>
                </w:rPr>
                <w:t xml:space="preserve">Mosquito.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https://www.compoundsecurity.co.uk/product/mosquito/</w:t>
              </w:r>
              <w:r w:rsidRPr="00096BDD">
                <w:rPr>
                  <w:rFonts w:ascii="Calibri" w:eastAsia="Calibri" w:hAnsi="Calibri" w:cs="Times New Roman"/>
                  <w:noProof/>
                  <w:lang w:val="en-US"/>
                </w:rPr>
                <w:br/>
                <w:t>[Accessed 18 March 2020].</w:t>
              </w:r>
            </w:p>
            <w:p w14:paraId="0336258C"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DASP, 2020. </w:t>
              </w:r>
              <w:r w:rsidRPr="00096BDD">
                <w:rPr>
                  <w:rFonts w:ascii="Calibri" w:eastAsia="Calibri" w:hAnsi="Calibri" w:cs="Times New Roman"/>
                  <w:i/>
                  <w:iCs/>
                  <w:noProof/>
                  <w:lang w:val="en-US"/>
                </w:rPr>
                <w:t xml:space="preserve">Hearnet, Department of Audiology and Speech Pathology.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https://hearnet.org.au/hearing-problems/presbycusis</w:t>
              </w:r>
              <w:r w:rsidRPr="00096BDD">
                <w:rPr>
                  <w:rFonts w:ascii="Calibri" w:eastAsia="Calibri" w:hAnsi="Calibri" w:cs="Times New Roman"/>
                  <w:noProof/>
                  <w:lang w:val="en-US"/>
                </w:rPr>
                <w:br/>
                <w:t>[Accessed 18 March 2020].</w:t>
              </w:r>
            </w:p>
            <w:p w14:paraId="4F4B2F85"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Google Images, 2020. </w:t>
              </w:r>
              <w:r w:rsidRPr="00096BDD">
                <w:rPr>
                  <w:rFonts w:ascii="Calibri" w:eastAsia="Calibri" w:hAnsi="Calibri" w:cs="Times New Roman"/>
                  <w:i/>
                  <w:iCs/>
                  <w:noProof/>
                  <w:lang w:val="en-US"/>
                </w:rPr>
                <w:t xml:space="preserve">Google Images.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https://www.google.co.uk/imghp?hl=en&amp;tab=wi&amp;authuser=0&amp;ogbl</w:t>
              </w:r>
              <w:r w:rsidRPr="00096BDD">
                <w:rPr>
                  <w:rFonts w:ascii="Calibri" w:eastAsia="Calibri" w:hAnsi="Calibri" w:cs="Times New Roman"/>
                  <w:noProof/>
                  <w:lang w:val="en-US"/>
                </w:rPr>
                <w:br/>
                <w:t>[Accessed 16 January 2020].</w:t>
              </w:r>
            </w:p>
            <w:p w14:paraId="126ADBFC"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Jarus, O., 2017. </w:t>
              </w:r>
              <w:r w:rsidRPr="00096BDD">
                <w:rPr>
                  <w:rFonts w:ascii="Calibri" w:eastAsia="Calibri" w:hAnsi="Calibri" w:cs="Times New Roman"/>
                  <w:i/>
                  <w:iCs/>
                  <w:noProof/>
                  <w:lang w:val="en-US"/>
                </w:rPr>
                <w:t xml:space="preserve">Livescience.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https://www.livescience.com/46150-vandals.html</w:t>
              </w:r>
              <w:r w:rsidRPr="00096BDD">
                <w:rPr>
                  <w:rFonts w:ascii="Calibri" w:eastAsia="Calibri" w:hAnsi="Calibri" w:cs="Times New Roman"/>
                  <w:noProof/>
                  <w:lang w:val="en-US"/>
                </w:rPr>
                <w:br/>
                <w:t>[Accessed 18 March 2020].</w:t>
              </w:r>
            </w:p>
            <w:p w14:paraId="288614C9"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Leighton, T. et al., 2018. Effects of very high-frequency sound and ultrasound on humans part I: adverse symptoms after exposure to audible very-high frequency sound. </w:t>
              </w:r>
              <w:r w:rsidRPr="00096BDD">
                <w:rPr>
                  <w:rFonts w:ascii="Calibri" w:eastAsia="Calibri" w:hAnsi="Calibri" w:cs="Times New Roman"/>
                  <w:i/>
                  <w:iCs/>
                  <w:noProof/>
                  <w:lang w:val="en-US"/>
                </w:rPr>
                <w:t xml:space="preserve">Journal of the Acoustical Society of America, </w:t>
              </w:r>
              <w:r w:rsidRPr="00096BDD">
                <w:rPr>
                  <w:rFonts w:ascii="Calibri" w:eastAsia="Calibri" w:hAnsi="Calibri" w:cs="Times New Roman"/>
                  <w:noProof/>
                  <w:lang w:val="en-US"/>
                </w:rPr>
                <w:t>144(4), pp. 2511-2520.</w:t>
              </w:r>
            </w:p>
            <w:p w14:paraId="3AD82C60" w14:textId="77777777" w:rsidR="00096BDD" w:rsidRPr="00096BDD" w:rsidRDefault="00096BDD" w:rsidP="00096BDD">
              <w:pPr>
                <w:rPr>
                  <w:rFonts w:ascii="Calibri" w:eastAsia="Calibri" w:hAnsi="Calibri" w:cs="Times New Roman"/>
                </w:rPr>
              </w:pPr>
              <w:r w:rsidRPr="00096BDD">
                <w:rPr>
                  <w:rFonts w:ascii="Calibri" w:eastAsia="Calibri" w:hAnsi="Calibri" w:cs="Times New Roman"/>
                  <w:b/>
                  <w:bCs/>
                  <w:noProof/>
                </w:rPr>
                <w:fldChar w:fldCharType="end"/>
              </w:r>
            </w:p>
          </w:sdtContent>
        </w:sdt>
      </w:sdtContent>
    </w:sdt>
    <w:p w14:paraId="457AA6B5" w14:textId="77777777" w:rsidR="00096BDD" w:rsidRDefault="00096BDD" w:rsidP="00096BDD">
      <w:pPr>
        <w:spacing w:line="360" w:lineRule="auto"/>
        <w:jc w:val="both"/>
        <w:rPr>
          <w:rFonts w:ascii="Arial" w:hAnsi="Arial" w:cs="Arial"/>
          <w:sz w:val="24"/>
          <w:szCs w:val="24"/>
        </w:rPr>
      </w:pPr>
    </w:p>
    <w:p w14:paraId="6C459873" w14:textId="76AF9D5C" w:rsidR="00096BDD" w:rsidRDefault="00096BDD" w:rsidP="00096BDD">
      <w:pPr>
        <w:spacing w:line="360" w:lineRule="auto"/>
        <w:jc w:val="both"/>
        <w:rPr>
          <w:rFonts w:ascii="Arial" w:hAnsi="Arial" w:cs="Arial"/>
          <w:sz w:val="24"/>
          <w:szCs w:val="24"/>
        </w:rPr>
      </w:pPr>
    </w:p>
    <w:p w14:paraId="4A34BD7E" w14:textId="64567A57" w:rsidR="00096BDD" w:rsidRDefault="00096BDD" w:rsidP="00096BDD">
      <w:pPr>
        <w:spacing w:line="360" w:lineRule="auto"/>
        <w:jc w:val="both"/>
        <w:rPr>
          <w:rFonts w:ascii="Arial" w:hAnsi="Arial" w:cs="Arial"/>
          <w:sz w:val="24"/>
          <w:szCs w:val="24"/>
        </w:rPr>
      </w:pPr>
    </w:p>
    <w:p w14:paraId="64A04733" w14:textId="73D8696F" w:rsidR="00096BDD" w:rsidRDefault="00096BDD" w:rsidP="00096BDD">
      <w:pPr>
        <w:spacing w:line="360" w:lineRule="auto"/>
        <w:jc w:val="both"/>
        <w:rPr>
          <w:rFonts w:ascii="Arial" w:hAnsi="Arial" w:cs="Arial"/>
          <w:sz w:val="24"/>
          <w:szCs w:val="24"/>
        </w:rPr>
      </w:pPr>
    </w:p>
    <w:p w14:paraId="5051B578" w14:textId="69AB9708" w:rsidR="00096BDD" w:rsidRDefault="00096BDD" w:rsidP="00096BDD">
      <w:pPr>
        <w:spacing w:line="360" w:lineRule="auto"/>
        <w:jc w:val="both"/>
        <w:rPr>
          <w:rFonts w:ascii="Arial" w:hAnsi="Arial" w:cs="Arial"/>
          <w:sz w:val="24"/>
          <w:szCs w:val="24"/>
        </w:rPr>
      </w:pPr>
    </w:p>
    <w:p w14:paraId="76CDF0F5" w14:textId="55A1EC27" w:rsidR="00096BDD" w:rsidRDefault="00096BDD" w:rsidP="00096BDD">
      <w:pPr>
        <w:spacing w:line="360" w:lineRule="auto"/>
        <w:jc w:val="both"/>
        <w:rPr>
          <w:rFonts w:ascii="Arial" w:hAnsi="Arial" w:cs="Arial"/>
          <w:sz w:val="24"/>
          <w:szCs w:val="24"/>
        </w:rPr>
      </w:pPr>
    </w:p>
    <w:p w14:paraId="126A5561" w14:textId="66DEDE29"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lastRenderedPageBreak/>
        <w:t xml:space="preserve">The </w:t>
      </w:r>
      <w:r>
        <w:rPr>
          <w:rFonts w:ascii="Arial" w:eastAsia="Calibri" w:hAnsi="Arial" w:cs="Arial"/>
          <w:sz w:val="24"/>
          <w:szCs w:val="24"/>
        </w:rPr>
        <w:t xml:space="preserve">New </w:t>
      </w:r>
      <w:r w:rsidRPr="00096BDD">
        <w:rPr>
          <w:rFonts w:ascii="Arial" w:eastAsia="Calibri" w:hAnsi="Arial" w:cs="Arial"/>
          <w:sz w:val="24"/>
          <w:szCs w:val="24"/>
        </w:rPr>
        <w:t>Welsh Curriculum</w:t>
      </w:r>
    </w:p>
    <w:p w14:paraId="145A1925"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It is refreshing to see that the Welsh Government has paid attention to the voices of the teachers, children and families and introduced the new curriculum for life</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 xml:space="preserve">The new assessment structure is a bold and controversial move and should help students with test anxieties and learning difficulties such as dyslexia, dyscalculia, </w:t>
      </w:r>
      <w:proofErr w:type="gramStart"/>
      <w:r w:rsidRPr="00096BDD">
        <w:rPr>
          <w:rFonts w:ascii="Arial" w:eastAsia="Calibri" w:hAnsi="Arial" w:cs="Arial"/>
          <w:sz w:val="24"/>
          <w:szCs w:val="24"/>
        </w:rPr>
        <w:t>dyspraxia</w:t>
      </w:r>
      <w:proofErr w:type="gramEnd"/>
      <w:r w:rsidRPr="00096BDD">
        <w:rPr>
          <w:rFonts w:ascii="Arial" w:eastAsia="Calibri" w:hAnsi="Arial" w:cs="Arial"/>
          <w:sz w:val="24"/>
          <w:szCs w:val="24"/>
        </w:rPr>
        <w:t xml:space="preserve"> and many other hurdles to learning to feel more comfortable in the school environment.  The six areas of learning now including the expressive arts and health and well-being,  to receive the same focus as the humanities, languages, mathematics and science </w:t>
      </w:r>
      <w:sdt>
        <w:sdtPr>
          <w:rPr>
            <w:rFonts w:ascii="Arial" w:eastAsia="Calibri" w:hAnsi="Arial" w:cs="Arial"/>
            <w:sz w:val="24"/>
            <w:szCs w:val="24"/>
          </w:rPr>
          <w:id w:val="-1342079721"/>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Wel02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(Welsh Government, 2020)</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is a welcome addition which could allow the more creative children the opportunity to succeed in the same way as their academic peers.</w:t>
      </w:r>
    </w:p>
    <w:p w14:paraId="5F836F0A"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 xml:space="preserve">The new autonomy for teachers </w:t>
      </w:r>
      <w:sdt>
        <w:sdtPr>
          <w:rPr>
            <w:rFonts w:ascii="Arial" w:eastAsia="Calibri" w:hAnsi="Arial" w:cs="Arial"/>
            <w:sz w:val="24"/>
            <w:szCs w:val="24"/>
          </w:rPr>
          <w:id w:val="-354423653"/>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Wel02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(Welsh Government, 2020)</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to educate and differentiate in a way they feel best suited to the children in their classroom will also prove a more interesting challenge for classroom leaders instead of conforming to a generic prescribed system, the one size fits all approach.  The prospect to develop ones’ own teaching style and offering perhaps a more thematic approach could </w:t>
      </w:r>
      <w:proofErr w:type="gramStart"/>
      <w:r w:rsidRPr="00096BDD">
        <w:rPr>
          <w:rFonts w:ascii="Arial" w:eastAsia="Calibri" w:hAnsi="Arial" w:cs="Arial"/>
          <w:sz w:val="24"/>
          <w:szCs w:val="24"/>
        </w:rPr>
        <w:t>open up</w:t>
      </w:r>
      <w:proofErr w:type="gramEnd"/>
      <w:r w:rsidRPr="00096BDD">
        <w:rPr>
          <w:rFonts w:ascii="Arial" w:eastAsia="Calibri" w:hAnsi="Arial" w:cs="Arial"/>
          <w:sz w:val="24"/>
          <w:szCs w:val="24"/>
        </w:rPr>
        <w:t xml:space="preserve"> a renewed appreciation by the teachers of their role, and a renewed interest in learning by their students.  Although there will remain a list of skills and elements that will need to be covered, by law </w:t>
      </w:r>
      <w:sdt>
        <w:sdtPr>
          <w:rPr>
            <w:rFonts w:ascii="Arial" w:eastAsia="Calibri" w:hAnsi="Arial" w:cs="Arial"/>
            <w:sz w:val="24"/>
            <w:szCs w:val="24"/>
          </w:rPr>
          <w:id w:val="1177998633"/>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Wel02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(Welsh Government, 2020)</w:t>
          </w:r>
          <w:r w:rsidRPr="00096BDD">
            <w:rPr>
              <w:rFonts w:ascii="Arial" w:eastAsia="Calibri" w:hAnsi="Arial" w:cs="Arial"/>
              <w:sz w:val="24"/>
              <w:szCs w:val="24"/>
            </w:rPr>
            <w:fldChar w:fldCharType="end"/>
          </w:r>
        </w:sdtContent>
      </w:sdt>
      <w:r w:rsidRPr="00096BDD">
        <w:rPr>
          <w:rFonts w:ascii="Arial" w:eastAsia="Calibri" w:hAnsi="Arial" w:cs="Arial"/>
          <w:sz w:val="24"/>
          <w:szCs w:val="24"/>
        </w:rPr>
        <w:t>, along with literacy, numeracy and digital competency, it should nonetheless remain possible for teachers to instil creativity and variety in to the new teaching process.  If correctly adhered to, this new direction in pedagogical methods should inspire new interest, engagement and opportunity for children and young people.</w:t>
      </w:r>
    </w:p>
    <w:p w14:paraId="5047C13A"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 xml:space="preserve">The ability to plan and deliver a themed lesson opens new doorways, for both the teaching and support staff as well as the children and young people  This has been demonstrated in ‘alternative schooling’ methods such as Steiner Waldorf schools, Montessori and other independents </w:t>
      </w:r>
      <w:sdt>
        <w:sdtPr>
          <w:rPr>
            <w:rFonts w:ascii="Arial" w:eastAsia="Calibri" w:hAnsi="Arial" w:cs="Arial"/>
            <w:sz w:val="24"/>
            <w:szCs w:val="24"/>
          </w:rPr>
          <w:id w:val="-840631678"/>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Rob131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(Robinson, 2013)</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and can lead to a richer educational experience, where children can see the subject matter as it is or has been applied to everyday situations </w:t>
      </w:r>
      <w:sdt>
        <w:sdtPr>
          <w:rPr>
            <w:rFonts w:ascii="Arial" w:eastAsia="Calibri" w:hAnsi="Arial" w:cs="Arial"/>
            <w:sz w:val="24"/>
            <w:szCs w:val="24"/>
          </w:rPr>
          <w:id w:val="1277369868"/>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CITATION Ste19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(SWSF, 2019)</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Listening to the children’s voices about how the lessons can be guided leads to more confident individuals and self-reliant problem solvers </w:t>
      </w:r>
      <w:sdt>
        <w:sdtPr>
          <w:rPr>
            <w:rFonts w:ascii="Arial" w:eastAsia="Calibri" w:hAnsi="Arial" w:cs="Arial"/>
            <w:sz w:val="24"/>
            <w:szCs w:val="24"/>
          </w:rPr>
          <w:id w:val="-1943443501"/>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Ste19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(SWSF, 2019)</w:t>
          </w:r>
          <w:r w:rsidRPr="00096BDD">
            <w:rPr>
              <w:rFonts w:ascii="Arial" w:eastAsia="Calibri" w:hAnsi="Arial" w:cs="Arial"/>
              <w:sz w:val="24"/>
              <w:szCs w:val="24"/>
            </w:rPr>
            <w:fldChar w:fldCharType="end"/>
          </w:r>
        </w:sdtContent>
      </w:sdt>
      <w:r w:rsidRPr="00096BDD">
        <w:rPr>
          <w:rFonts w:ascii="Arial" w:eastAsia="Calibri" w:hAnsi="Arial" w:cs="Arial"/>
          <w:sz w:val="24"/>
          <w:szCs w:val="24"/>
        </w:rPr>
        <w:t>, important skills for future leaders and global citizens.</w:t>
      </w:r>
    </w:p>
    <w:p w14:paraId="6BCCABCE"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 xml:space="preserve">However, this could lead to a new form of ‘school </w:t>
      </w:r>
      <w:proofErr w:type="gramStart"/>
      <w:r w:rsidRPr="00096BDD">
        <w:rPr>
          <w:rFonts w:ascii="Arial" w:eastAsia="Calibri" w:hAnsi="Arial" w:cs="Arial"/>
          <w:sz w:val="24"/>
          <w:szCs w:val="24"/>
        </w:rPr>
        <w:t>wars’</w:t>
      </w:r>
      <w:proofErr w:type="gramEnd"/>
      <w:r w:rsidRPr="00096BDD">
        <w:rPr>
          <w:rFonts w:ascii="Arial" w:eastAsia="Calibri" w:hAnsi="Arial" w:cs="Arial"/>
          <w:sz w:val="24"/>
          <w:szCs w:val="24"/>
        </w:rPr>
        <w:t xml:space="preserve">.  Whereas whole families are uprooted and moved to the catchment areas of the schools showing the highest </w:t>
      </w:r>
      <w:r w:rsidRPr="00096BDD">
        <w:rPr>
          <w:rFonts w:ascii="Arial" w:eastAsia="Calibri" w:hAnsi="Arial" w:cs="Arial"/>
          <w:sz w:val="24"/>
          <w:szCs w:val="24"/>
        </w:rPr>
        <w:lastRenderedPageBreak/>
        <w:t xml:space="preserve">attainment levels, the league table leaders </w:t>
      </w:r>
      <w:sdt>
        <w:sdtPr>
          <w:rPr>
            <w:rFonts w:ascii="Arial" w:eastAsia="Calibri" w:hAnsi="Arial" w:cs="Arial"/>
            <w:sz w:val="24"/>
            <w:szCs w:val="24"/>
          </w:rPr>
          <w:id w:val="-296616659"/>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 CITATION Rob13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(Robinson, 2013)</w:t>
          </w:r>
          <w:r w:rsidRPr="00096BDD">
            <w:rPr>
              <w:rFonts w:ascii="Arial" w:eastAsia="Calibri" w:hAnsi="Arial" w:cs="Arial"/>
              <w:sz w:val="24"/>
              <w:szCs w:val="24"/>
            </w:rPr>
            <w:fldChar w:fldCharType="end"/>
          </w:r>
        </w:sdtContent>
      </w:sdt>
      <w:r w:rsidRPr="00096BDD">
        <w:rPr>
          <w:rFonts w:ascii="Arial" w:eastAsia="Calibri" w:hAnsi="Arial" w:cs="Arial"/>
          <w:sz w:val="24"/>
          <w:szCs w:val="24"/>
        </w:rPr>
        <w:t>, there would be a new dimension to introduce which would involve best practice, most creative and holistic approaches as well as attainment.  These new additions to the parental tick list for educating their children would be reliant on the stability of the leadership and pedagogy of the individual establishments and could change as often as the staff come and go. Teachers offering the best attainment combined with best practice for the students in their care would become highly coveted therefore causing a constant flow of movement throughout the school system</w:t>
      </w:r>
      <w:proofErr w:type="gramStart"/>
      <w:r w:rsidRPr="00096BDD">
        <w:rPr>
          <w:rFonts w:ascii="Arial" w:eastAsia="Calibri" w:hAnsi="Arial" w:cs="Arial"/>
          <w:sz w:val="24"/>
          <w:szCs w:val="24"/>
        </w:rPr>
        <w:t xml:space="preserve">.  </w:t>
      </w:r>
      <w:proofErr w:type="gramEnd"/>
      <w:r w:rsidRPr="00096BDD">
        <w:rPr>
          <w:rFonts w:ascii="Arial" w:eastAsia="Calibri" w:hAnsi="Arial" w:cs="Arial"/>
          <w:sz w:val="24"/>
          <w:szCs w:val="24"/>
        </w:rPr>
        <w:t>This constant change of faculty staff, even if an organic change brought on by teachers seeking out like minded ethos from their school, could undermine the new league tables of a successful pedagogy and allow for uncertainty and confusion on the part of the parents and children as to which would be the most reliable location that would offer continuity of best practice and sustainability of learning.</w:t>
      </w:r>
    </w:p>
    <w:p w14:paraId="25E7E098" w14:textId="77777777" w:rsidR="00096BDD" w:rsidRPr="00096BDD" w:rsidRDefault="00096BDD" w:rsidP="00096BDD">
      <w:pPr>
        <w:spacing w:line="360" w:lineRule="auto"/>
        <w:jc w:val="both"/>
        <w:rPr>
          <w:rFonts w:ascii="Arial" w:eastAsia="Calibri" w:hAnsi="Arial" w:cs="Arial"/>
          <w:sz w:val="24"/>
          <w:szCs w:val="24"/>
        </w:rPr>
      </w:pPr>
      <w:r w:rsidRPr="00096BDD">
        <w:rPr>
          <w:rFonts w:ascii="Arial" w:eastAsia="Calibri" w:hAnsi="Arial" w:cs="Arial"/>
          <w:sz w:val="24"/>
          <w:szCs w:val="24"/>
        </w:rPr>
        <w:t xml:space="preserve">Although we have become familiar with the Greek word ‘curriculum’ not many people are aware that the actual translation relates to a ‘racetrack’ or course that one runs around, </w:t>
      </w:r>
      <w:proofErr w:type="spellStart"/>
      <w:r w:rsidRPr="00096BDD">
        <w:rPr>
          <w:rFonts w:ascii="Arial" w:eastAsia="Calibri" w:hAnsi="Arial" w:cs="Arial"/>
          <w:sz w:val="24"/>
          <w:szCs w:val="24"/>
        </w:rPr>
        <w:t>currere</w:t>
      </w:r>
      <w:proofErr w:type="spellEnd"/>
      <w:r w:rsidRPr="00096BDD">
        <w:rPr>
          <w:rFonts w:ascii="Arial" w:eastAsia="Calibri" w:hAnsi="Arial" w:cs="Arial"/>
          <w:sz w:val="24"/>
          <w:szCs w:val="24"/>
        </w:rPr>
        <w:t xml:space="preserve"> meaning to run </w:t>
      </w:r>
      <w:sdt>
        <w:sdtPr>
          <w:rPr>
            <w:rFonts w:ascii="Arial" w:eastAsia="Calibri" w:hAnsi="Arial" w:cs="Arial"/>
            <w:sz w:val="24"/>
            <w:szCs w:val="24"/>
          </w:rPr>
          <w:id w:val="565837001"/>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CITATION Del96 \p 241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(Thompson, 1996, p. 241)</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  John Dewey recognised the race track analogy when he wrote in 1902 “Curriculum is a continuous reconstruction, moving from the child’s present experience out into that represented by the organized bodies of truth that we call studies . . . the various studies . . . are themselves experience— they are that of the race.” </w:t>
      </w:r>
      <w:sdt>
        <w:sdtPr>
          <w:rPr>
            <w:rFonts w:ascii="Arial" w:eastAsia="Calibri" w:hAnsi="Arial" w:cs="Arial"/>
            <w:sz w:val="24"/>
            <w:szCs w:val="24"/>
          </w:rPr>
          <w:id w:val="732899050"/>
          <w:citation/>
        </w:sdtPr>
        <w:sdtContent>
          <w:r w:rsidRPr="00096BDD">
            <w:rPr>
              <w:rFonts w:ascii="Arial" w:eastAsia="Calibri" w:hAnsi="Arial" w:cs="Arial"/>
              <w:sz w:val="24"/>
              <w:szCs w:val="24"/>
            </w:rPr>
            <w:fldChar w:fldCharType="begin"/>
          </w:r>
          <w:r w:rsidRPr="00096BDD">
            <w:rPr>
              <w:rFonts w:ascii="Arial" w:eastAsia="Calibri" w:hAnsi="Arial" w:cs="Arial"/>
              <w:sz w:val="24"/>
              <w:szCs w:val="24"/>
            </w:rPr>
            <w:instrText xml:space="preserve">CITATION Dew02 \p 11 \l 2057 </w:instrText>
          </w:r>
          <w:r w:rsidRPr="00096BDD">
            <w:rPr>
              <w:rFonts w:ascii="Arial" w:eastAsia="Calibri" w:hAnsi="Arial" w:cs="Arial"/>
              <w:sz w:val="24"/>
              <w:szCs w:val="24"/>
            </w:rPr>
            <w:fldChar w:fldCharType="separate"/>
          </w:r>
          <w:r w:rsidRPr="00096BDD">
            <w:rPr>
              <w:rFonts w:ascii="Arial" w:eastAsia="Calibri" w:hAnsi="Arial" w:cs="Arial"/>
              <w:noProof/>
              <w:sz w:val="24"/>
              <w:szCs w:val="24"/>
            </w:rPr>
            <w:t>(Dewey, 1902, p. 11)</w:t>
          </w:r>
          <w:r w:rsidRPr="00096BDD">
            <w:rPr>
              <w:rFonts w:ascii="Arial" w:eastAsia="Calibri" w:hAnsi="Arial" w:cs="Arial"/>
              <w:sz w:val="24"/>
              <w:szCs w:val="24"/>
            </w:rPr>
            <w:fldChar w:fldCharType="end"/>
          </w:r>
        </w:sdtContent>
      </w:sdt>
      <w:r w:rsidRPr="00096BDD">
        <w:rPr>
          <w:rFonts w:ascii="Arial" w:eastAsia="Calibri" w:hAnsi="Arial" w:cs="Arial"/>
          <w:sz w:val="24"/>
          <w:szCs w:val="24"/>
        </w:rPr>
        <w:t xml:space="preserve">.  This could be the opportunity for us to realise that education is not a </w:t>
      </w:r>
      <w:proofErr w:type="gramStart"/>
      <w:r w:rsidRPr="00096BDD">
        <w:rPr>
          <w:rFonts w:ascii="Arial" w:eastAsia="Calibri" w:hAnsi="Arial" w:cs="Arial"/>
          <w:sz w:val="24"/>
          <w:szCs w:val="24"/>
        </w:rPr>
        <w:t>race, but</w:t>
      </w:r>
      <w:proofErr w:type="gramEnd"/>
      <w:r w:rsidRPr="00096BDD">
        <w:rPr>
          <w:rFonts w:ascii="Arial" w:eastAsia="Calibri" w:hAnsi="Arial" w:cs="Arial"/>
          <w:sz w:val="24"/>
          <w:szCs w:val="24"/>
        </w:rPr>
        <w:t xml:space="preserve"> continues throughout our lives in one form or another and the winners are each and every individual.  Maybe the new curriculum is a way of removing our children from the ‘race’ and allowing them to enjoy learning for its and their own sake and to continue to want to seek knowledge long after their time on the compulsory racetrack.  We can but wait and see.</w:t>
      </w:r>
    </w:p>
    <w:p w14:paraId="4B9FEA47" w14:textId="77777777" w:rsidR="00096BDD" w:rsidRPr="00096BDD" w:rsidRDefault="00096BDD" w:rsidP="00096BDD">
      <w:pPr>
        <w:spacing w:line="360" w:lineRule="auto"/>
        <w:jc w:val="both"/>
        <w:rPr>
          <w:rFonts w:ascii="Arial" w:eastAsia="Calibri" w:hAnsi="Arial" w:cs="Arial"/>
          <w:sz w:val="24"/>
          <w:szCs w:val="24"/>
        </w:rPr>
      </w:pPr>
    </w:p>
    <w:sdt>
      <w:sdtPr>
        <w:rPr>
          <w:rFonts w:ascii="Calibri" w:eastAsia="Calibri" w:hAnsi="Calibri" w:cs="Times New Roman"/>
        </w:rPr>
        <w:id w:val="-1021697511"/>
        <w:docPartObj>
          <w:docPartGallery w:val="Bibliographies"/>
          <w:docPartUnique/>
        </w:docPartObj>
      </w:sdtPr>
      <w:sdtContent>
        <w:p w14:paraId="50EB956F" w14:textId="77777777" w:rsidR="00096BDD" w:rsidRPr="00096BDD" w:rsidRDefault="00096BDD" w:rsidP="00096BDD">
          <w:pPr>
            <w:keepNext/>
            <w:keepLines/>
            <w:spacing w:before="240" w:after="0"/>
            <w:outlineLvl w:val="0"/>
            <w:rPr>
              <w:rFonts w:ascii="Calibri Light" w:eastAsia="Times New Roman" w:hAnsi="Calibri Light" w:cs="Times New Roman"/>
              <w:color w:val="2F5496"/>
              <w:sz w:val="32"/>
              <w:szCs w:val="32"/>
              <w:lang w:val="en-US"/>
            </w:rPr>
          </w:pPr>
          <w:r w:rsidRPr="00096BDD">
            <w:rPr>
              <w:rFonts w:ascii="Calibri Light" w:eastAsia="Times New Roman" w:hAnsi="Calibri Light" w:cs="Times New Roman"/>
              <w:color w:val="2F5496"/>
              <w:sz w:val="32"/>
              <w:szCs w:val="32"/>
              <w:lang w:val="en-US"/>
            </w:rPr>
            <w:t>References</w:t>
          </w:r>
        </w:p>
        <w:sdt>
          <w:sdtPr>
            <w:rPr>
              <w:rFonts w:ascii="Calibri" w:eastAsia="Calibri" w:hAnsi="Calibri" w:cs="Times New Roman"/>
            </w:rPr>
            <w:id w:val="308219077"/>
            <w:bibliography/>
          </w:sdtPr>
          <w:sdtContent>
            <w:p w14:paraId="78D0B5E3" w14:textId="77777777" w:rsidR="00096BDD" w:rsidRPr="00096BDD" w:rsidRDefault="00096BDD" w:rsidP="00096BDD">
              <w:pPr>
                <w:rPr>
                  <w:rFonts w:ascii="Calibri" w:eastAsia="Calibri" w:hAnsi="Calibri" w:cs="Times New Roman"/>
                  <w:noProof/>
                  <w:sz w:val="24"/>
                  <w:szCs w:val="24"/>
                  <w:lang w:val="en-US"/>
                </w:rPr>
              </w:pPr>
              <w:r w:rsidRPr="00096BDD">
                <w:rPr>
                  <w:rFonts w:ascii="Calibri" w:eastAsia="Calibri" w:hAnsi="Calibri" w:cs="Times New Roman"/>
                </w:rPr>
                <w:fldChar w:fldCharType="begin"/>
              </w:r>
              <w:r w:rsidRPr="00096BDD">
                <w:rPr>
                  <w:rFonts w:ascii="Calibri" w:eastAsia="Calibri" w:hAnsi="Calibri" w:cs="Times New Roman"/>
                </w:rPr>
                <w:instrText xml:space="preserve"> BIBLIOGRAPHY </w:instrText>
              </w:r>
              <w:r w:rsidRPr="00096BDD">
                <w:rPr>
                  <w:rFonts w:ascii="Calibri" w:eastAsia="Calibri" w:hAnsi="Calibri" w:cs="Times New Roman"/>
                </w:rPr>
                <w:fldChar w:fldCharType="separate"/>
              </w:r>
              <w:r w:rsidRPr="00096BDD">
                <w:rPr>
                  <w:rFonts w:ascii="Calibri" w:eastAsia="Calibri" w:hAnsi="Calibri" w:cs="Times New Roman"/>
                  <w:noProof/>
                  <w:lang w:val="en-US"/>
                </w:rPr>
                <w:t xml:space="preserve">Dewey, J., 1902. </w:t>
              </w:r>
              <w:r w:rsidRPr="00096BDD">
                <w:rPr>
                  <w:rFonts w:ascii="Calibri" w:eastAsia="Calibri" w:hAnsi="Calibri" w:cs="Times New Roman"/>
                  <w:i/>
                  <w:iCs/>
                  <w:noProof/>
                  <w:lang w:val="en-US"/>
                </w:rPr>
                <w:t xml:space="preserve">The Child and the Curriculum. </w:t>
              </w:r>
              <w:r w:rsidRPr="00096BDD">
                <w:rPr>
                  <w:rFonts w:ascii="Calibri" w:eastAsia="Calibri" w:hAnsi="Calibri" w:cs="Times New Roman"/>
                  <w:noProof/>
                  <w:lang w:val="en-US"/>
                </w:rPr>
                <w:t>Chicago: University of Chicago Press.</w:t>
              </w:r>
            </w:p>
            <w:p w14:paraId="79DEBB40"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Robinson, K., 2013. </w:t>
              </w:r>
              <w:r w:rsidRPr="00096BDD">
                <w:rPr>
                  <w:rFonts w:ascii="Calibri" w:eastAsia="Calibri" w:hAnsi="Calibri" w:cs="Times New Roman"/>
                  <w:i/>
                  <w:iCs/>
                  <w:noProof/>
                  <w:lang w:val="en-US"/>
                </w:rPr>
                <w:t xml:space="preserve">Finding Your Element. </w:t>
              </w:r>
              <w:r w:rsidRPr="00096BDD">
                <w:rPr>
                  <w:rFonts w:ascii="Calibri" w:eastAsia="Calibri" w:hAnsi="Calibri" w:cs="Times New Roman"/>
                  <w:noProof/>
                  <w:lang w:val="en-US"/>
                </w:rPr>
                <w:t>London: Penguin Books.</w:t>
              </w:r>
            </w:p>
            <w:p w14:paraId="70C274C4"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Robinson, K., 2013. </w:t>
              </w:r>
              <w:r w:rsidRPr="00096BDD">
                <w:rPr>
                  <w:rFonts w:ascii="Calibri" w:eastAsia="Calibri" w:hAnsi="Calibri" w:cs="Times New Roman"/>
                  <w:i/>
                  <w:iCs/>
                  <w:noProof/>
                  <w:lang w:val="en-US"/>
                </w:rPr>
                <w:t xml:space="preserve">Youtube.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https://www.ted.com/talks/sir_ken_robinson_how_to_escape_education_s_death_valley#t-</w:t>
              </w:r>
              <w:r w:rsidRPr="00096BDD">
                <w:rPr>
                  <w:rFonts w:ascii="Calibri" w:eastAsia="Calibri" w:hAnsi="Calibri" w:cs="Times New Roman"/>
                  <w:noProof/>
                  <w:u w:val="single"/>
                  <w:lang w:val="en-US"/>
                </w:rPr>
                <w:lastRenderedPageBreak/>
                <w:t>1135103</w:t>
              </w:r>
              <w:r w:rsidRPr="00096BDD">
                <w:rPr>
                  <w:rFonts w:ascii="Calibri" w:eastAsia="Calibri" w:hAnsi="Calibri" w:cs="Times New Roman"/>
                  <w:noProof/>
                  <w:lang w:val="en-US"/>
                </w:rPr>
                <w:br/>
                <w:t>[Accessed 15 January 2020].</w:t>
              </w:r>
            </w:p>
            <w:p w14:paraId="6F068068"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SWSF, 2019. </w:t>
              </w:r>
              <w:r w:rsidRPr="00096BDD">
                <w:rPr>
                  <w:rFonts w:ascii="Calibri" w:eastAsia="Calibri" w:hAnsi="Calibri" w:cs="Times New Roman"/>
                  <w:i/>
                  <w:iCs/>
                  <w:noProof/>
                  <w:lang w:val="en-US"/>
                </w:rPr>
                <w:t xml:space="preserve">Steiner Waldorf Schools Fellowship.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https://www.steinerwaldorf.org/steiner-education/does-it-work/</w:t>
              </w:r>
              <w:r w:rsidRPr="00096BDD">
                <w:rPr>
                  <w:rFonts w:ascii="Calibri" w:eastAsia="Calibri" w:hAnsi="Calibri" w:cs="Times New Roman"/>
                  <w:noProof/>
                  <w:lang w:val="en-US"/>
                </w:rPr>
                <w:br/>
                <w:t>[Accessed 17 January 2020].</w:t>
              </w:r>
            </w:p>
            <w:p w14:paraId="677903B3"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Thompson, D., 1996. </w:t>
              </w:r>
              <w:r w:rsidRPr="00096BDD">
                <w:rPr>
                  <w:rFonts w:ascii="Calibri" w:eastAsia="Calibri" w:hAnsi="Calibri" w:cs="Times New Roman"/>
                  <w:i/>
                  <w:iCs/>
                  <w:noProof/>
                  <w:lang w:val="en-US"/>
                </w:rPr>
                <w:t xml:space="preserve">The Oxford Compact English Dictionary. </w:t>
              </w:r>
              <w:r w:rsidRPr="00096BDD">
                <w:rPr>
                  <w:rFonts w:ascii="Calibri" w:eastAsia="Calibri" w:hAnsi="Calibri" w:cs="Times New Roman"/>
                  <w:noProof/>
                  <w:lang w:val="en-US"/>
                </w:rPr>
                <w:t>Oxford: Oxford University Press.</w:t>
              </w:r>
            </w:p>
            <w:p w14:paraId="288FD5DA" w14:textId="77777777" w:rsidR="00096BDD" w:rsidRPr="00096BDD" w:rsidRDefault="00096BDD" w:rsidP="00096BDD">
              <w:pPr>
                <w:rPr>
                  <w:rFonts w:ascii="Calibri" w:eastAsia="Calibri" w:hAnsi="Calibri" w:cs="Times New Roman"/>
                  <w:noProof/>
                  <w:lang w:val="en-US"/>
                </w:rPr>
              </w:pPr>
              <w:r w:rsidRPr="00096BDD">
                <w:rPr>
                  <w:rFonts w:ascii="Calibri" w:eastAsia="Calibri" w:hAnsi="Calibri" w:cs="Times New Roman"/>
                  <w:noProof/>
                  <w:lang w:val="en-US"/>
                </w:rPr>
                <w:t xml:space="preserve">Welsh Government, 2020. </w:t>
              </w:r>
              <w:r w:rsidRPr="00096BDD">
                <w:rPr>
                  <w:rFonts w:ascii="Calibri" w:eastAsia="Calibri" w:hAnsi="Calibri" w:cs="Times New Roman"/>
                  <w:i/>
                  <w:iCs/>
                  <w:noProof/>
                  <w:lang w:val="en-US"/>
                </w:rPr>
                <w:t xml:space="preserve">New School Curriculum. </w:t>
              </w:r>
              <w:r w:rsidRPr="00096BDD">
                <w:rPr>
                  <w:rFonts w:ascii="Calibri" w:eastAsia="Calibri" w:hAnsi="Calibri" w:cs="Times New Roman"/>
                  <w:noProof/>
                  <w:lang w:val="en-US"/>
                </w:rPr>
                <w:t xml:space="preserve">[Online] </w:t>
              </w:r>
              <w:r w:rsidRPr="00096BDD">
                <w:rPr>
                  <w:rFonts w:ascii="Calibri" w:eastAsia="Calibri" w:hAnsi="Calibri" w:cs="Times New Roman"/>
                  <w:noProof/>
                  <w:lang w:val="en-US"/>
                </w:rPr>
                <w:br/>
                <w:t xml:space="preserve">Available at: </w:t>
              </w:r>
              <w:r w:rsidRPr="00096BDD">
                <w:rPr>
                  <w:rFonts w:ascii="Calibri" w:eastAsia="Calibri" w:hAnsi="Calibri" w:cs="Times New Roman"/>
                  <w:noProof/>
                  <w:u w:val="single"/>
                  <w:lang w:val="en-US"/>
                </w:rPr>
                <w:t>https://beta.gov.wales/new-school-curriculum</w:t>
              </w:r>
              <w:r w:rsidRPr="00096BDD">
                <w:rPr>
                  <w:rFonts w:ascii="Calibri" w:eastAsia="Calibri" w:hAnsi="Calibri" w:cs="Times New Roman"/>
                  <w:noProof/>
                  <w:lang w:val="en-US"/>
                </w:rPr>
                <w:br/>
                <w:t>[Accessed 7 2 2020].</w:t>
              </w:r>
            </w:p>
            <w:p w14:paraId="310BCE49" w14:textId="77777777" w:rsidR="00096BDD" w:rsidRPr="00096BDD" w:rsidRDefault="00096BDD" w:rsidP="00096BDD">
              <w:pPr>
                <w:rPr>
                  <w:rFonts w:ascii="Calibri" w:eastAsia="Calibri" w:hAnsi="Calibri" w:cs="Times New Roman"/>
                </w:rPr>
              </w:pPr>
              <w:r w:rsidRPr="00096BDD">
                <w:rPr>
                  <w:rFonts w:ascii="Calibri" w:eastAsia="Calibri" w:hAnsi="Calibri" w:cs="Times New Roman"/>
                  <w:b/>
                  <w:bCs/>
                  <w:noProof/>
                </w:rPr>
                <w:fldChar w:fldCharType="end"/>
              </w:r>
            </w:p>
          </w:sdtContent>
        </w:sdt>
      </w:sdtContent>
    </w:sdt>
    <w:p w14:paraId="3FED6577" w14:textId="77777777" w:rsidR="00096BDD" w:rsidRPr="00096BDD" w:rsidRDefault="00096BDD" w:rsidP="00096BDD">
      <w:pPr>
        <w:spacing w:line="360" w:lineRule="auto"/>
        <w:jc w:val="both"/>
        <w:rPr>
          <w:rFonts w:ascii="Arial" w:hAnsi="Arial" w:cs="Arial"/>
          <w:sz w:val="24"/>
          <w:szCs w:val="24"/>
        </w:rPr>
      </w:pPr>
    </w:p>
    <w:sectPr w:rsidR="00096BDD" w:rsidRPr="00096BD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96EC93" w14:textId="77777777" w:rsidR="00096BDD" w:rsidRDefault="00096BDD" w:rsidP="00096BDD">
      <w:pPr>
        <w:spacing w:after="0" w:line="240" w:lineRule="auto"/>
      </w:pPr>
      <w:r>
        <w:separator/>
      </w:r>
    </w:p>
  </w:endnote>
  <w:endnote w:type="continuationSeparator" w:id="0">
    <w:p w14:paraId="3B122094" w14:textId="77777777" w:rsidR="00096BDD" w:rsidRDefault="00096BDD" w:rsidP="00096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D0C4DD" w14:textId="77777777" w:rsidR="00096BDD" w:rsidRDefault="00096BDD" w:rsidP="00096BDD">
      <w:pPr>
        <w:spacing w:after="0" w:line="240" w:lineRule="auto"/>
      </w:pPr>
      <w:r>
        <w:separator/>
      </w:r>
    </w:p>
  </w:footnote>
  <w:footnote w:type="continuationSeparator" w:id="0">
    <w:p w14:paraId="51D1BAE5" w14:textId="77777777" w:rsidR="00096BDD" w:rsidRDefault="00096BDD" w:rsidP="00096B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B36B8" w14:textId="7E5C04C5" w:rsidR="00096BDD" w:rsidRDefault="00096BDD">
    <w:pPr>
      <w:pStyle w:val="Header"/>
    </w:pPr>
    <w:r>
      <w:t>1302446</w:t>
    </w:r>
    <w:r>
      <w:ptab w:relativeTo="margin" w:alignment="center" w:leader="none"/>
    </w:r>
    <w:r>
      <w:t>ECCH7002</w:t>
    </w:r>
    <w:r>
      <w:ptab w:relativeTo="margin" w:alignment="right" w:leader="none"/>
    </w:r>
    <w:r>
      <w:t>Alison Kinzett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BDD"/>
    <w:rsid w:val="00096BDD"/>
    <w:rsid w:val="001127D7"/>
    <w:rsid w:val="001B73D9"/>
    <w:rsid w:val="003C7C37"/>
    <w:rsid w:val="00936563"/>
    <w:rsid w:val="00B50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F4ABE"/>
  <w15:chartTrackingRefBased/>
  <w15:docId w15:val="{83DDA9AA-D2A3-4274-975F-151CE8529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BDD"/>
  </w:style>
  <w:style w:type="paragraph" w:styleId="Heading1">
    <w:name w:val="heading 1"/>
    <w:basedOn w:val="Normal"/>
    <w:next w:val="Normal"/>
    <w:link w:val="Heading1Char"/>
    <w:uiPriority w:val="9"/>
    <w:qFormat/>
    <w:rsid w:val="00096B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BDD"/>
  </w:style>
  <w:style w:type="paragraph" w:styleId="Footer">
    <w:name w:val="footer"/>
    <w:basedOn w:val="Normal"/>
    <w:link w:val="FooterChar"/>
    <w:uiPriority w:val="99"/>
    <w:unhideWhenUsed/>
    <w:rsid w:val="00096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BDD"/>
  </w:style>
  <w:style w:type="character" w:customStyle="1" w:styleId="Heading1Char">
    <w:name w:val="Heading 1 Char"/>
    <w:basedOn w:val="DefaultParagraphFont"/>
    <w:link w:val="Heading1"/>
    <w:uiPriority w:val="9"/>
    <w:rsid w:val="00096BD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6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Ara13</b:Tag>
    <b:SourceType>JournalArticle</b:SourceType>
    <b:Guid>{C62AF1EF-2A6A-48F7-AE1A-7F0E97698808}</b:Guid>
    <b:Title>Maturation of the adolescent brain</b:Title>
    <b:Year>2013</b:Year>
    <b:JournalName>Neuropsychiatric Disease and Treatment</b:JournalName>
    <b:Pages>449-461</b:Pages>
    <b:Volume>9</b:Volume>
    <b:Author>
      <b:Author>
        <b:NameList>
          <b:Person>
            <b:Last>Arain</b:Last>
            <b:First>Mariam</b:First>
          </b:Person>
          <b:Person>
            <b:Last>Haque</b:Last>
            <b:First>Maliha</b:First>
          </b:Person>
          <b:Person>
            <b:Last>Johal</b:Last>
            <b:First>Lina</b:First>
          </b:Person>
          <b:Person>
            <b:Last>Mathur</b:Last>
            <b:First>Puja</b:First>
          </b:Person>
          <b:Person>
            <b:Last>Nel</b:Last>
            <b:First>Wynand</b:First>
          </b:Person>
          <b:Person>
            <b:Last>Rais</b:Last>
            <b:First>Afsha</b:First>
          </b:Person>
          <b:Person>
            <b:Last>Sandhu</b:Last>
            <b:First>Ranbir</b:First>
          </b:Person>
          <b:Person>
            <b:Last>Sharma</b:Last>
            <b:First>Sushil</b:First>
          </b:Person>
        </b:NameList>
      </b:Author>
    </b:Author>
    <b:RefOrder>1</b:RefOrder>
  </b:Source>
  <b:Source>
    <b:Tag>NIM20</b:Tag>
    <b:SourceType>DocumentFromInternetSite</b:SourceType>
    <b:Guid>{3B2BF7B3-2216-4864-97FD-8C9796BF7FC4}</b:Guid>
    <b:Author>
      <b:Author>
        <b:Corporate>NIMH</b:Corporate>
      </b:Author>
    </b:Author>
    <b:Title>National Institute of Mental Health</b:Title>
    <b:YearAccessed>2020</b:YearAccessed>
    <b:MonthAccessed>February</b:MonthAccessed>
    <b:DayAccessed>6</b:DayAccessed>
    <b:URL>https://www.nimh.nih.gov/health/publications/the-teen-brain-6-things-to-know/index.shtml</b:URL>
    <b:RefOrder>2</b:RefOrder>
  </b:Source>
  <b:Source>
    <b:Tag>Mor13</b:Tag>
    <b:SourceType>Book</b:SourceType>
    <b:Guid>{9E8BFD5F-E77A-4491-95DF-A3C25789A4C7}</b:Guid>
    <b:Title>Blame my Brain; The Amazing Teenage Brain Revealed</b:Title>
    <b:Year>2013</b:Year>
    <b:City>Edinburgh</b:City>
    <b:Publisher>Walker</b:Publisher>
    <b:Edition>2</b:Edition>
    <b:Author>
      <b:Author>
        <b:NameList>
          <b:Person>
            <b:Last>Morgan</b:Last>
            <b:First>Nicola</b:First>
          </b:Person>
        </b:NameList>
      </b:Author>
    </b:Author>
    <b:RefOrder>3</b:RefOrder>
  </b:Source>
  <b:Source>
    <b:Tag>Mor18</b:Tag>
    <b:SourceType>Book</b:SourceType>
    <b:Guid>{5019FE0D-E396-4BFE-A16F-F7FC94557AD3}</b:Guid>
    <b:Title>Positively Teenage; A Positively Brilliant Guide to Teenage Well-Being</b:Title>
    <b:Year>2018</b:Year>
    <b:City>London</b:City>
    <b:Publisher>Franklin Watts</b:Publisher>
    <b:Author>
      <b:Author>
        <b:NameList>
          <b:Person>
            <b:Last>Morgan</b:Last>
            <b:First>Nicola</b:First>
          </b:Person>
        </b:NameList>
      </b:Author>
    </b:Author>
    <b:RefOrder>4</b:RefOrder>
  </b:Source>
  <b:Source>
    <b:Tag>Edw18</b:Tag>
    <b:SourceType>Book</b:SourceType>
    <b:Guid>{80B56BA7-BCBB-4DD9-87CD-6B89C82CA750}</b:Guid>
    <b:Title>Social Media and Mental Health</b:Title>
    <b:Year>2018</b:Year>
    <b:City>Newark</b:City>
    <b:Publisher>Trigger</b:Publisher>
    <b:Author>
      <b:Author>
        <b:NameList>
          <b:Person>
            <b:Last>Edwards</b:Last>
            <b:First>Claire</b:First>
          </b:Person>
        </b:NameList>
      </b:Author>
    </b:Author>
    <b:RefOrder>5</b:RefOrder>
  </b:Source>
  <b:Source>
    <b:Tag>AAC16</b:Tag>
    <b:SourceType>DocumentFromInternetSite</b:SourceType>
    <b:Guid>{9F21B366-FF32-4236-9CDF-4E56D3B4B7DB}</b:Guid>
    <b:Author>
      <b:Author>
        <b:Corporate>AACAP</b:Corporate>
      </b:Author>
    </b:Author>
    <b:Title>Teen Brain: Behavior, Problem Solving, and Decision Making</b:Title>
    <b:Year>2016</b:Year>
    <b:Month>9</b:Month>
    <b:YearAccessed>2020</b:YearAccessed>
    <b:MonthAccessed>2</b:MonthAccessed>
    <b:DayAccessed>6</b:DayAccessed>
    <b:URL>https://www.aacap.org/AACAP/Families_and_Youth/Facts_for_Families/FFF-Guide/The-Teen-Brain-Behavior-Problem-Solving-and-Decision-Making-095.aspx</b:URL>
    <b:RefOrder>6</b:RefOrder>
  </b:Source>
  <b:Source>
    <b:Tag>CSS20</b:Tag>
    <b:SourceType>InternetSite</b:SourceType>
    <b:Guid>{A8CAEFE7-2AC7-40F5-A887-BB0DF04840C3}</b:Guid>
    <b:Author>
      <b:Author>
        <b:Corporate>CSS Ltd</b:Corporate>
      </b:Author>
    </b:Author>
    <b:Title>Mosquito</b:Title>
    <b:Year>2020</b:Year>
    <b:YearAccessed>2020</b:YearAccessed>
    <b:MonthAccessed>March</b:MonthAccessed>
    <b:DayAccessed>18</b:DayAccessed>
    <b:URL>https://www.compoundsecurity.co.uk/product/mosquito/</b:URL>
    <b:RefOrder>1</b:RefOrder>
  </b:Source>
  <b:Source>
    <b:Tag>DAS20</b:Tag>
    <b:SourceType>InternetSite</b:SourceType>
    <b:Guid>{E0FCB05C-4005-4A6D-B0D8-75BE9797EB0F}</b:Guid>
    <b:Author>
      <b:Author>
        <b:Corporate>DASP</b:Corporate>
      </b:Author>
    </b:Author>
    <b:Title>Hearnet, Department of Audiology and Speech Pathology</b:Title>
    <b:Year>2020</b:Year>
    <b:YearAccessed>2020</b:YearAccessed>
    <b:MonthAccessed>March</b:MonthAccessed>
    <b:DayAccessed>18</b:DayAccessed>
    <b:URL>https://hearnet.org.au/hearing-problems/presbycusis</b:URL>
    <b:RefOrder>2</b:RefOrder>
  </b:Source>
  <b:Source>
    <b:Tag>Jar17</b:Tag>
    <b:SourceType>InternetSite</b:SourceType>
    <b:Guid>{93EDED4A-7E23-4837-895E-B4DCE220F82E}</b:Guid>
    <b:Title>Livescience</b:Title>
    <b:Year>2017</b:Year>
    <b:YearAccessed>2020</b:YearAccessed>
    <b:MonthAccessed>March</b:MonthAccessed>
    <b:DayAccessed>18</b:DayAccessed>
    <b:URL>https://www.livescience.com/46150-vandals.html</b:URL>
    <b:Author>
      <b:Author>
        <b:NameList>
          <b:Person>
            <b:Last>Jarus</b:Last>
            <b:First>Owen</b:First>
          </b:Person>
        </b:NameList>
      </b:Author>
    </b:Author>
    <b:RefOrder>3</b:RefOrder>
  </b:Source>
  <b:Source>
    <b:Tag>Bla17</b:Tag>
    <b:SourceType>InternetSite</b:SourceType>
    <b:Guid>{9951FC32-2921-41E9-8097-E733AC7BC3C5}</b:Guid>
    <b:Title>The Vintage News</b:Title>
    <b:Year>2017</b:Year>
    <b:YearAccessed>2020</b:YearAccessed>
    <b:MonthAccessed>March</b:MonthAccessed>
    <b:DayAccessed>18</b:DayAccessed>
    <b:URL>https://www.thevintagenews.com/2016/11/17/the-history-of-graffiti-from-ancient-times-to-modern-days/</b:URL>
    <b:Author>
      <b:Author>
        <b:NameList>
          <b:Person>
            <b:Last>Blazeski</b:Last>
            <b:First>Goran</b:First>
          </b:Person>
        </b:NameList>
      </b:Author>
    </b:Author>
    <b:RefOrder>4</b:RefOrder>
  </b:Source>
  <b:Source>
    <b:Tag>Lei18</b:Tag>
    <b:SourceType>JournalArticle</b:SourceType>
    <b:Guid>{0F982105-6C2C-4038-91D2-3CB2005C5F7F}</b:Guid>
    <b:Title>Effects of very high-frequency sound and ultrasound on humans part I: adverse symptoms after exposure to audible very-high frequency sound</b:Title>
    <b:Year>2018</b:Year>
    <b:JournalName>Journal of the Acoustical Society of America</b:JournalName>
    <b:Pages>2511-2520</b:Pages>
    <b:Volume>144</b:Volume>
    <b:Issue>4</b:Issue>
    <b:Author>
      <b:Author>
        <b:NameList>
          <b:Person>
            <b:Last>Leighton</b:Last>
            <b:First>Timothy</b:First>
          </b:Person>
          <b:Person>
            <b:Last>Fletcher</b:Last>
            <b:First>M</b:First>
          </b:Person>
          <b:Person>
            <b:Last>Lloyd-Jones</b:Last>
            <b:First>S</b:First>
          </b:Person>
          <b:Person>
            <b:Last>White</b:Last>
            <b:First>P</b:First>
          </b:Person>
          <b:Person>
            <b:Last>Dolder</b:Last>
            <b:First>C</b:First>
          </b:Person>
          <b:Person>
            <b:Last>Lineton</b:Last>
            <b:First>B</b:First>
          </b:Person>
        </b:NameList>
      </b:Author>
    </b:Author>
    <b:RefOrder>5</b:RefOrder>
  </b:Source>
  <b:Source>
    <b:Tag>Abr19</b:Tag>
    <b:SourceType>InternetSite</b:SourceType>
    <b:Guid>{BFFDDFDF-162A-4500-AD1C-2FE5D4AE14BD}</b:Guid>
    <b:Title>Improbable Research</b:Title>
    <b:Year>2019</b:Year>
    <b:YearAccessed>2020</b:YearAccessed>
    <b:MonthAccessed>March</b:MonthAccessed>
    <b:DayAccessed>18</b:DayAccessed>
    <b:URL>https://www.improbable.com/2019/09/12/announcing-the-2019-ig-nobel-prize-winners/</b:URL>
    <b:Author>
      <b:Author>
        <b:NameList>
          <b:Person>
            <b:Last>Abrahams</b:Last>
            <b:First>Marc</b:First>
          </b:Person>
        </b:NameList>
      </b:Author>
    </b:Author>
    <b:RefOrder>6</b:RefOrder>
  </b:Source>
  <b:Source>
    <b:Tag>Goo20</b:Tag>
    <b:SourceType>InternetSite</b:SourceType>
    <b:Guid>{E65B38FB-FB9C-4C8F-8DEB-10ECEE9BFCB2}</b:Guid>
    <b:Title>Google Images</b:Title>
    <b:Year>2020</b:Year>
    <b:YearAccessed>2020</b:YearAccessed>
    <b:MonthAccessed>January</b:MonthAccessed>
    <b:DayAccessed>16</b:DayAccessed>
    <b:URL>https://www.google.co.uk/imghp?hl=en&amp;tab=wi&amp;authuser=0&amp;ogbl</b:URL>
    <b:Author>
      <b:Author>
        <b:Corporate>Google Images</b:Corporate>
      </b:Author>
    </b:Author>
    <b:RefOrder>7</b:RefOrder>
  </b:Source>
  <b:Source>
    <b:Tag>Wel02</b:Tag>
    <b:SourceType>DocumentFromInternetSite</b:SourceType>
    <b:Guid>{9C9688E5-60A7-4D3D-AA74-484295023364}</b:Guid>
    <b:Author>
      <b:Author>
        <b:Corporate>Welsh Government</b:Corporate>
      </b:Author>
    </b:Author>
    <b:Title>New School Curriculum</b:Title>
    <b:Year>2020</b:Year>
    <b:Month>1</b:Month>
    <b:Day>28</b:Day>
    <b:YearAccessed>2020</b:YearAccessed>
    <b:MonthAccessed>2</b:MonthAccessed>
    <b:DayAccessed>7</b:DayAccessed>
    <b:URL>https://beta.gov.wales/new-school-curriculum</b:URL>
    <b:RefOrder>1</b:RefOrder>
  </b:Source>
  <b:Source>
    <b:Tag>Rob131</b:Tag>
    <b:SourceType>Book</b:SourceType>
    <b:Guid>{40777490-028C-4E63-8D97-BEF2C460D74A}</b:Guid>
    <b:Title>Finding Your Element</b:Title>
    <b:Year>2013</b:Year>
    <b:City>London</b:City>
    <b:Publisher>Penguin Books</b:Publisher>
    <b:Author>
      <b:Author>
        <b:NameList>
          <b:Person>
            <b:Last>Robinson</b:Last>
            <b:First>Ken</b:First>
          </b:Person>
        </b:NameList>
      </b:Author>
    </b:Author>
    <b:RefOrder>2</b:RefOrder>
  </b:Source>
  <b:Source>
    <b:Tag>Ste19</b:Tag>
    <b:SourceType>InternetSite</b:SourceType>
    <b:Guid>{8B37EDAF-2AF7-4E96-9A80-6986C99873D8}</b:Guid>
    <b:Title>Steiner Waldorf Schools Fellowship</b:Title>
    <b:Year>2019</b:Year>
    <b:YearAccessed>2020</b:YearAccessed>
    <b:MonthAccessed>January</b:MonthAccessed>
    <b:DayAccessed>17</b:DayAccessed>
    <b:URL>https://www.steinerwaldorf.org/steiner-education/does-it-work/</b:URL>
    <b:Author>
      <b:Author>
        <b:Corporate>SWSF</b:Corporate>
      </b:Author>
    </b:Author>
    <b:RefOrder>3</b:RefOrder>
  </b:Source>
  <b:Source>
    <b:Tag>Rob13</b:Tag>
    <b:SourceType>InternetSite</b:SourceType>
    <b:Guid>{DF2DEDDB-D6D0-4C0F-9A95-C947E28045EF}</b:Guid>
    <b:Title>Youtube</b:Title>
    <b:Year>2013</b:Year>
    <b:YearAccessed>2020</b:YearAccessed>
    <b:MonthAccessed>January</b:MonthAccessed>
    <b:DayAccessed>15</b:DayAccessed>
    <b:Author>
      <b:Author>
        <b:NameList>
          <b:Person>
            <b:Last>Robinson</b:Last>
            <b:First>Ken</b:First>
          </b:Person>
        </b:NameList>
      </b:Author>
    </b:Author>
    <b:URL>https://www.ted.com/talks/sir_ken_robinson_how_to_escape_education_s_death_valley#t-1135103</b:URL>
    <b:RefOrder>4</b:RefOrder>
  </b:Source>
  <b:Source>
    <b:Tag>Del96</b:Tag>
    <b:SourceType>Book</b:SourceType>
    <b:Guid>{5B10D3FE-8E34-45D1-A9C6-C2A1172845F0}</b:Guid>
    <b:Year>1996</b:Year>
    <b:Publisher>Oxford University Press</b:Publisher>
    <b:City>Oxford</b:City>
    <b:Author>
      <b:Author>
        <b:NameList>
          <b:Person>
            <b:Last>Thompson</b:Last>
            <b:First>Della</b:First>
          </b:Person>
        </b:NameList>
      </b:Author>
    </b:Author>
    <b:Title>The Oxford Compact English Dictionary</b:Title>
    <b:RefOrder>5</b:RefOrder>
  </b:Source>
  <b:Source>
    <b:Tag>Dew02</b:Tag>
    <b:SourceType>Book</b:SourceType>
    <b:Guid>{6627B102-5A6D-4F62-BC90-CA2ADB0C395D}</b:Guid>
    <b:Title>The Child and the Curriculum</b:Title>
    <b:Year>1902</b:Year>
    <b:City>Chicago</b:City>
    <b:Publisher>University of Chicago Press</b:Publisher>
    <b:Author>
      <b:Author>
        <b:NameList>
          <b:Person>
            <b:Last>Dewey</b:Last>
            <b:First>John</b:First>
          </b:Person>
        </b:NameList>
      </b:Author>
    </b:Author>
    <b:RefOrder>6</b:RefOrder>
  </b:Source>
</b:Sources>
</file>

<file path=customXml/itemProps1.xml><?xml version="1.0" encoding="utf-8"?>
<ds:datastoreItem xmlns:ds="http://schemas.openxmlformats.org/officeDocument/2006/customXml" ds:itemID="{2DC3F524-F28A-4486-B85F-E6729526D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2909</Words>
  <Characters>16582</Characters>
  <Application>Microsoft Office Word</Application>
  <DocSecurity>0</DocSecurity>
  <Lines>138</Lines>
  <Paragraphs>38</Paragraphs>
  <ScaleCrop>false</ScaleCrop>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Kinzett</dc:creator>
  <cp:keywords/>
  <dc:description/>
  <cp:lastModifiedBy>Alison Kinzett</cp:lastModifiedBy>
  <cp:revision>1</cp:revision>
  <dcterms:created xsi:type="dcterms:W3CDTF">2020-04-09T15:31:00Z</dcterms:created>
  <dcterms:modified xsi:type="dcterms:W3CDTF">2020-04-09T15:41:00Z</dcterms:modified>
</cp:coreProperties>
</file>