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8C68550" w14:textId="0E627766" w:rsidR="000264A1" w:rsidRDefault="00855D44"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728B3B46" wp14:editId="626DE79C">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DB1A0B" w:rsidRDefault="000264A1" w:rsidP="000264A1">
      <w:pPr>
        <w:jc w:val="center"/>
        <w:rPr>
          <w:rStyle w:val="Strong"/>
          <w:rFonts w:ascii="Arial" w:hAnsi="Arial" w:cs="Arial"/>
          <w:color w:val="1D2125"/>
          <w:sz w:val="32"/>
          <w:szCs w:val="32"/>
        </w:rPr>
      </w:pPr>
    </w:p>
    <w:p w14:paraId="25159706" w14:textId="77777777" w:rsidR="000264A1" w:rsidRPr="00DB1A0B" w:rsidRDefault="000264A1" w:rsidP="000264A1">
      <w:pPr>
        <w:rPr>
          <w:rStyle w:val="Strong"/>
          <w:rFonts w:ascii="Arial" w:hAnsi="Arial" w:cs="Arial"/>
          <w:b w:val="0"/>
          <w:bCs w:val="0"/>
          <w:color w:val="1D2125"/>
          <w:sz w:val="32"/>
          <w:szCs w:val="32"/>
        </w:rPr>
      </w:pPr>
      <w:r w:rsidRPr="00DB1A0B">
        <w:rPr>
          <w:rFonts w:ascii="Arial" w:hAnsi="Arial" w:cs="Arial"/>
          <w:b/>
          <w:bCs/>
          <w:color w:val="000000"/>
          <w:sz w:val="32"/>
          <w:szCs w:val="32"/>
        </w:rPr>
        <w:t>Component 2: Written Assignment (Report)</w:t>
      </w:r>
      <w:r w:rsidRPr="00DB1A0B">
        <w:rPr>
          <w:rStyle w:val="Strong"/>
          <w:rFonts w:ascii="Arial" w:hAnsi="Arial" w:cs="Arial"/>
          <w:b w:val="0"/>
          <w:bCs w:val="0"/>
          <w:color w:val="1D2125"/>
          <w:sz w:val="32"/>
          <w:szCs w:val="32"/>
        </w:rPr>
        <w:t xml:space="preserve"> </w:t>
      </w:r>
    </w:p>
    <w:p w14:paraId="3DB89340" w14:textId="745111D5" w:rsidR="000264A1" w:rsidRPr="00DB1A0B" w:rsidRDefault="000264A1" w:rsidP="000264A1">
      <w:pPr>
        <w:rPr>
          <w:rStyle w:val="Strong"/>
          <w:rFonts w:ascii="Arial" w:hAnsi="Arial" w:cs="Arial"/>
          <w:color w:val="1D2125"/>
          <w:sz w:val="32"/>
          <w:szCs w:val="32"/>
        </w:rPr>
      </w:pPr>
      <w:r w:rsidRPr="00DB1A0B">
        <w:rPr>
          <w:rStyle w:val="Strong"/>
          <w:rFonts w:ascii="Arial" w:hAnsi="Arial" w:cs="Arial"/>
          <w:color w:val="1D2125"/>
          <w:sz w:val="32"/>
          <w:szCs w:val="32"/>
        </w:rPr>
        <w:t>Student name</w:t>
      </w:r>
      <w:r w:rsidR="00DB1A0B" w:rsidRPr="00DB1A0B">
        <w:rPr>
          <w:rStyle w:val="Strong"/>
          <w:rFonts w:ascii="Arial" w:hAnsi="Arial" w:cs="Arial"/>
          <w:color w:val="1D2125"/>
          <w:sz w:val="32"/>
          <w:szCs w:val="32"/>
        </w:rPr>
        <w:t>: Rina Lopez</w:t>
      </w:r>
    </w:p>
    <w:p w14:paraId="459721A2" w14:textId="77777777" w:rsidR="00DB1A0B" w:rsidRPr="00DB1A0B" w:rsidRDefault="000264A1" w:rsidP="000264A1">
      <w:pPr>
        <w:rPr>
          <w:rStyle w:val="Strong"/>
          <w:rFonts w:ascii="Arial" w:hAnsi="Arial" w:cs="Arial"/>
          <w:color w:val="1D2125"/>
          <w:sz w:val="32"/>
          <w:szCs w:val="32"/>
        </w:rPr>
      </w:pPr>
      <w:r w:rsidRPr="00DB1A0B">
        <w:rPr>
          <w:rStyle w:val="Strong"/>
          <w:rFonts w:ascii="Arial" w:hAnsi="Arial" w:cs="Arial"/>
          <w:color w:val="1D2125"/>
          <w:sz w:val="32"/>
          <w:szCs w:val="32"/>
        </w:rPr>
        <w:t>Student number</w:t>
      </w:r>
      <w:r w:rsidR="00DB1A0B" w:rsidRPr="00DB1A0B">
        <w:rPr>
          <w:rStyle w:val="Strong"/>
          <w:rFonts w:ascii="Arial" w:hAnsi="Arial" w:cs="Arial"/>
          <w:color w:val="1D2125"/>
          <w:sz w:val="32"/>
          <w:szCs w:val="32"/>
        </w:rPr>
        <w:t>: 2337019</w:t>
      </w:r>
    </w:p>
    <w:p w14:paraId="3F25C99D" w14:textId="1C45C9D7" w:rsidR="000264A1" w:rsidRPr="00DB1A0B" w:rsidRDefault="00DB1A0B" w:rsidP="000264A1">
      <w:pPr>
        <w:rPr>
          <w:rStyle w:val="Strong"/>
          <w:rFonts w:ascii="Arial" w:hAnsi="Arial" w:cs="Arial"/>
          <w:color w:val="1D2125"/>
          <w:sz w:val="32"/>
          <w:szCs w:val="32"/>
        </w:rPr>
      </w:pPr>
      <w:r w:rsidRPr="00DB1A0B">
        <w:rPr>
          <w:rStyle w:val="Strong"/>
          <w:rFonts w:ascii="Arial" w:hAnsi="Arial" w:cs="Arial"/>
          <w:color w:val="1D2125"/>
          <w:sz w:val="32"/>
          <w:szCs w:val="32"/>
        </w:rPr>
        <w:t xml:space="preserve">Code Module: </w:t>
      </w:r>
      <w:r w:rsidRPr="00DB1A0B">
        <w:rPr>
          <w:rFonts w:ascii="Arial" w:hAnsi="Arial" w:cs="Arial"/>
          <w:b/>
          <w:bCs/>
          <w:color w:val="1D2125"/>
          <w:sz w:val="32"/>
          <w:szCs w:val="32"/>
        </w:rPr>
        <w:t>(BMHP6029_LON)</w:t>
      </w:r>
      <w:r w:rsidR="00F81E24" w:rsidRPr="00DB1A0B">
        <w:rPr>
          <w:rStyle w:val="Strong"/>
          <w:rFonts w:ascii="Arial" w:hAnsi="Arial" w:cs="Arial"/>
          <w:color w:val="1D2125"/>
          <w:sz w:val="32"/>
          <w:szCs w:val="32"/>
        </w:rPr>
        <w:t xml:space="preserve"> </w:t>
      </w:r>
    </w:p>
    <w:p w14:paraId="1C3CED2F" w14:textId="4D42E39D" w:rsidR="00DB1A0B" w:rsidRPr="00DB1A0B" w:rsidRDefault="00DB1A0B" w:rsidP="000264A1">
      <w:pPr>
        <w:rPr>
          <w:rStyle w:val="Strong"/>
          <w:rFonts w:ascii="Arial" w:hAnsi="Arial" w:cs="Arial"/>
          <w:color w:val="1D2125"/>
          <w:sz w:val="32"/>
          <w:szCs w:val="32"/>
        </w:rPr>
      </w:pPr>
      <w:r w:rsidRPr="00DB1A0B">
        <w:rPr>
          <w:rFonts w:ascii="Arial" w:hAnsi="Arial" w:cs="Arial"/>
          <w:b/>
          <w:bCs/>
          <w:color w:val="1D2125"/>
          <w:sz w:val="32"/>
          <w:szCs w:val="32"/>
        </w:rPr>
        <w:t>Lecture Name: Bianca Sanfilippo</w:t>
      </w:r>
    </w:p>
    <w:p w14:paraId="7DD82387" w14:textId="77777777" w:rsidR="000264A1" w:rsidRPr="00DB1A0B" w:rsidRDefault="000264A1" w:rsidP="000264A1">
      <w:pPr>
        <w:rPr>
          <w:rFonts w:ascii="Arial" w:hAnsi="Arial" w:cs="Arial"/>
          <w:sz w:val="32"/>
          <w:szCs w:val="32"/>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432AEE04" w14:textId="77777777" w:rsidR="000264A1" w:rsidRDefault="000264A1" w:rsidP="000264A1">
      <w:pPr>
        <w:rPr>
          <w:rFonts w:ascii="Arial" w:hAnsi="Arial" w:cs="Arial"/>
          <w:sz w:val="36"/>
          <w:szCs w:val="36"/>
        </w:rPr>
      </w:pPr>
    </w:p>
    <w:p w14:paraId="712E3ED2" w14:textId="77777777" w:rsidR="00F2205F" w:rsidRDefault="00F2205F" w:rsidP="008A6D32">
      <w:pPr>
        <w:pStyle w:val="NormalWeb"/>
        <w:rPr>
          <w:rFonts w:ascii="Arial" w:hAnsi="Arial" w:cs="Arial"/>
          <w:b/>
          <w:bCs/>
          <w:color w:val="000000"/>
        </w:rPr>
      </w:pPr>
    </w:p>
    <w:sdt>
      <w:sdtPr>
        <w:id w:val="-52062736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9645410" w14:textId="46E59470" w:rsidR="00F2205F" w:rsidRDefault="00F2205F">
          <w:pPr>
            <w:pStyle w:val="TOCHeading"/>
          </w:pPr>
          <w:r>
            <w:t>Table of Contents</w:t>
          </w:r>
        </w:p>
        <w:p w14:paraId="72A835FD" w14:textId="6495A0A6" w:rsidR="00F2205F" w:rsidRDefault="00F2205F">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6521160" w:history="1">
            <w:r w:rsidRPr="00337AEC">
              <w:rPr>
                <w:rStyle w:val="Hyperlink"/>
                <w:noProof/>
              </w:rPr>
              <w:t>Introduction</w:t>
            </w:r>
            <w:r>
              <w:rPr>
                <w:noProof/>
                <w:webHidden/>
              </w:rPr>
              <w:tab/>
            </w:r>
            <w:r>
              <w:rPr>
                <w:noProof/>
                <w:webHidden/>
              </w:rPr>
              <w:fldChar w:fldCharType="begin"/>
            </w:r>
            <w:r>
              <w:rPr>
                <w:noProof/>
                <w:webHidden/>
              </w:rPr>
              <w:instrText xml:space="preserve"> PAGEREF _Toc236521160 \h </w:instrText>
            </w:r>
            <w:r>
              <w:rPr>
                <w:noProof/>
                <w:webHidden/>
              </w:rPr>
            </w:r>
            <w:r>
              <w:rPr>
                <w:noProof/>
                <w:webHidden/>
              </w:rPr>
              <w:fldChar w:fldCharType="separate"/>
            </w:r>
            <w:r>
              <w:rPr>
                <w:noProof/>
                <w:webHidden/>
              </w:rPr>
              <w:t>2</w:t>
            </w:r>
            <w:r>
              <w:rPr>
                <w:noProof/>
                <w:webHidden/>
              </w:rPr>
              <w:fldChar w:fldCharType="end"/>
            </w:r>
          </w:hyperlink>
        </w:p>
        <w:p w14:paraId="3A2C251E" w14:textId="645933F4" w:rsidR="00F2205F" w:rsidRDefault="00F2205F">
          <w:pPr>
            <w:pStyle w:val="TOC1"/>
            <w:tabs>
              <w:tab w:val="right" w:leader="dot" w:pos="9016"/>
            </w:tabs>
            <w:rPr>
              <w:rFonts w:eastAsiaTheme="minorEastAsia"/>
              <w:b w:val="0"/>
              <w:bCs w:val="0"/>
              <w:i w:val="0"/>
              <w:iCs w:val="0"/>
              <w:noProof/>
              <w:lang w:eastAsia="en-GB"/>
            </w:rPr>
          </w:pPr>
          <w:hyperlink w:anchor="_Toc236521161" w:history="1">
            <w:r w:rsidRPr="00337AEC">
              <w:rPr>
                <w:rStyle w:val="Hyperlink"/>
                <w:noProof/>
              </w:rPr>
              <w:t>Classification and Diagnosis:</w:t>
            </w:r>
            <w:r>
              <w:rPr>
                <w:noProof/>
                <w:webHidden/>
              </w:rPr>
              <w:tab/>
            </w:r>
            <w:r>
              <w:rPr>
                <w:noProof/>
                <w:webHidden/>
              </w:rPr>
              <w:fldChar w:fldCharType="begin"/>
            </w:r>
            <w:r>
              <w:rPr>
                <w:noProof/>
                <w:webHidden/>
              </w:rPr>
              <w:instrText xml:space="preserve"> PAGEREF _Toc236521161 \h </w:instrText>
            </w:r>
            <w:r>
              <w:rPr>
                <w:noProof/>
                <w:webHidden/>
              </w:rPr>
            </w:r>
            <w:r>
              <w:rPr>
                <w:noProof/>
                <w:webHidden/>
              </w:rPr>
              <w:fldChar w:fldCharType="separate"/>
            </w:r>
            <w:r>
              <w:rPr>
                <w:noProof/>
                <w:webHidden/>
              </w:rPr>
              <w:t>3</w:t>
            </w:r>
            <w:r>
              <w:rPr>
                <w:noProof/>
                <w:webHidden/>
              </w:rPr>
              <w:fldChar w:fldCharType="end"/>
            </w:r>
          </w:hyperlink>
        </w:p>
        <w:p w14:paraId="4A98D3A1" w14:textId="05F730E8" w:rsidR="00F2205F" w:rsidRDefault="00F2205F">
          <w:pPr>
            <w:pStyle w:val="TOC1"/>
            <w:tabs>
              <w:tab w:val="right" w:leader="dot" w:pos="9016"/>
            </w:tabs>
            <w:rPr>
              <w:rFonts w:eastAsiaTheme="minorEastAsia"/>
              <w:b w:val="0"/>
              <w:bCs w:val="0"/>
              <w:i w:val="0"/>
              <w:iCs w:val="0"/>
              <w:noProof/>
              <w:lang w:eastAsia="en-GB"/>
            </w:rPr>
          </w:pPr>
          <w:hyperlink w:anchor="_Toc236521162" w:history="1">
            <w:r w:rsidRPr="00337AEC">
              <w:rPr>
                <w:rStyle w:val="Hyperlink"/>
                <w:noProof/>
              </w:rPr>
              <w:t>Treatment and Rehab</w:t>
            </w:r>
            <w:r w:rsidRPr="00337AEC">
              <w:rPr>
                <w:rStyle w:val="Hyperlink"/>
                <w:noProof/>
              </w:rPr>
              <w:t>i</w:t>
            </w:r>
            <w:r w:rsidRPr="00337AEC">
              <w:rPr>
                <w:rStyle w:val="Hyperlink"/>
                <w:noProof/>
              </w:rPr>
              <w:t>litation:</w:t>
            </w:r>
            <w:r>
              <w:rPr>
                <w:noProof/>
                <w:webHidden/>
              </w:rPr>
              <w:tab/>
            </w:r>
            <w:r>
              <w:rPr>
                <w:noProof/>
                <w:webHidden/>
              </w:rPr>
              <w:fldChar w:fldCharType="begin"/>
            </w:r>
            <w:r>
              <w:rPr>
                <w:noProof/>
                <w:webHidden/>
              </w:rPr>
              <w:instrText xml:space="preserve"> PAGEREF _Toc236521162 \h </w:instrText>
            </w:r>
            <w:r>
              <w:rPr>
                <w:noProof/>
                <w:webHidden/>
              </w:rPr>
            </w:r>
            <w:r>
              <w:rPr>
                <w:noProof/>
                <w:webHidden/>
              </w:rPr>
              <w:fldChar w:fldCharType="separate"/>
            </w:r>
            <w:r>
              <w:rPr>
                <w:noProof/>
                <w:webHidden/>
              </w:rPr>
              <w:t>4</w:t>
            </w:r>
            <w:r>
              <w:rPr>
                <w:noProof/>
                <w:webHidden/>
              </w:rPr>
              <w:fldChar w:fldCharType="end"/>
            </w:r>
          </w:hyperlink>
        </w:p>
        <w:p w14:paraId="63FB9842" w14:textId="06A1F79D" w:rsidR="00F2205F" w:rsidRDefault="00F2205F">
          <w:pPr>
            <w:pStyle w:val="TOC1"/>
            <w:tabs>
              <w:tab w:val="right" w:leader="dot" w:pos="9016"/>
            </w:tabs>
            <w:rPr>
              <w:rFonts w:eastAsiaTheme="minorEastAsia"/>
              <w:b w:val="0"/>
              <w:bCs w:val="0"/>
              <w:i w:val="0"/>
              <w:iCs w:val="0"/>
              <w:noProof/>
              <w:lang w:eastAsia="en-GB"/>
            </w:rPr>
          </w:pPr>
          <w:hyperlink w:anchor="_Toc236521163" w:history="1">
            <w:r w:rsidRPr="00337AEC">
              <w:rPr>
                <w:rStyle w:val="Hyperlink"/>
                <w:noProof/>
              </w:rPr>
              <w:t>Current Debates and Emerging Issues:</w:t>
            </w:r>
            <w:r>
              <w:rPr>
                <w:noProof/>
                <w:webHidden/>
              </w:rPr>
              <w:tab/>
            </w:r>
            <w:r>
              <w:rPr>
                <w:noProof/>
                <w:webHidden/>
              </w:rPr>
              <w:fldChar w:fldCharType="begin"/>
            </w:r>
            <w:r>
              <w:rPr>
                <w:noProof/>
                <w:webHidden/>
              </w:rPr>
              <w:instrText xml:space="preserve"> PAGEREF _Toc236521163 \h </w:instrText>
            </w:r>
            <w:r>
              <w:rPr>
                <w:noProof/>
                <w:webHidden/>
              </w:rPr>
            </w:r>
            <w:r>
              <w:rPr>
                <w:noProof/>
                <w:webHidden/>
              </w:rPr>
              <w:fldChar w:fldCharType="separate"/>
            </w:r>
            <w:r>
              <w:rPr>
                <w:noProof/>
                <w:webHidden/>
              </w:rPr>
              <w:t>6</w:t>
            </w:r>
            <w:r>
              <w:rPr>
                <w:noProof/>
                <w:webHidden/>
              </w:rPr>
              <w:fldChar w:fldCharType="end"/>
            </w:r>
          </w:hyperlink>
        </w:p>
        <w:p w14:paraId="460D14D6" w14:textId="6BEF574A" w:rsidR="00F2205F" w:rsidRDefault="00F2205F">
          <w:pPr>
            <w:pStyle w:val="TOC1"/>
            <w:tabs>
              <w:tab w:val="right" w:leader="dot" w:pos="9016"/>
            </w:tabs>
            <w:rPr>
              <w:rFonts w:eastAsiaTheme="minorEastAsia"/>
              <w:b w:val="0"/>
              <w:bCs w:val="0"/>
              <w:i w:val="0"/>
              <w:iCs w:val="0"/>
              <w:noProof/>
              <w:lang w:eastAsia="en-GB"/>
            </w:rPr>
          </w:pPr>
          <w:hyperlink w:anchor="_Toc236521164" w:history="1">
            <w:r w:rsidRPr="00337AEC">
              <w:rPr>
                <w:rStyle w:val="Hyperlink"/>
                <w:noProof/>
              </w:rPr>
              <w:t>Recommendations:</w:t>
            </w:r>
            <w:r>
              <w:rPr>
                <w:noProof/>
                <w:webHidden/>
              </w:rPr>
              <w:tab/>
            </w:r>
            <w:r>
              <w:rPr>
                <w:noProof/>
                <w:webHidden/>
              </w:rPr>
              <w:fldChar w:fldCharType="begin"/>
            </w:r>
            <w:r>
              <w:rPr>
                <w:noProof/>
                <w:webHidden/>
              </w:rPr>
              <w:instrText xml:space="preserve"> PAGEREF _Toc236521164 \h </w:instrText>
            </w:r>
            <w:r>
              <w:rPr>
                <w:noProof/>
                <w:webHidden/>
              </w:rPr>
            </w:r>
            <w:r>
              <w:rPr>
                <w:noProof/>
                <w:webHidden/>
              </w:rPr>
              <w:fldChar w:fldCharType="separate"/>
            </w:r>
            <w:r>
              <w:rPr>
                <w:noProof/>
                <w:webHidden/>
              </w:rPr>
              <w:t>7</w:t>
            </w:r>
            <w:r>
              <w:rPr>
                <w:noProof/>
                <w:webHidden/>
              </w:rPr>
              <w:fldChar w:fldCharType="end"/>
            </w:r>
          </w:hyperlink>
        </w:p>
        <w:p w14:paraId="7EE52F0E" w14:textId="60F38CA7" w:rsidR="00F2205F" w:rsidRDefault="00F2205F">
          <w:pPr>
            <w:pStyle w:val="TOC1"/>
            <w:tabs>
              <w:tab w:val="right" w:leader="dot" w:pos="9016"/>
            </w:tabs>
            <w:rPr>
              <w:rFonts w:eastAsiaTheme="minorEastAsia"/>
              <w:b w:val="0"/>
              <w:bCs w:val="0"/>
              <w:i w:val="0"/>
              <w:iCs w:val="0"/>
              <w:noProof/>
              <w:lang w:eastAsia="en-GB"/>
            </w:rPr>
          </w:pPr>
          <w:hyperlink w:anchor="_Toc236521165" w:history="1">
            <w:r w:rsidRPr="00337AEC">
              <w:rPr>
                <w:rStyle w:val="Hyperlink"/>
                <w:noProof/>
              </w:rPr>
              <w:t>Conclusion</w:t>
            </w:r>
            <w:r>
              <w:rPr>
                <w:noProof/>
                <w:webHidden/>
              </w:rPr>
              <w:tab/>
            </w:r>
            <w:r>
              <w:rPr>
                <w:noProof/>
                <w:webHidden/>
              </w:rPr>
              <w:fldChar w:fldCharType="begin"/>
            </w:r>
            <w:r>
              <w:rPr>
                <w:noProof/>
                <w:webHidden/>
              </w:rPr>
              <w:instrText xml:space="preserve"> PAGEREF _Toc236521165 \h </w:instrText>
            </w:r>
            <w:r>
              <w:rPr>
                <w:noProof/>
                <w:webHidden/>
              </w:rPr>
            </w:r>
            <w:r>
              <w:rPr>
                <w:noProof/>
                <w:webHidden/>
              </w:rPr>
              <w:fldChar w:fldCharType="separate"/>
            </w:r>
            <w:r>
              <w:rPr>
                <w:noProof/>
                <w:webHidden/>
              </w:rPr>
              <w:t>8</w:t>
            </w:r>
            <w:r>
              <w:rPr>
                <w:noProof/>
                <w:webHidden/>
              </w:rPr>
              <w:fldChar w:fldCharType="end"/>
            </w:r>
          </w:hyperlink>
        </w:p>
        <w:p w14:paraId="394B19B5" w14:textId="7A2A6836" w:rsidR="00F2205F" w:rsidRDefault="00F2205F">
          <w:pPr>
            <w:pStyle w:val="TOC1"/>
            <w:tabs>
              <w:tab w:val="right" w:leader="dot" w:pos="9016"/>
            </w:tabs>
            <w:rPr>
              <w:rFonts w:eastAsiaTheme="minorEastAsia"/>
              <w:b w:val="0"/>
              <w:bCs w:val="0"/>
              <w:i w:val="0"/>
              <w:iCs w:val="0"/>
              <w:noProof/>
              <w:lang w:eastAsia="en-GB"/>
            </w:rPr>
          </w:pPr>
          <w:hyperlink w:anchor="_Toc236521166" w:history="1">
            <w:r w:rsidRPr="00337AEC">
              <w:rPr>
                <w:rStyle w:val="Hyperlink"/>
                <w:noProof/>
              </w:rPr>
              <w:t>Refere</w:t>
            </w:r>
            <w:r w:rsidRPr="00337AEC">
              <w:rPr>
                <w:rStyle w:val="Hyperlink"/>
                <w:noProof/>
              </w:rPr>
              <w:t>n</w:t>
            </w:r>
            <w:r w:rsidRPr="00337AEC">
              <w:rPr>
                <w:rStyle w:val="Hyperlink"/>
                <w:noProof/>
              </w:rPr>
              <w:t>ces</w:t>
            </w:r>
            <w:r>
              <w:rPr>
                <w:noProof/>
                <w:webHidden/>
              </w:rPr>
              <w:tab/>
            </w:r>
            <w:r>
              <w:rPr>
                <w:noProof/>
                <w:webHidden/>
              </w:rPr>
              <w:fldChar w:fldCharType="begin"/>
            </w:r>
            <w:r>
              <w:rPr>
                <w:noProof/>
                <w:webHidden/>
              </w:rPr>
              <w:instrText xml:space="preserve"> PAGEREF _Toc236521166 \h </w:instrText>
            </w:r>
            <w:r>
              <w:rPr>
                <w:noProof/>
                <w:webHidden/>
              </w:rPr>
            </w:r>
            <w:r>
              <w:rPr>
                <w:noProof/>
                <w:webHidden/>
              </w:rPr>
              <w:fldChar w:fldCharType="separate"/>
            </w:r>
            <w:r>
              <w:rPr>
                <w:noProof/>
                <w:webHidden/>
              </w:rPr>
              <w:t>8</w:t>
            </w:r>
            <w:r>
              <w:rPr>
                <w:noProof/>
                <w:webHidden/>
              </w:rPr>
              <w:fldChar w:fldCharType="end"/>
            </w:r>
          </w:hyperlink>
        </w:p>
        <w:p w14:paraId="48F9DBA1" w14:textId="112604B5" w:rsidR="00F2205F" w:rsidRDefault="00F2205F">
          <w:r>
            <w:rPr>
              <w:b/>
              <w:bCs/>
              <w:noProof/>
            </w:rPr>
            <w:fldChar w:fldCharType="end"/>
          </w:r>
        </w:p>
      </w:sdtContent>
    </w:sdt>
    <w:p w14:paraId="529CEE07" w14:textId="77777777" w:rsidR="00F2205F" w:rsidRDefault="00F2205F" w:rsidP="008A6D32">
      <w:pPr>
        <w:pStyle w:val="NormalWeb"/>
        <w:rPr>
          <w:rFonts w:ascii="Arial" w:hAnsi="Arial" w:cs="Arial"/>
          <w:b/>
          <w:bCs/>
          <w:color w:val="000000"/>
        </w:rPr>
      </w:pPr>
    </w:p>
    <w:p w14:paraId="12A22D1D" w14:textId="77777777" w:rsidR="00F2205F" w:rsidRDefault="00F2205F" w:rsidP="008A6D32">
      <w:pPr>
        <w:pStyle w:val="NormalWeb"/>
        <w:rPr>
          <w:rFonts w:ascii="Arial" w:hAnsi="Arial" w:cs="Arial"/>
          <w:b/>
          <w:bCs/>
          <w:color w:val="000000"/>
        </w:rPr>
      </w:pPr>
    </w:p>
    <w:p w14:paraId="65FFA7FF" w14:textId="77777777" w:rsidR="00F2205F" w:rsidRDefault="00F2205F" w:rsidP="008A6D32">
      <w:pPr>
        <w:pStyle w:val="NormalWeb"/>
        <w:rPr>
          <w:rFonts w:ascii="Arial" w:hAnsi="Arial" w:cs="Arial"/>
          <w:b/>
          <w:bCs/>
          <w:color w:val="000000"/>
        </w:rPr>
      </w:pPr>
    </w:p>
    <w:p w14:paraId="7EDA3FF0" w14:textId="77777777" w:rsidR="00F2205F" w:rsidRDefault="00F2205F" w:rsidP="008A6D32">
      <w:pPr>
        <w:pStyle w:val="NormalWeb"/>
        <w:rPr>
          <w:rFonts w:ascii="Arial" w:hAnsi="Arial" w:cs="Arial"/>
          <w:b/>
          <w:bCs/>
          <w:color w:val="000000"/>
        </w:rPr>
      </w:pPr>
    </w:p>
    <w:p w14:paraId="78602340" w14:textId="77777777" w:rsidR="00F2205F" w:rsidRDefault="00F2205F" w:rsidP="00F2205F">
      <w:pPr>
        <w:pStyle w:val="Heading1"/>
      </w:pPr>
    </w:p>
    <w:p w14:paraId="4FAF1432" w14:textId="77777777" w:rsidR="00F2205F" w:rsidRDefault="00F2205F" w:rsidP="00F2205F"/>
    <w:p w14:paraId="3400CC71" w14:textId="77777777" w:rsidR="00F2205F" w:rsidRDefault="00F2205F" w:rsidP="00F2205F"/>
    <w:p w14:paraId="47D37CDF" w14:textId="77777777" w:rsidR="00F2205F" w:rsidRDefault="00F2205F" w:rsidP="00F2205F"/>
    <w:p w14:paraId="10EF2B3D" w14:textId="77777777" w:rsidR="00F2205F" w:rsidRDefault="00F2205F" w:rsidP="00F2205F"/>
    <w:p w14:paraId="7EDD2B86" w14:textId="77777777" w:rsidR="00F2205F" w:rsidRDefault="00F2205F" w:rsidP="00F2205F"/>
    <w:p w14:paraId="41FD1B10" w14:textId="77777777" w:rsidR="00F2205F" w:rsidRDefault="00F2205F" w:rsidP="00F2205F"/>
    <w:p w14:paraId="0400B65D" w14:textId="77777777" w:rsidR="00F2205F" w:rsidRDefault="00F2205F" w:rsidP="00F2205F"/>
    <w:p w14:paraId="3CD26C46" w14:textId="77777777" w:rsidR="00F2205F" w:rsidRDefault="00F2205F" w:rsidP="00F2205F"/>
    <w:p w14:paraId="3288EBA8" w14:textId="77777777" w:rsidR="00F2205F" w:rsidRDefault="00F2205F" w:rsidP="00F2205F"/>
    <w:p w14:paraId="672F9C3C" w14:textId="77777777" w:rsidR="00F2205F" w:rsidRDefault="00F2205F" w:rsidP="00F2205F"/>
    <w:p w14:paraId="67055648" w14:textId="77777777" w:rsidR="00F2205F" w:rsidRDefault="00F2205F" w:rsidP="00F2205F"/>
    <w:p w14:paraId="7A6AA156" w14:textId="77777777" w:rsidR="00F2205F" w:rsidRPr="00F2205F" w:rsidRDefault="00F2205F" w:rsidP="00F2205F"/>
    <w:p w14:paraId="3CDC0C06" w14:textId="23844A7D" w:rsidR="00E207F6" w:rsidRPr="00F2205F" w:rsidRDefault="00597E47" w:rsidP="00F2205F">
      <w:pPr>
        <w:rPr>
          <w:rFonts w:ascii="Arial" w:hAnsi="Arial" w:cs="Arial"/>
          <w:b/>
          <w:bCs/>
        </w:rPr>
      </w:pPr>
      <w:bookmarkStart w:id="0" w:name="_Toc236521160"/>
      <w:r w:rsidRPr="00F2205F">
        <w:rPr>
          <w:rFonts w:ascii="Arial" w:hAnsi="Arial" w:cs="Arial"/>
          <w:b/>
          <w:bCs/>
        </w:rPr>
        <w:t>Introduction</w:t>
      </w:r>
      <w:bookmarkEnd w:id="0"/>
    </w:p>
    <w:p w14:paraId="2A1F89A6" w14:textId="7A044BBA" w:rsidR="00E207F6" w:rsidRDefault="003B73DD"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This report aims to analyse </w:t>
      </w:r>
      <w:r w:rsidRPr="00F2205F">
        <w:rPr>
          <w:rFonts w:ascii="Arial" w:eastAsia="Times New Roman" w:hAnsi="Arial" w:cs="Arial"/>
          <w:color w:val="000000"/>
          <w:kern w:val="0"/>
          <w:lang w:eastAsia="en-GB"/>
          <w14:ligatures w14:val="none"/>
        </w:rPr>
        <w:t>attention deficit hyperactivity disorder</w:t>
      </w:r>
      <w:r w:rsidRPr="00F2205F">
        <w:rPr>
          <w:rFonts w:ascii="Arial" w:eastAsia="Times New Roman" w:hAnsi="Arial" w:cs="Arial"/>
          <w:color w:val="000000"/>
          <w:kern w:val="0"/>
          <w:lang w:eastAsia="en-GB"/>
          <w14:ligatures w14:val="none"/>
        </w:rPr>
        <w:t xml:space="preserve"> (ADHD). It is a diverse neurodevelopmental disorder characterised by ongoing problems with attention and/or by hyperactivity and impulsivity which are not in keeping with what is expected at each stage of development and as a result cause significant impairment. The consequences of ADHD go well beyond behaviour in the classroom: difficulties of this kind may impact education, employment, relationships, emotional wellbeing, physical health, and interactions with services throughout the lifetime (French et al., 2024). This report critically looks at ADHD in the light of the International Classification of Diseases, 11th Revision (ICD-11), focusing on diagnosis, treatment and rehabilitation. It maintains that ICD-11 leads to better recognition over the lifespan and greater international consistency, but that flexible criteria, decided by clinical judgement, may result in inconsistency when services are operating under pressure. It is therefore necessary to have specialist assessment, multimodal treatment, rehabilitation aimed at improving functioning and support that is fair and does not rely completely on being given a diagnosis. The disorder also serves as a useful example when considering psychopathological classification since the behaviours involved are dimensional, sensitive to context and influenced by social expectations, even though the diagnosis is still needed for clinical communication and for gaining access to treatment.</w:t>
      </w:r>
    </w:p>
    <w:p w14:paraId="76BED067" w14:textId="77777777" w:rsidR="005D6528" w:rsidRPr="005D6528" w:rsidRDefault="005D6528" w:rsidP="005D6528">
      <w:pPr>
        <w:spacing w:after="0" w:line="240" w:lineRule="auto"/>
        <w:rPr>
          <w:rFonts w:ascii="Arial" w:eastAsia="Times New Roman" w:hAnsi="Arial" w:cs="Arial"/>
          <w:color w:val="000000"/>
          <w:kern w:val="0"/>
          <w:lang w:eastAsia="en-GB"/>
          <w14:ligatures w14:val="none"/>
        </w:rPr>
      </w:pPr>
    </w:p>
    <w:p w14:paraId="5DD55A3B" w14:textId="5510D923" w:rsidR="008A6D32" w:rsidRPr="00F2205F" w:rsidRDefault="008A6D32" w:rsidP="00F2205F">
      <w:pPr>
        <w:rPr>
          <w:rFonts w:ascii="Arial" w:hAnsi="Arial" w:cs="Arial"/>
          <w:b/>
          <w:bCs/>
        </w:rPr>
      </w:pPr>
      <w:bookmarkStart w:id="1" w:name="_Toc236521161"/>
      <w:r w:rsidRPr="00F2205F">
        <w:rPr>
          <w:rFonts w:ascii="Arial" w:hAnsi="Arial" w:cs="Arial"/>
          <w:b/>
          <w:bCs/>
        </w:rPr>
        <w:t>Classification and Diagnosis:</w:t>
      </w:r>
      <w:bookmarkEnd w:id="1"/>
      <w:r w:rsidRPr="00F2205F">
        <w:rPr>
          <w:rStyle w:val="apple-converted-space"/>
          <w:rFonts w:ascii="Arial" w:eastAsiaTheme="majorEastAsia" w:hAnsi="Arial" w:cs="Arial"/>
          <w:b/>
          <w:bCs/>
          <w:color w:val="000000"/>
        </w:rPr>
        <w:t> </w:t>
      </w:r>
    </w:p>
    <w:p w14:paraId="37BCECE1" w14:textId="155A298D" w:rsidR="000C4DA5" w:rsidRPr="00F2205F" w:rsidRDefault="000C4DA5"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In ICD-11, ADHD is included in Chapter 6 under the heading of "Neurodevelopmental disorders" and is given the stem code 6A05. This represents a major departure from ICD-10's more limited idea of hyperkinetic disorders. The wider definition in ICD-11 </w:t>
      </w:r>
      <w:r w:rsidRPr="00F2205F">
        <w:rPr>
          <w:rFonts w:ascii="Arial" w:eastAsia="Times New Roman" w:hAnsi="Arial" w:cs="Arial"/>
          <w:color w:val="000000"/>
          <w:kern w:val="0"/>
          <w:lang w:eastAsia="en-GB"/>
          <w14:ligatures w14:val="none"/>
        </w:rPr>
        <w:t>considers</w:t>
      </w:r>
      <w:r w:rsidRPr="00F2205F">
        <w:rPr>
          <w:rFonts w:ascii="Arial" w:eastAsia="Times New Roman" w:hAnsi="Arial" w:cs="Arial"/>
          <w:color w:val="000000"/>
          <w:kern w:val="0"/>
          <w:lang w:eastAsia="en-GB"/>
          <w14:ligatures w14:val="none"/>
        </w:rPr>
        <w:t xml:space="preserve"> both inattentive and hyperactive-impulsive types and is therefore more suitable for use with adolescents and adults</w:t>
      </w:r>
      <w:r w:rsidR="00E36FCF">
        <w:rPr>
          <w:rFonts w:ascii="Arial" w:eastAsia="Times New Roman" w:hAnsi="Arial" w:cs="Arial"/>
          <w:color w:val="000000"/>
          <w:kern w:val="0"/>
          <w:lang w:eastAsia="en-GB"/>
          <w14:ligatures w14:val="none"/>
        </w:rPr>
        <w:t xml:space="preserve"> (Gomez, Chen and Houghton, 2023)</w:t>
      </w:r>
      <w:r w:rsidRPr="00F2205F">
        <w:rPr>
          <w:rFonts w:ascii="Arial" w:eastAsia="Times New Roman" w:hAnsi="Arial" w:cs="Arial"/>
          <w:color w:val="000000"/>
          <w:kern w:val="0"/>
          <w:lang w:eastAsia="en-GB"/>
          <w14:ligatures w14:val="none"/>
        </w:rPr>
        <w:t xml:space="preserve">. The classifications specified are those that are predominantly inattentive (6A05.0), those that are predominantly hyperactive-impulsive (6A05.1) and those that are combined (6A05.2), along with other specified and unspecified categories when appropriate </w:t>
      </w:r>
      <w:r w:rsidRPr="00F2205F">
        <w:rPr>
          <w:rFonts w:ascii="Arial" w:eastAsia="Times New Roman" w:hAnsi="Arial" w:cs="Arial"/>
          <w:color w:val="000000"/>
          <w:kern w:val="0"/>
          <w:lang w:eastAsia="en-GB"/>
          <w14:ligatures w14:val="none"/>
        </w:rPr>
        <w:lastRenderedPageBreak/>
        <w:t xml:space="preserve">(WHO, 2024). The term "presentation" is preferable to that of a fixed "subtype" since symptom patterns can vary with age and situation. Nevertheless, the label still refers to a "disorder". This conveys clinical significance and allows access to </w:t>
      </w:r>
      <w:r w:rsidRPr="00F2205F">
        <w:rPr>
          <w:rFonts w:ascii="Arial" w:eastAsia="Times New Roman" w:hAnsi="Arial" w:cs="Arial"/>
          <w:color w:val="000000"/>
          <w:kern w:val="0"/>
          <w:lang w:eastAsia="en-GB"/>
          <w14:ligatures w14:val="none"/>
        </w:rPr>
        <w:t>services but</w:t>
      </w:r>
      <w:r w:rsidRPr="00F2205F">
        <w:rPr>
          <w:rFonts w:ascii="Arial" w:eastAsia="Times New Roman" w:hAnsi="Arial" w:cs="Arial"/>
          <w:color w:val="000000"/>
          <w:kern w:val="0"/>
          <w:lang w:eastAsia="en-GB"/>
          <w14:ligatures w14:val="none"/>
        </w:rPr>
        <w:t xml:space="preserve"> may tend to medicalise differences that some people see as part of neurodivergence.</w:t>
      </w:r>
    </w:p>
    <w:p w14:paraId="66E9D607" w14:textId="77777777" w:rsidR="000C4DA5" w:rsidRPr="00F2205F" w:rsidRDefault="000C4DA5" w:rsidP="005D6528">
      <w:pPr>
        <w:spacing w:after="0" w:line="360" w:lineRule="auto"/>
        <w:jc w:val="both"/>
        <w:rPr>
          <w:rFonts w:ascii="Arial" w:eastAsia="Times New Roman" w:hAnsi="Arial" w:cs="Arial"/>
          <w:color w:val="000000"/>
          <w:kern w:val="0"/>
          <w:lang w:eastAsia="en-GB"/>
          <w14:ligatures w14:val="none"/>
        </w:rPr>
      </w:pPr>
    </w:p>
    <w:p w14:paraId="65D835D3" w14:textId="249FA091" w:rsidR="000C4DA5" w:rsidRPr="00F2205F" w:rsidRDefault="000C4DA5"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The main criterion for diagnosis is a continuous pattern of inattention and/or hyperactivity-impulsivity which is generally noticeable over a period of at least six months and goes beyond what is normally expected for a person's age and level of intellectual development. It is necessary that the symptoms have been present before the age of 12, that they occur in more than one context, and that there is a considerable impact on personal, family, social, educational, occupational or other significant areas of functioning. The symptoms must not be more adequately explained by another mental disorder, a substance or a medication, a sleep disorder, or by a neurological or medical condition (WHO, 2024). The ICD-11 does not depend on a single biomarker; diagnosis is thus based on a clinical judgement rather than on the outcome of one questionnaire or computer test</w:t>
      </w:r>
      <w:r w:rsidR="00E36FCF">
        <w:rPr>
          <w:rFonts w:ascii="Arial" w:eastAsia="Times New Roman" w:hAnsi="Arial" w:cs="Arial"/>
          <w:color w:val="000000"/>
          <w:kern w:val="0"/>
          <w:lang w:eastAsia="en-GB"/>
          <w14:ligatures w14:val="none"/>
        </w:rPr>
        <w:t xml:space="preserve"> (NICE, 2018).</w:t>
      </w:r>
    </w:p>
    <w:p w14:paraId="1D3E8E9B" w14:textId="77777777" w:rsidR="000C4DA5" w:rsidRPr="00F2205F" w:rsidRDefault="000C4DA5" w:rsidP="005D6528">
      <w:pPr>
        <w:spacing w:after="0" w:line="360" w:lineRule="auto"/>
        <w:jc w:val="both"/>
        <w:rPr>
          <w:rFonts w:ascii="Arial" w:eastAsia="Times New Roman" w:hAnsi="Arial" w:cs="Arial"/>
          <w:color w:val="000000"/>
          <w:kern w:val="0"/>
          <w:lang w:eastAsia="en-GB"/>
          <w14:ligatures w14:val="none"/>
        </w:rPr>
      </w:pPr>
    </w:p>
    <w:p w14:paraId="3295C16F" w14:textId="77777777" w:rsidR="000C4DA5" w:rsidRPr="00F2205F" w:rsidRDefault="000C4DA5"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In the UK, NICE suggests that an assessment should be carried out by a specialist who is appropriately trained, taking into account the individual's developmental and psychiatric history, the results of a direct clinical interview, a review of the mental state and physical health, collateral information and evidence of impairment in a variety of settings (NICE, 2018). School reports, information about employment and accounts from relatives can be of help in establishing whether the condition began in childhood, although the lack of such records should not automatically undermine a plausible history. While rating scales can be used to organise the information, they should not be relied upon by themselves. Objective attention tests may shorten certain assessment routes, but a meta-analysis found that the QbTest was not accurate enough to distinguish ADHD from other clinical presentations when used on its own (Bellato et al., 2024).</w:t>
      </w:r>
    </w:p>
    <w:p w14:paraId="6858AE24" w14:textId="77777777" w:rsidR="000C4DA5" w:rsidRPr="00F2205F" w:rsidRDefault="000C4DA5" w:rsidP="005D6528">
      <w:pPr>
        <w:spacing w:after="0" w:line="360" w:lineRule="auto"/>
        <w:jc w:val="both"/>
        <w:rPr>
          <w:rFonts w:ascii="Arial" w:eastAsia="Times New Roman" w:hAnsi="Arial" w:cs="Arial"/>
          <w:color w:val="000000"/>
          <w:kern w:val="0"/>
          <w:lang w:eastAsia="en-GB"/>
          <w14:ligatures w14:val="none"/>
        </w:rPr>
      </w:pPr>
    </w:p>
    <w:p w14:paraId="362A9ABD" w14:textId="442A9AAD" w:rsidR="000C4DA5" w:rsidRPr="00F2205F" w:rsidRDefault="000C4DA5"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The language used in ICD-11 is specifically designed to stress that symptoms </w:t>
      </w:r>
      <w:r w:rsidRPr="00F2205F">
        <w:rPr>
          <w:rFonts w:ascii="Arial" w:eastAsia="Times New Roman" w:hAnsi="Arial" w:cs="Arial"/>
          <w:color w:val="000000"/>
          <w:kern w:val="0"/>
          <w:lang w:eastAsia="en-GB"/>
          <w14:ligatures w14:val="none"/>
        </w:rPr>
        <w:t>must</w:t>
      </w:r>
      <w:r w:rsidRPr="00F2205F">
        <w:rPr>
          <w:rFonts w:ascii="Arial" w:eastAsia="Times New Roman" w:hAnsi="Arial" w:cs="Arial"/>
          <w:color w:val="000000"/>
          <w:kern w:val="0"/>
          <w:lang w:eastAsia="en-GB"/>
          <w14:ligatures w14:val="none"/>
        </w:rPr>
        <w:t xml:space="preserve"> go beyond ordinary developmental variation and must result in impairment. This helps to prevent the assignment of a diagnosis for temperament or for temporary stress, but decisions regarding what constitutes 'excessive' are affected by cultural and </w:t>
      </w:r>
      <w:r w:rsidRPr="00F2205F">
        <w:rPr>
          <w:rFonts w:ascii="Arial" w:eastAsia="Times New Roman" w:hAnsi="Arial" w:cs="Arial"/>
          <w:color w:val="000000"/>
          <w:kern w:val="0"/>
          <w:lang w:eastAsia="en-GB"/>
          <w14:ligatures w14:val="none"/>
        </w:rPr>
        <w:lastRenderedPageBreak/>
        <w:t>institutional factors. A behaviour which is acceptable in a flexible classroom can become disabling in a very structured one. It is therefore necessary for assessment to separate the individual's permanent neurodevelopmental pattern from the mismatch between the individual and their surroundings.</w:t>
      </w:r>
    </w:p>
    <w:p w14:paraId="5F2C40C1" w14:textId="77777777" w:rsidR="000C4DA5" w:rsidRPr="00F2205F" w:rsidRDefault="000C4DA5" w:rsidP="005D6528">
      <w:pPr>
        <w:spacing w:after="0" w:line="360" w:lineRule="auto"/>
        <w:jc w:val="both"/>
        <w:rPr>
          <w:rFonts w:ascii="Arial" w:eastAsia="Times New Roman" w:hAnsi="Arial" w:cs="Arial"/>
          <w:color w:val="000000"/>
          <w:kern w:val="0"/>
          <w:lang w:eastAsia="en-GB"/>
          <w14:ligatures w14:val="none"/>
        </w:rPr>
      </w:pPr>
    </w:p>
    <w:p w14:paraId="12CBA632" w14:textId="4D53AA4F" w:rsidR="008A6D32" w:rsidRDefault="000C4DA5"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There are still some diagnostic difficulties. Since ICD-11 permits a greater degree of clinical judgement than DSM-5-TR and does not include the same explicit rules regarding the number of symptoms, this may improve its overall usefulness but at the same time decrease reliability among different practitioners (Gomez, Chen and Houghton, 2023). It is hard to make a differential diagnosis since anxiety, depression, trauma, autism, learning disabilities, sleep disorders and substance use can all resemble or occur together with ADHD. Women are particularly at risk of having the disorder missed because their quieter inattentive symptoms, the use of compensatory strategies and their internalising problems may be ignored. Records from the Welsh population indicate a later diagnosis and variations in the way clinical care is provided for women (Martin et al., 2024). A robust diagnostic process </w:t>
      </w:r>
      <w:r w:rsidRPr="00F2205F">
        <w:rPr>
          <w:rFonts w:ascii="Arial" w:eastAsia="Times New Roman" w:hAnsi="Arial" w:cs="Arial"/>
          <w:color w:val="000000"/>
          <w:kern w:val="0"/>
          <w:lang w:eastAsia="en-GB"/>
          <w14:ligatures w14:val="none"/>
        </w:rPr>
        <w:t>must</w:t>
      </w:r>
      <w:r w:rsidRPr="00F2205F">
        <w:rPr>
          <w:rFonts w:ascii="Arial" w:eastAsia="Times New Roman" w:hAnsi="Arial" w:cs="Arial"/>
          <w:color w:val="000000"/>
          <w:kern w:val="0"/>
          <w:lang w:eastAsia="en-GB"/>
          <w14:ligatures w14:val="none"/>
        </w:rPr>
        <w:t xml:space="preserve"> look at the level of impairment, the developmental history, the context, the individual's strengths and any other co-occurring needs rather than considering a checklist score as sufficient evidence.</w:t>
      </w:r>
    </w:p>
    <w:p w14:paraId="260BA01B" w14:textId="77777777" w:rsidR="005D6528" w:rsidRPr="005D6528" w:rsidRDefault="005D6528" w:rsidP="005D6528">
      <w:pPr>
        <w:spacing w:after="0" w:line="240" w:lineRule="auto"/>
        <w:rPr>
          <w:rFonts w:ascii="Arial" w:eastAsia="Times New Roman" w:hAnsi="Arial" w:cs="Arial"/>
          <w:color w:val="000000"/>
          <w:kern w:val="0"/>
          <w:lang w:eastAsia="en-GB"/>
          <w14:ligatures w14:val="none"/>
        </w:rPr>
      </w:pPr>
    </w:p>
    <w:p w14:paraId="23CCEF70" w14:textId="77777777" w:rsidR="008A6D32" w:rsidRPr="00F2205F" w:rsidRDefault="008A6D32" w:rsidP="00F2205F">
      <w:pPr>
        <w:rPr>
          <w:rFonts w:ascii="Arial" w:hAnsi="Arial" w:cs="Arial"/>
          <w:b/>
          <w:bCs/>
        </w:rPr>
      </w:pPr>
      <w:bookmarkStart w:id="2" w:name="_Toc236521162"/>
      <w:r w:rsidRPr="00F2205F">
        <w:rPr>
          <w:rFonts w:ascii="Arial" w:hAnsi="Arial" w:cs="Arial"/>
          <w:b/>
          <w:bCs/>
        </w:rPr>
        <w:t>Treatment and Rehabilitation:</w:t>
      </w:r>
      <w:bookmarkEnd w:id="2"/>
      <w:r w:rsidRPr="00F2205F">
        <w:rPr>
          <w:rStyle w:val="apple-converted-space"/>
          <w:rFonts w:ascii="Arial" w:eastAsiaTheme="majorEastAsia" w:hAnsi="Arial" w:cs="Arial"/>
          <w:b/>
          <w:bCs/>
          <w:color w:val="000000"/>
        </w:rPr>
        <w:t> </w:t>
      </w:r>
    </w:p>
    <w:p w14:paraId="22DD199A" w14:textId="77777777"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The ICD-11 includes a system for classifying disorders but does not lay down any treatment protocols or rehabilitation routes. Clinical practice should therefore combine this diagnostic framework with evidence-based guidelines, involve shared decision-making and adopt a functional approach to recovery. NICE suggests that environmental modifications and psychoeducation should be provided for all age groups, and that age-appropriate psychological or pharmacological interventions should be introduced only after substantial impairment has continued (NICE, 2018). The main aim is not to produce a normal appearance, but rather to decrease distress and risk while at the same time improving autonomy, participation and quality of life.</w:t>
      </w:r>
    </w:p>
    <w:p w14:paraId="42D5BC0C" w14:textId="77777777"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p>
    <w:p w14:paraId="172BFF0A" w14:textId="0A3FC99E"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The evidence from pharmacological treatments is most convincing when it comes to reducing the core symptoms in the short term. A thorough network meta-analysis found that methylphenidate should be the first-line pharmacological treatment for </w:t>
      </w:r>
      <w:r w:rsidRPr="00F2205F">
        <w:rPr>
          <w:rFonts w:ascii="Arial" w:eastAsia="Times New Roman" w:hAnsi="Arial" w:cs="Arial"/>
          <w:color w:val="000000"/>
          <w:kern w:val="0"/>
          <w:lang w:eastAsia="en-GB"/>
          <w14:ligatures w14:val="none"/>
        </w:rPr>
        <w:lastRenderedPageBreak/>
        <w:t xml:space="preserve">children and adolescents, whereas amphetamines are preferred in adults, although it did point out that there are differences in tolerability (Cortese et al., 2018). A later network meta-analysis focused on adults showed that both stimulants and atomoxetine are effective at reducing </w:t>
      </w:r>
      <w:r w:rsidRPr="00F2205F">
        <w:rPr>
          <w:rFonts w:ascii="Arial" w:eastAsia="Times New Roman" w:hAnsi="Arial" w:cs="Arial"/>
          <w:color w:val="000000"/>
          <w:kern w:val="0"/>
          <w:lang w:eastAsia="en-GB"/>
          <w14:ligatures w14:val="none"/>
        </w:rPr>
        <w:t>symptoms but</w:t>
      </w:r>
      <w:r w:rsidRPr="00F2205F">
        <w:rPr>
          <w:rFonts w:ascii="Arial" w:eastAsia="Times New Roman" w:hAnsi="Arial" w:cs="Arial"/>
          <w:color w:val="000000"/>
          <w:kern w:val="0"/>
          <w:lang w:eastAsia="en-GB"/>
          <w14:ligatures w14:val="none"/>
        </w:rPr>
        <w:t xml:space="preserve"> also highlighted that there is limited evidence concerning long-term outcomes and more general measures like quality of life (</w:t>
      </w:r>
      <w:proofErr w:type="spellStart"/>
      <w:r w:rsidRPr="00F2205F">
        <w:rPr>
          <w:rFonts w:ascii="Arial" w:eastAsia="Times New Roman" w:hAnsi="Arial" w:cs="Arial"/>
          <w:color w:val="000000"/>
          <w:kern w:val="0"/>
          <w:lang w:eastAsia="en-GB"/>
          <w14:ligatures w14:val="none"/>
        </w:rPr>
        <w:t>Ostinelli</w:t>
      </w:r>
      <w:proofErr w:type="spellEnd"/>
      <w:r w:rsidRPr="00F2205F">
        <w:rPr>
          <w:rFonts w:ascii="Arial" w:eastAsia="Times New Roman" w:hAnsi="Arial" w:cs="Arial"/>
          <w:color w:val="000000"/>
          <w:kern w:val="0"/>
          <w:lang w:eastAsia="en-GB"/>
          <w14:ligatures w14:val="none"/>
        </w:rPr>
        <w:t xml:space="preserve"> et al., 2025). As a result, NICE suggests that a baseline assessment should be carried out, that the dose should be adjusted gradually, and that the benefit, appetite, growth, sleep, pulse, and blood pressure should all be monitored over time. Observational data from a two-year study showed that methylphenidate had no significant effect on growth, but did show some minor cardiovascular changes, thus stressing the need for regular monitoring rather than either causing alarm or becoming complacent (Man et al., 2023).</w:t>
      </w:r>
    </w:p>
    <w:p w14:paraId="24822D64" w14:textId="77777777"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p>
    <w:p w14:paraId="0DE3F129" w14:textId="54D1F712"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Even though these medications are effective, they do have important limitations. Different people react in different ways, and their use may be restricted by things like side effects, contraindications, stigma, shortages in supply, and patient preferences</w:t>
      </w:r>
      <w:r w:rsidR="00B84E0A">
        <w:rPr>
          <w:rFonts w:ascii="Arial" w:eastAsia="Times New Roman" w:hAnsi="Arial" w:cs="Arial"/>
          <w:color w:val="000000"/>
          <w:kern w:val="0"/>
          <w:lang w:eastAsia="en-GB"/>
          <w14:ligatures w14:val="none"/>
        </w:rPr>
        <w:t xml:space="preserve"> (Cortese et al., 2025)</w:t>
      </w:r>
      <w:r w:rsidRPr="00F2205F">
        <w:rPr>
          <w:rFonts w:ascii="Arial" w:eastAsia="Times New Roman" w:hAnsi="Arial" w:cs="Arial"/>
          <w:color w:val="000000"/>
          <w:kern w:val="0"/>
          <w:lang w:eastAsia="en-GB"/>
          <w14:ligatures w14:val="none"/>
        </w:rPr>
        <w:t>. The clinical trials generally last a short time, while the actual treatment usually continues for several years. Moreover, reducing symptoms does not mean that the educational opportunities lost, the lowered self-esteem, the problems in relationships, or the loss of employment have been dealt with</w:t>
      </w:r>
      <w:r w:rsidR="00B84E0A">
        <w:rPr>
          <w:rFonts w:ascii="Arial" w:eastAsia="Times New Roman" w:hAnsi="Arial" w:cs="Arial"/>
          <w:color w:val="000000"/>
          <w:kern w:val="0"/>
          <w:lang w:eastAsia="en-GB"/>
          <w14:ligatures w14:val="none"/>
        </w:rPr>
        <w:t xml:space="preserve"> (Ostinelli et al.,2025)</w:t>
      </w:r>
      <w:r w:rsidRPr="00F2205F">
        <w:rPr>
          <w:rFonts w:ascii="Arial" w:eastAsia="Times New Roman" w:hAnsi="Arial" w:cs="Arial"/>
          <w:color w:val="000000"/>
          <w:kern w:val="0"/>
          <w:lang w:eastAsia="en-GB"/>
          <w14:ligatures w14:val="none"/>
        </w:rPr>
        <w:t xml:space="preserve">. It therefore follows that prescriptions should be regularly reviewed </w:t>
      </w:r>
      <w:r w:rsidRPr="00F2205F">
        <w:rPr>
          <w:rFonts w:ascii="Arial" w:eastAsia="Times New Roman" w:hAnsi="Arial" w:cs="Arial"/>
          <w:color w:val="000000"/>
          <w:kern w:val="0"/>
          <w:lang w:eastAsia="en-GB"/>
          <w14:ligatures w14:val="none"/>
        </w:rPr>
        <w:t>considering</w:t>
      </w:r>
      <w:r w:rsidRPr="00F2205F">
        <w:rPr>
          <w:rFonts w:ascii="Arial" w:eastAsia="Times New Roman" w:hAnsi="Arial" w:cs="Arial"/>
          <w:color w:val="000000"/>
          <w:kern w:val="0"/>
          <w:lang w:eastAsia="en-GB"/>
          <w14:ligatures w14:val="none"/>
        </w:rPr>
        <w:t xml:space="preserve"> the patient's own meaningful goals, and there should be planned talks about changing the dose or stopping the treatment when this is indicated by the clinical situation.</w:t>
      </w:r>
    </w:p>
    <w:p w14:paraId="6E11D9E9" w14:textId="77777777"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p>
    <w:p w14:paraId="7CA77327" w14:textId="5BA11C75"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E566C1">
        <w:rPr>
          <w:rFonts w:ascii="Arial" w:eastAsia="Times New Roman" w:hAnsi="Arial" w:cs="Arial"/>
          <w:color w:val="000000"/>
          <w:kern w:val="0"/>
          <w:lang w:eastAsia="en-GB"/>
          <w14:ligatures w14:val="none"/>
        </w:rPr>
        <w:t>Psychological and behavioural interventions form a key part of comprehensive care.</w:t>
      </w:r>
      <w:r w:rsidRPr="00F2205F">
        <w:rPr>
          <w:rFonts w:ascii="Arial" w:eastAsia="Times New Roman" w:hAnsi="Arial" w:cs="Arial"/>
          <w:color w:val="000000"/>
          <w:kern w:val="0"/>
          <w:lang w:eastAsia="en-GB"/>
          <w14:ligatures w14:val="none"/>
        </w:rPr>
        <w:t xml:space="preserve"> In the case of children, parent-training schemes and behavioural support in the classroom can help to improve daily routines, reinforce positive behaviours, and decrease stress within the family. For adolescents and adults, a form of cognitive behavioural therapy that is specific to ADHD looks at aspects such as planning, time management, emotional regulation, problem-solving and the presence of maladaptive beliefs. Even though such interventions may result in only minor improvements in the main symptoms when compared with medication, they can still help with coping and with overall functioning, especially in cases where medication is refused, not tolerated or only partly effective (</w:t>
      </w:r>
      <w:r w:rsidR="00D266D1">
        <w:rPr>
          <w:rFonts w:ascii="Arial" w:eastAsia="Times New Roman" w:hAnsi="Arial" w:cs="Arial"/>
          <w:color w:val="000000"/>
          <w:kern w:val="0"/>
          <w:lang w:eastAsia="en-GB"/>
          <w14:ligatures w14:val="none"/>
        </w:rPr>
        <w:t>Ostinelli et al</w:t>
      </w:r>
      <w:r w:rsidRPr="00F2205F">
        <w:rPr>
          <w:rFonts w:ascii="Arial" w:eastAsia="Times New Roman" w:hAnsi="Arial" w:cs="Arial"/>
          <w:color w:val="000000"/>
          <w:kern w:val="0"/>
          <w:lang w:eastAsia="en-GB"/>
          <w14:ligatures w14:val="none"/>
        </w:rPr>
        <w:t>.</w:t>
      </w:r>
      <w:r w:rsidR="00D266D1">
        <w:rPr>
          <w:rFonts w:ascii="Arial" w:eastAsia="Times New Roman" w:hAnsi="Arial" w:cs="Arial"/>
          <w:color w:val="000000"/>
          <w:kern w:val="0"/>
          <w:lang w:eastAsia="en-GB"/>
          <w14:ligatures w14:val="none"/>
        </w:rPr>
        <w:t>, 2025).</w:t>
      </w:r>
      <w:r w:rsidRPr="00F2205F">
        <w:rPr>
          <w:rFonts w:ascii="Arial" w:eastAsia="Times New Roman" w:hAnsi="Arial" w:cs="Arial"/>
          <w:color w:val="000000"/>
          <w:kern w:val="0"/>
          <w:lang w:eastAsia="en-GB"/>
          <w14:ligatures w14:val="none"/>
        </w:rPr>
        <w:t xml:space="preserve"> When giving psychoeducation it is </w:t>
      </w:r>
      <w:r w:rsidRPr="00F2205F">
        <w:rPr>
          <w:rFonts w:ascii="Arial" w:eastAsia="Times New Roman" w:hAnsi="Arial" w:cs="Arial"/>
          <w:color w:val="000000"/>
          <w:kern w:val="0"/>
          <w:lang w:eastAsia="en-GB"/>
          <w14:ligatures w14:val="none"/>
        </w:rPr>
        <w:lastRenderedPageBreak/>
        <w:t xml:space="preserve">important to </w:t>
      </w:r>
      <w:r w:rsidRPr="00F2205F">
        <w:rPr>
          <w:rFonts w:ascii="Arial" w:eastAsia="Times New Roman" w:hAnsi="Arial" w:cs="Arial"/>
          <w:color w:val="000000"/>
          <w:kern w:val="0"/>
          <w:lang w:eastAsia="en-GB"/>
          <w14:ligatures w14:val="none"/>
        </w:rPr>
        <w:t>consider</w:t>
      </w:r>
      <w:r w:rsidRPr="00F2205F">
        <w:rPr>
          <w:rFonts w:ascii="Arial" w:eastAsia="Times New Roman" w:hAnsi="Arial" w:cs="Arial"/>
          <w:color w:val="000000"/>
          <w:kern w:val="0"/>
          <w:lang w:eastAsia="en-GB"/>
          <w14:ligatures w14:val="none"/>
        </w:rPr>
        <w:t xml:space="preserve"> an individual's strengths, any other conditions they have, their sleep patterns, exercise levels, the risk of substance use and practical aspects of self-management, without implying that the difficulties they experience are because of a lack of motivation</w:t>
      </w:r>
      <w:r w:rsidR="00D266D1">
        <w:rPr>
          <w:rFonts w:ascii="Arial" w:eastAsia="Times New Roman" w:hAnsi="Arial" w:cs="Arial"/>
          <w:color w:val="000000"/>
          <w:kern w:val="0"/>
          <w:lang w:eastAsia="en-GB"/>
          <w14:ligatures w14:val="none"/>
        </w:rPr>
        <w:t xml:space="preserve"> </w:t>
      </w:r>
      <w:r w:rsidR="00D266D1" w:rsidRPr="00F2205F">
        <w:rPr>
          <w:rFonts w:ascii="Arial" w:eastAsia="Times New Roman" w:hAnsi="Arial" w:cs="Arial"/>
          <w:color w:val="000000"/>
          <w:kern w:val="0"/>
          <w:lang w:eastAsia="en-GB"/>
          <w14:ligatures w14:val="none"/>
        </w:rPr>
        <w:t>(NICE, 2018).</w:t>
      </w:r>
    </w:p>
    <w:p w14:paraId="1883F9D7" w14:textId="77777777"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p>
    <w:p w14:paraId="3EF9A763" w14:textId="78A36E39"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Rehabilitation ought to be seen as ongoing support for people's activities and participation</w:t>
      </w:r>
      <w:r w:rsidR="00E566C1">
        <w:rPr>
          <w:rFonts w:ascii="Arial" w:eastAsia="Times New Roman" w:hAnsi="Arial" w:cs="Arial"/>
          <w:color w:val="000000"/>
          <w:kern w:val="0"/>
          <w:lang w:eastAsia="en-GB"/>
          <w14:ligatures w14:val="none"/>
        </w:rPr>
        <w:t xml:space="preserve"> (World Health Organization, 2001)</w:t>
      </w:r>
      <w:r w:rsidRPr="00F2205F">
        <w:rPr>
          <w:rFonts w:ascii="Arial" w:eastAsia="Times New Roman" w:hAnsi="Arial" w:cs="Arial"/>
          <w:color w:val="000000"/>
          <w:kern w:val="0"/>
          <w:lang w:eastAsia="en-GB"/>
          <w14:ligatures w14:val="none"/>
        </w:rPr>
        <w:t xml:space="preserve">. In educational situations, this can take the form of clear and predictable instructions, fewer distractions, movement breaks, breaking down tasks, the use of assistive technology, special arrangements for exams, and coordinated extra learning support. In the working environment, appropriate strategies involve setting out priorities in writing, allowing for flexible scheduling, providing quiet workspaces, offering coaching, and making reasonable </w:t>
      </w:r>
      <w:r w:rsidR="00726F5B" w:rsidRPr="00F2205F">
        <w:rPr>
          <w:rFonts w:ascii="Arial" w:eastAsia="Times New Roman" w:hAnsi="Arial" w:cs="Arial"/>
          <w:color w:val="000000"/>
          <w:kern w:val="0"/>
          <w:lang w:eastAsia="en-GB"/>
          <w14:ligatures w14:val="none"/>
        </w:rPr>
        <w:t>adjustments</w:t>
      </w:r>
      <w:r w:rsidR="00726F5B">
        <w:rPr>
          <w:rFonts w:ascii="Arial" w:eastAsia="Times New Roman" w:hAnsi="Arial" w:cs="Arial"/>
          <w:color w:val="000000"/>
          <w:kern w:val="0"/>
          <w:lang w:eastAsia="en-GB"/>
          <w14:ligatures w14:val="none"/>
        </w:rPr>
        <w:t xml:space="preserve"> (</w:t>
      </w:r>
      <w:r w:rsidR="00E566C1">
        <w:rPr>
          <w:rFonts w:ascii="Arial" w:eastAsia="Times New Roman" w:hAnsi="Arial" w:cs="Arial"/>
          <w:color w:val="000000"/>
          <w:kern w:val="0"/>
          <w:lang w:eastAsia="en-GB"/>
          <w14:ligatures w14:val="none"/>
        </w:rPr>
        <w:t>NICE, 2018)</w:t>
      </w:r>
      <w:r w:rsidRPr="00F2205F">
        <w:rPr>
          <w:rFonts w:ascii="Arial" w:eastAsia="Times New Roman" w:hAnsi="Arial" w:cs="Arial"/>
          <w:color w:val="000000"/>
          <w:kern w:val="0"/>
          <w:lang w:eastAsia="en-GB"/>
          <w14:ligatures w14:val="none"/>
        </w:rPr>
        <w:t>. Occupational therapy, vocational assistance, family involvement, and support from peers all help in turning clinical improvements into everyday functioning. Research carried out by UWTSD showed that both teachers and teaching assistants often looked for more ADHD training and support, and that teaching assistants pointed out both relationship-based factors that helped and organisational obstacles to effective practice (Greenway and Rees Edwards, 2020; 2021). These results show that effective rehabilitation depends not only on individual treatment but also on having knowledgeable and supportive environments.</w:t>
      </w:r>
    </w:p>
    <w:p w14:paraId="1D004C53" w14:textId="77777777"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p>
    <w:p w14:paraId="0A976359" w14:textId="34C8F78E"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It is difficult to assess the effectiveness of environmental and rehabilitation measures because of the variety in the interventions and outcomes </w:t>
      </w:r>
      <w:r w:rsidRPr="00F2205F">
        <w:rPr>
          <w:rFonts w:ascii="Arial" w:eastAsia="Times New Roman" w:hAnsi="Arial" w:cs="Arial"/>
          <w:color w:val="000000"/>
          <w:kern w:val="0"/>
          <w:lang w:eastAsia="en-GB"/>
          <w14:ligatures w14:val="none"/>
        </w:rPr>
        <w:t>and</w:t>
      </w:r>
      <w:r w:rsidRPr="00F2205F">
        <w:rPr>
          <w:rFonts w:ascii="Arial" w:eastAsia="Times New Roman" w:hAnsi="Arial" w:cs="Arial"/>
          <w:color w:val="000000"/>
          <w:kern w:val="0"/>
          <w:lang w:eastAsia="en-GB"/>
          <w14:ligatures w14:val="none"/>
        </w:rPr>
        <w:t xml:space="preserve"> because of the differences in the quality of implementation depending on staffing and resources. Moreover, </w:t>
      </w:r>
      <w:r w:rsidRPr="00F2205F">
        <w:rPr>
          <w:rFonts w:ascii="Arial" w:eastAsia="Times New Roman" w:hAnsi="Arial" w:cs="Arial"/>
          <w:color w:val="000000"/>
          <w:kern w:val="0"/>
          <w:lang w:eastAsia="en-GB"/>
          <w14:ligatures w14:val="none"/>
        </w:rPr>
        <w:t>adjusting</w:t>
      </w:r>
      <w:r w:rsidRPr="00F2205F">
        <w:rPr>
          <w:rFonts w:ascii="Arial" w:eastAsia="Times New Roman" w:hAnsi="Arial" w:cs="Arial"/>
          <w:color w:val="000000"/>
          <w:kern w:val="0"/>
          <w:lang w:eastAsia="en-GB"/>
          <w14:ligatures w14:val="none"/>
        </w:rPr>
        <w:t xml:space="preserve"> could unfairly shift the responsibility onto schools or families who do not have enough funding. Nevertheless, since the risk to health is low and they are directly relevant to participation, they should be applied systematically, with the results being checked against </w:t>
      </w:r>
      <w:r w:rsidRPr="00F2205F">
        <w:rPr>
          <w:rFonts w:ascii="Arial" w:eastAsia="Times New Roman" w:hAnsi="Arial" w:cs="Arial"/>
          <w:color w:val="000000"/>
          <w:kern w:val="0"/>
          <w:lang w:eastAsia="en-GB"/>
          <w14:ligatures w14:val="none"/>
        </w:rPr>
        <w:t>everyone’s</w:t>
      </w:r>
      <w:r w:rsidRPr="00F2205F">
        <w:rPr>
          <w:rFonts w:ascii="Arial" w:eastAsia="Times New Roman" w:hAnsi="Arial" w:cs="Arial"/>
          <w:color w:val="000000"/>
          <w:kern w:val="0"/>
          <w:lang w:eastAsia="en-GB"/>
          <w14:ligatures w14:val="none"/>
        </w:rPr>
        <w:t xml:space="preserve"> goals rather than assuming them to be effective for everyone</w:t>
      </w:r>
      <w:r w:rsidR="00517EE5">
        <w:rPr>
          <w:rFonts w:ascii="Arial" w:eastAsia="Times New Roman" w:hAnsi="Arial" w:cs="Arial"/>
          <w:color w:val="000000"/>
          <w:kern w:val="0"/>
          <w:lang w:eastAsia="en-GB"/>
          <w14:ligatures w14:val="none"/>
        </w:rPr>
        <w:t xml:space="preserve"> (NICE, 2018).</w:t>
      </w:r>
    </w:p>
    <w:p w14:paraId="2A1E4784" w14:textId="77777777"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p>
    <w:p w14:paraId="6CCB13C3" w14:textId="5DB4B2B7"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The greatest limitation facing present-day service delivery is fragmentation. There is usually a lack of coordination when moving from children's services to adult services, together with the separate treatment of medication reviews, psychological therapy, education and employment support. Individuals can wait until they have been </w:t>
      </w:r>
      <w:r w:rsidRPr="00F2205F">
        <w:rPr>
          <w:rFonts w:ascii="Arial" w:eastAsia="Times New Roman" w:hAnsi="Arial" w:cs="Arial"/>
          <w:color w:val="000000"/>
          <w:kern w:val="0"/>
          <w:lang w:eastAsia="en-GB"/>
          <w14:ligatures w14:val="none"/>
        </w:rPr>
        <w:lastRenderedPageBreak/>
        <w:t>diagnosed before getting basic adjustments, even though support can be grounded on their functional needs. Rehabilitation should start at the point of assessment, carry on through the transition periods, and include as outcomes attendance, participation, relationships, safety and quality of life as well as symptom scores</w:t>
      </w:r>
      <w:r w:rsidR="00517EE5">
        <w:rPr>
          <w:rFonts w:ascii="Arial" w:eastAsia="Times New Roman" w:hAnsi="Arial" w:cs="Arial"/>
          <w:color w:val="000000"/>
          <w:kern w:val="0"/>
          <w:lang w:eastAsia="en-GB"/>
          <w14:ligatures w14:val="none"/>
        </w:rPr>
        <w:t xml:space="preserve"> (Hardy, 2024).</w:t>
      </w:r>
    </w:p>
    <w:p w14:paraId="668504A0" w14:textId="77777777" w:rsidR="008A6D32" w:rsidRPr="00F2205F" w:rsidRDefault="008A6D32" w:rsidP="008A6D32">
      <w:pPr>
        <w:pStyle w:val="NormalWeb"/>
        <w:rPr>
          <w:rFonts w:ascii="Arial" w:hAnsi="Arial" w:cs="Arial"/>
          <w:b/>
          <w:bCs/>
          <w:color w:val="000000"/>
        </w:rPr>
      </w:pPr>
    </w:p>
    <w:p w14:paraId="0D06B3CB" w14:textId="29B381BD" w:rsidR="008A6D32" w:rsidRPr="00F2205F" w:rsidRDefault="008A6D32" w:rsidP="00F2205F">
      <w:pPr>
        <w:rPr>
          <w:rFonts w:ascii="Arial" w:hAnsi="Arial" w:cs="Arial"/>
          <w:b/>
          <w:bCs/>
        </w:rPr>
      </w:pPr>
      <w:bookmarkStart w:id="3" w:name="_Toc236521163"/>
      <w:r w:rsidRPr="00F2205F">
        <w:rPr>
          <w:rFonts w:ascii="Arial" w:hAnsi="Arial" w:cs="Arial"/>
          <w:b/>
          <w:bCs/>
        </w:rPr>
        <w:t>Current Debates and Emerging Issues:</w:t>
      </w:r>
      <w:bookmarkEnd w:id="3"/>
      <w:r w:rsidRPr="00F2205F">
        <w:rPr>
          <w:rStyle w:val="apple-converted-space"/>
          <w:rFonts w:ascii="Arial" w:eastAsiaTheme="majorEastAsia" w:hAnsi="Arial" w:cs="Arial"/>
          <w:b/>
          <w:bCs/>
          <w:color w:val="000000"/>
        </w:rPr>
        <w:t> </w:t>
      </w:r>
    </w:p>
    <w:p w14:paraId="10388BF6" w14:textId="19B3AB32"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The neurodiversity view plays a key role in current discussions since it sees the cognitive and behavioural variations associated with ADHD as part of the wide range of human diversity, emphasizing the social obstacles, stigma, </w:t>
      </w:r>
      <w:r w:rsidR="00886280" w:rsidRPr="00F2205F">
        <w:rPr>
          <w:rFonts w:ascii="Arial" w:eastAsia="Times New Roman" w:hAnsi="Arial" w:cs="Arial"/>
          <w:color w:val="000000"/>
          <w:kern w:val="0"/>
          <w:lang w:eastAsia="en-GB"/>
          <w14:ligatures w14:val="none"/>
        </w:rPr>
        <w:t>and</w:t>
      </w:r>
      <w:r w:rsidRPr="00F2205F">
        <w:rPr>
          <w:rFonts w:ascii="Arial" w:eastAsia="Times New Roman" w:hAnsi="Arial" w:cs="Arial"/>
          <w:color w:val="000000"/>
          <w:kern w:val="0"/>
          <w:lang w:eastAsia="en-GB"/>
          <w14:ligatures w14:val="none"/>
        </w:rPr>
        <w:t xml:space="preserve"> the strengths such as creativity, energy, or strong interest. It is possible for this approach to promote respectful practice and to move away from language that focuses on deficits. However, a perspective that is based solely on difference might fail to adequately </w:t>
      </w:r>
      <w:r w:rsidR="00886280" w:rsidRPr="00F2205F">
        <w:rPr>
          <w:rFonts w:ascii="Arial" w:eastAsia="Times New Roman" w:hAnsi="Arial" w:cs="Arial"/>
          <w:color w:val="000000"/>
          <w:kern w:val="0"/>
          <w:lang w:eastAsia="en-GB"/>
          <w14:ligatures w14:val="none"/>
        </w:rPr>
        <w:t>consider</w:t>
      </w:r>
      <w:r w:rsidRPr="00F2205F">
        <w:rPr>
          <w:rFonts w:ascii="Arial" w:eastAsia="Times New Roman" w:hAnsi="Arial" w:cs="Arial"/>
          <w:color w:val="000000"/>
          <w:kern w:val="0"/>
          <w:lang w:eastAsia="en-GB"/>
          <w14:ligatures w14:val="none"/>
        </w:rPr>
        <w:t xml:space="preserve"> severe disability, comorbidity, and risk</w:t>
      </w:r>
      <w:r w:rsidR="00726F5B">
        <w:rPr>
          <w:rFonts w:ascii="Arial" w:eastAsia="Times New Roman" w:hAnsi="Arial" w:cs="Arial"/>
          <w:color w:val="000000"/>
          <w:kern w:val="0"/>
          <w:lang w:eastAsia="en-GB"/>
          <w14:ligatures w14:val="none"/>
        </w:rPr>
        <w:t xml:space="preserve"> (French et al.,2024)</w:t>
      </w:r>
      <w:r w:rsidRPr="00F2205F">
        <w:rPr>
          <w:rFonts w:ascii="Arial" w:eastAsia="Times New Roman" w:hAnsi="Arial" w:cs="Arial"/>
          <w:color w:val="000000"/>
          <w:kern w:val="0"/>
          <w:lang w:eastAsia="en-GB"/>
          <w14:ligatures w14:val="none"/>
        </w:rPr>
        <w:t>. Sonuga-Barke and Thapar (2021) support a balanced strategy in which neurodiversity can help to promote inclusive practices without overlooking the fact that some people do need medical treatment and substantial support. Therefore, practice should use language that affirms identity and has been chosen by the individual while at the same time ensuring that diagnosis and care remain accessible.</w:t>
      </w:r>
    </w:p>
    <w:p w14:paraId="70F30C72" w14:textId="77777777" w:rsidR="00886280" w:rsidRPr="00F2205F" w:rsidRDefault="00886280" w:rsidP="005D6528">
      <w:pPr>
        <w:spacing w:after="0" w:line="360" w:lineRule="auto"/>
        <w:jc w:val="both"/>
        <w:rPr>
          <w:rFonts w:ascii="Arial" w:eastAsia="Times New Roman" w:hAnsi="Arial" w:cs="Arial"/>
          <w:color w:val="000000"/>
          <w:kern w:val="0"/>
          <w:lang w:eastAsia="en-GB"/>
          <w14:ligatures w14:val="none"/>
        </w:rPr>
      </w:pPr>
    </w:p>
    <w:p w14:paraId="1D34B86B" w14:textId="4400AFBF" w:rsidR="0088628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Another major area of discussion is whether ADHD is being </w:t>
      </w:r>
      <w:r w:rsidR="00886280" w:rsidRPr="00F2205F">
        <w:rPr>
          <w:rFonts w:ascii="Arial" w:eastAsia="Times New Roman" w:hAnsi="Arial" w:cs="Arial"/>
          <w:color w:val="000000"/>
          <w:kern w:val="0"/>
          <w:lang w:eastAsia="en-GB"/>
          <w14:ligatures w14:val="none"/>
        </w:rPr>
        <w:t>over diagnosed</w:t>
      </w:r>
      <w:r w:rsidRPr="00F2205F">
        <w:rPr>
          <w:rFonts w:ascii="Arial" w:eastAsia="Times New Roman" w:hAnsi="Arial" w:cs="Arial"/>
          <w:color w:val="000000"/>
          <w:kern w:val="0"/>
          <w:lang w:eastAsia="en-GB"/>
          <w14:ligatures w14:val="none"/>
        </w:rPr>
        <w:t xml:space="preserve"> or underdiagnosed. There is growing concern about false-positive diagnoses and the medicalisation of normal distractibility due to increased referrals, people identifying with ADHD online, and the differences between private and public diagnostic processes. On the other hand, females, adults, members of minority groups, and people who mainly show inattentive symptoms are often not properly </w:t>
      </w:r>
      <w:r w:rsidR="00726F5B" w:rsidRPr="00F2205F">
        <w:rPr>
          <w:rFonts w:ascii="Arial" w:eastAsia="Times New Roman" w:hAnsi="Arial" w:cs="Arial"/>
          <w:color w:val="000000"/>
          <w:kern w:val="0"/>
          <w:lang w:eastAsia="en-GB"/>
          <w14:ligatures w14:val="none"/>
        </w:rPr>
        <w:t>recognised</w:t>
      </w:r>
      <w:r w:rsidR="00726F5B">
        <w:rPr>
          <w:rFonts w:ascii="Arial" w:eastAsia="Times New Roman" w:hAnsi="Arial" w:cs="Arial"/>
          <w:color w:val="000000"/>
          <w:kern w:val="0"/>
          <w:lang w:eastAsia="en-GB"/>
          <w14:ligatures w14:val="none"/>
        </w:rPr>
        <w:t xml:space="preserve"> (Kazda et al.,2021; Martin et al., 2024)</w:t>
      </w:r>
      <w:r w:rsidRPr="00F2205F">
        <w:rPr>
          <w:rFonts w:ascii="Arial" w:eastAsia="Times New Roman" w:hAnsi="Arial" w:cs="Arial"/>
          <w:color w:val="000000"/>
          <w:kern w:val="0"/>
          <w:lang w:eastAsia="en-GB"/>
          <w14:ligatures w14:val="none"/>
        </w:rPr>
        <w:t>. These situations can happen at the same time. The best approach is not to generally simplify or complicate the diagnosis, but instead to improve consistency, carry out a differential assessment, and include a review after diagnosis has been made. Even though digital tools can help in collecting information, the current evidence does not support using them to replace the diagnosis of ADHD</w:t>
      </w:r>
      <w:r w:rsidR="00CB15D0" w:rsidRPr="00F2205F">
        <w:rPr>
          <w:rFonts w:ascii="Arial" w:eastAsia="Times New Roman" w:hAnsi="Arial" w:cs="Arial"/>
          <w:color w:val="000000"/>
          <w:kern w:val="0"/>
          <w:lang w:eastAsia="en-GB"/>
          <w14:ligatures w14:val="none"/>
        </w:rPr>
        <w:t xml:space="preserve"> (Bellato et al.,2024).</w:t>
      </w:r>
    </w:p>
    <w:p w14:paraId="5BD13EF1" w14:textId="77777777" w:rsidR="00886280" w:rsidRPr="00F2205F" w:rsidRDefault="00886280" w:rsidP="005D6528">
      <w:pPr>
        <w:spacing w:after="0" w:line="360" w:lineRule="auto"/>
        <w:jc w:val="both"/>
        <w:rPr>
          <w:rFonts w:ascii="Arial" w:eastAsia="Times New Roman" w:hAnsi="Arial" w:cs="Arial"/>
          <w:color w:val="000000"/>
          <w:kern w:val="0"/>
          <w:lang w:eastAsia="en-GB"/>
          <w14:ligatures w14:val="none"/>
        </w:rPr>
      </w:pPr>
    </w:p>
    <w:p w14:paraId="645E0AAC" w14:textId="39E1830C"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lastRenderedPageBreak/>
        <w:t xml:space="preserve">The classification of ADHD is also the subject of debate. ADHD characteristics are distributed continuously within the population, while the ICD-11 uses a categorical threshold based on impairment. Although a dimensional description might better show the level of severity, categorical codes are still useful for communication, for epidemiological research, and for determining </w:t>
      </w:r>
      <w:r w:rsidRPr="00487E2D">
        <w:rPr>
          <w:rFonts w:ascii="Arial" w:eastAsia="Times New Roman" w:hAnsi="Arial" w:cs="Arial"/>
          <w:color w:val="000000"/>
          <w:kern w:val="0"/>
          <w:lang w:eastAsia="en-GB"/>
          <w14:ligatures w14:val="none"/>
        </w:rPr>
        <w:t>eligibility for services</w:t>
      </w:r>
      <w:r w:rsidR="00726F5B" w:rsidRPr="00487E2D">
        <w:rPr>
          <w:rFonts w:ascii="Arial" w:eastAsia="Times New Roman" w:hAnsi="Arial" w:cs="Arial"/>
          <w:color w:val="000000"/>
          <w:kern w:val="0"/>
          <w:lang w:eastAsia="en-GB"/>
          <w14:ligatures w14:val="none"/>
        </w:rPr>
        <w:t xml:space="preserve"> (Michelini et</w:t>
      </w:r>
      <w:r w:rsidR="00726F5B">
        <w:rPr>
          <w:rFonts w:ascii="Arial" w:eastAsia="Times New Roman" w:hAnsi="Arial" w:cs="Arial"/>
          <w:color w:val="000000"/>
          <w:kern w:val="0"/>
          <w:lang w:eastAsia="en-GB"/>
          <w14:ligatures w14:val="none"/>
        </w:rPr>
        <w:t xml:space="preserve"> al.,2024)</w:t>
      </w:r>
      <w:r w:rsidRPr="00F2205F">
        <w:rPr>
          <w:rFonts w:ascii="Arial" w:eastAsia="Times New Roman" w:hAnsi="Arial" w:cs="Arial"/>
          <w:color w:val="000000"/>
          <w:kern w:val="0"/>
          <w:lang w:eastAsia="en-GB"/>
          <w14:ligatures w14:val="none"/>
        </w:rPr>
        <w:t>. The term "attention deficit hyperactivity disorder" has been criticised for focusing on observable symptoms and possibly ignoring executive dysfunction, emotional dysregulation, altered time perception, or fluctuating attention. However, widening the core criteria could reduce the specificity of the diagnosis. A practical future framework could keep the categorical code while incorporating structured dimensional profiles of symptoms, functioning, co-occurring needs, and environmental demands.</w:t>
      </w:r>
    </w:p>
    <w:p w14:paraId="391430E0" w14:textId="77777777" w:rsidR="00CB15D0" w:rsidRPr="00F2205F" w:rsidRDefault="00CB15D0" w:rsidP="005D6528">
      <w:pPr>
        <w:spacing w:after="0" w:line="360" w:lineRule="auto"/>
        <w:jc w:val="both"/>
        <w:rPr>
          <w:rFonts w:ascii="Arial" w:eastAsia="Times New Roman" w:hAnsi="Arial" w:cs="Arial"/>
          <w:color w:val="000000"/>
          <w:kern w:val="0"/>
          <w:lang w:eastAsia="en-GB"/>
          <w14:ligatures w14:val="none"/>
        </w:rPr>
      </w:pPr>
    </w:p>
    <w:p w14:paraId="06CC4C11" w14:textId="76936CD3"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There is also a debate concerning the need for evidence of symptoms that began in childhood among adults. Requiring that symptoms start before the age of 12 is in line with the neurodevelopmental approach and helps to avoid misdiagnosing attention problems that appear later and are instead due to depression, trauma, or substance use. Yet retrospective memory is generally not reliable, medical records might not be available, and individuals with high intellectual ability or those who had supportive families may have had their difficulties hidden</w:t>
      </w:r>
      <w:r w:rsidR="009C4360">
        <w:rPr>
          <w:rFonts w:ascii="Arial" w:eastAsia="Times New Roman" w:hAnsi="Arial" w:cs="Arial"/>
          <w:color w:val="000000"/>
          <w:kern w:val="0"/>
          <w:lang w:eastAsia="en-GB"/>
          <w14:ligatures w14:val="none"/>
        </w:rPr>
        <w:t xml:space="preserve"> (Breda et al.,2024)</w:t>
      </w:r>
      <w:r w:rsidRPr="00F2205F">
        <w:rPr>
          <w:rFonts w:ascii="Arial" w:eastAsia="Times New Roman" w:hAnsi="Arial" w:cs="Arial"/>
          <w:color w:val="000000"/>
          <w:kern w:val="0"/>
          <w:lang w:eastAsia="en-GB"/>
          <w14:ligatures w14:val="none"/>
        </w:rPr>
        <w:t>. Whenever possible, clinicians should look for supporting evidence, but they must also record the quality and the limitations of the information that is available rather than enforcing an impossible standard of documentation.</w:t>
      </w:r>
    </w:p>
    <w:p w14:paraId="672EDDE0" w14:textId="77777777" w:rsidR="00CB15D0" w:rsidRPr="00F2205F" w:rsidRDefault="00CB15D0" w:rsidP="005D6528">
      <w:pPr>
        <w:spacing w:after="0" w:line="360" w:lineRule="auto"/>
        <w:jc w:val="both"/>
        <w:rPr>
          <w:rFonts w:ascii="Arial" w:eastAsia="Times New Roman" w:hAnsi="Arial" w:cs="Arial"/>
          <w:color w:val="000000"/>
          <w:kern w:val="0"/>
          <w:lang w:eastAsia="en-GB"/>
          <w14:ligatures w14:val="none"/>
        </w:rPr>
      </w:pPr>
    </w:p>
    <w:p w14:paraId="668EEB03" w14:textId="2CDDFD5B" w:rsidR="00797170" w:rsidRPr="00F2205F" w:rsidRDefault="00797170"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The pressure from policy is making these discussions even more intense. In Wales, long waiting times for assessments could worsen the negative effects on education, employment and mental health, and since support is tied to a diagnosis it leads to inequality (</w:t>
      </w:r>
      <w:r w:rsidR="009C4360">
        <w:rPr>
          <w:rFonts w:ascii="Arial" w:eastAsia="Times New Roman" w:hAnsi="Arial" w:cs="Arial"/>
          <w:color w:val="000000"/>
          <w:kern w:val="0"/>
          <w:lang w:eastAsia="en-GB"/>
          <w14:ligatures w14:val="none"/>
        </w:rPr>
        <w:t>Hardy</w:t>
      </w:r>
      <w:r w:rsidRPr="00F2205F">
        <w:rPr>
          <w:rFonts w:ascii="Arial" w:eastAsia="Times New Roman" w:hAnsi="Arial" w:cs="Arial"/>
          <w:color w:val="000000"/>
          <w:kern w:val="0"/>
          <w:lang w:eastAsia="en-GB"/>
          <w14:ligatures w14:val="none"/>
        </w:rPr>
        <w:t xml:space="preserve">, 2024). Helping people </w:t>
      </w:r>
      <w:r w:rsidR="00886280" w:rsidRPr="00F2205F">
        <w:rPr>
          <w:rFonts w:ascii="Arial" w:eastAsia="Times New Roman" w:hAnsi="Arial" w:cs="Arial"/>
          <w:color w:val="000000"/>
          <w:kern w:val="0"/>
          <w:lang w:eastAsia="en-GB"/>
          <w14:ligatures w14:val="none"/>
        </w:rPr>
        <w:t>based on</w:t>
      </w:r>
      <w:r w:rsidRPr="00F2205F">
        <w:rPr>
          <w:rFonts w:ascii="Arial" w:eastAsia="Times New Roman" w:hAnsi="Arial" w:cs="Arial"/>
          <w:color w:val="000000"/>
          <w:kern w:val="0"/>
          <w:lang w:eastAsia="en-GB"/>
          <w14:ligatures w14:val="none"/>
        </w:rPr>
        <w:t xml:space="preserve"> their needs before a diagnosis can reduce harm, but it should not take the place of access to specialist assessment or to medication. Policy measures should focus on funding multidisciplinary routes, set up clear standards for all providers, and gather data regarding waiting times, outcomes and inequalities. Moreover, policies </w:t>
      </w:r>
      <w:r w:rsidR="00886280" w:rsidRPr="00F2205F">
        <w:rPr>
          <w:rFonts w:ascii="Arial" w:eastAsia="Times New Roman" w:hAnsi="Arial" w:cs="Arial"/>
          <w:color w:val="000000"/>
          <w:kern w:val="0"/>
          <w:lang w:eastAsia="en-GB"/>
          <w14:ligatures w14:val="none"/>
        </w:rPr>
        <w:t>must</w:t>
      </w:r>
      <w:r w:rsidRPr="00F2205F">
        <w:rPr>
          <w:rFonts w:ascii="Arial" w:eastAsia="Times New Roman" w:hAnsi="Arial" w:cs="Arial"/>
          <w:color w:val="000000"/>
          <w:kern w:val="0"/>
          <w:lang w:eastAsia="en-GB"/>
          <w14:ligatures w14:val="none"/>
        </w:rPr>
        <w:t xml:space="preserve"> protect people's right to make informed choices, since there is no evidence to support either services that offer medication alone or a universal position against medication</w:t>
      </w:r>
      <w:r w:rsidR="009C4360">
        <w:rPr>
          <w:rFonts w:ascii="Arial" w:eastAsia="Times New Roman" w:hAnsi="Arial" w:cs="Arial"/>
          <w:color w:val="000000"/>
          <w:kern w:val="0"/>
          <w:lang w:eastAsia="en-GB"/>
          <w14:ligatures w14:val="none"/>
        </w:rPr>
        <w:t xml:space="preserve"> (NICE, 2018).</w:t>
      </w:r>
    </w:p>
    <w:p w14:paraId="22EB9F7C" w14:textId="77777777" w:rsidR="008A6D32" w:rsidRDefault="008A6D32" w:rsidP="008A6D32">
      <w:pPr>
        <w:pStyle w:val="NormalWeb"/>
        <w:rPr>
          <w:rFonts w:ascii="Arial" w:hAnsi="Arial" w:cs="Arial"/>
          <w:b/>
          <w:bCs/>
          <w:color w:val="000000"/>
        </w:rPr>
      </w:pPr>
    </w:p>
    <w:p w14:paraId="36DD417B" w14:textId="77777777" w:rsidR="002179EE" w:rsidRDefault="002179EE" w:rsidP="008A6D32">
      <w:pPr>
        <w:pStyle w:val="NormalWeb"/>
        <w:rPr>
          <w:rFonts w:ascii="Arial" w:hAnsi="Arial" w:cs="Arial"/>
          <w:b/>
          <w:bCs/>
          <w:color w:val="000000"/>
        </w:rPr>
      </w:pPr>
    </w:p>
    <w:p w14:paraId="05507DF3" w14:textId="77777777" w:rsidR="002179EE" w:rsidRPr="00F2205F" w:rsidRDefault="002179EE" w:rsidP="008A6D32">
      <w:pPr>
        <w:pStyle w:val="NormalWeb"/>
        <w:rPr>
          <w:rFonts w:ascii="Arial" w:hAnsi="Arial" w:cs="Arial"/>
          <w:b/>
          <w:bCs/>
          <w:color w:val="000000"/>
        </w:rPr>
      </w:pPr>
    </w:p>
    <w:p w14:paraId="663F265C" w14:textId="180F6D95" w:rsidR="008A6D32" w:rsidRPr="00F2205F" w:rsidRDefault="008A6D32" w:rsidP="00F2205F">
      <w:pPr>
        <w:rPr>
          <w:rFonts w:ascii="Arial" w:hAnsi="Arial" w:cs="Arial"/>
          <w:b/>
          <w:bCs/>
        </w:rPr>
      </w:pPr>
      <w:bookmarkStart w:id="4" w:name="_Toc236521164"/>
      <w:r w:rsidRPr="00F2205F">
        <w:rPr>
          <w:rFonts w:ascii="Arial" w:hAnsi="Arial" w:cs="Arial"/>
          <w:b/>
          <w:bCs/>
        </w:rPr>
        <w:t>Recommendations:</w:t>
      </w:r>
      <w:bookmarkEnd w:id="4"/>
      <w:r w:rsidRPr="00F2205F">
        <w:rPr>
          <w:rStyle w:val="apple-converted-space"/>
          <w:rFonts w:ascii="Arial" w:eastAsiaTheme="majorEastAsia" w:hAnsi="Arial" w:cs="Arial"/>
          <w:b/>
          <w:bCs/>
          <w:color w:val="000000"/>
        </w:rPr>
        <w:t> </w:t>
      </w:r>
    </w:p>
    <w:p w14:paraId="5D2B7AF7" w14:textId="331B4091" w:rsidR="00412DC6" w:rsidRPr="00F2205F" w:rsidRDefault="00412DC6"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Assessment services must use a standardised ICD-11 formulation template which includes the person's goals, their physical health, developmental history, disability, symptoms in different settings, the differential diagnosis, their strengths, and any co-occurring conditions. Digital examinations and rating scales should be used as supplementary tools. Audits need to check clinician agreement and detect any disparities relating to age, sex, disability, socioeconomic status, and ethnicity</w:t>
      </w:r>
      <w:r w:rsidR="00E80AB3">
        <w:rPr>
          <w:rFonts w:ascii="Arial" w:eastAsia="Times New Roman" w:hAnsi="Arial" w:cs="Arial"/>
          <w:color w:val="000000"/>
          <w:kern w:val="0"/>
          <w:lang w:eastAsia="en-GB"/>
          <w14:ligatures w14:val="none"/>
        </w:rPr>
        <w:t xml:space="preserve"> (WHO, 2024)</w:t>
      </w:r>
      <w:r w:rsidRPr="00F2205F">
        <w:rPr>
          <w:rFonts w:ascii="Arial" w:eastAsia="Times New Roman" w:hAnsi="Arial" w:cs="Arial"/>
          <w:color w:val="000000"/>
          <w:kern w:val="0"/>
          <w:lang w:eastAsia="en-GB"/>
          <w14:ligatures w14:val="none"/>
        </w:rPr>
        <w:t>.</w:t>
      </w:r>
    </w:p>
    <w:p w14:paraId="7DA24A19" w14:textId="77777777" w:rsidR="00412DC6" w:rsidRPr="00F2205F" w:rsidRDefault="00412DC6" w:rsidP="005D6528">
      <w:pPr>
        <w:spacing w:after="0" w:line="360" w:lineRule="auto"/>
        <w:jc w:val="both"/>
        <w:rPr>
          <w:rFonts w:ascii="Arial" w:eastAsia="Times New Roman" w:hAnsi="Arial" w:cs="Arial"/>
          <w:color w:val="000000"/>
          <w:kern w:val="0"/>
          <w:lang w:eastAsia="en-GB"/>
          <w14:ligatures w14:val="none"/>
        </w:rPr>
      </w:pPr>
    </w:p>
    <w:p w14:paraId="68194CA4" w14:textId="18AC12A6" w:rsidR="00412DC6" w:rsidRPr="00F2205F" w:rsidRDefault="00412DC6"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The second step should start before the diagnostic process is completed and must be based on individual needs. Schools, institutions and employers should make reasonable environmental adjustments </w:t>
      </w:r>
      <w:r w:rsidRPr="00F2205F">
        <w:rPr>
          <w:rFonts w:ascii="Arial" w:eastAsia="Times New Roman" w:hAnsi="Arial" w:cs="Arial"/>
          <w:color w:val="000000"/>
          <w:kern w:val="0"/>
          <w:lang w:eastAsia="en-GB"/>
          <w14:ligatures w14:val="none"/>
        </w:rPr>
        <w:t>considering</w:t>
      </w:r>
      <w:r w:rsidRPr="00F2205F">
        <w:rPr>
          <w:rFonts w:ascii="Arial" w:eastAsia="Times New Roman" w:hAnsi="Arial" w:cs="Arial"/>
          <w:color w:val="000000"/>
          <w:kern w:val="0"/>
          <w:lang w:eastAsia="en-GB"/>
          <w14:ligatures w14:val="none"/>
        </w:rPr>
        <w:t xml:space="preserve"> proven functional difficulties. Training, organisational support and expertise are key factors affecting instructional practice, as shown by research carried out by the University of Wales Trinity Saint David (Greenway and Rees Edwards, 2020; 2021). Welsh policy ought to guarantee integration between neurodevelopmental services, primary care, mental health, employment and social services.</w:t>
      </w:r>
    </w:p>
    <w:p w14:paraId="654BCDB1" w14:textId="77777777" w:rsidR="00412DC6" w:rsidRPr="00F2205F" w:rsidRDefault="00412DC6" w:rsidP="005D6528">
      <w:pPr>
        <w:spacing w:after="0" w:line="360" w:lineRule="auto"/>
        <w:jc w:val="both"/>
        <w:rPr>
          <w:rFonts w:ascii="Arial" w:eastAsia="Times New Roman" w:hAnsi="Arial" w:cs="Arial"/>
          <w:color w:val="000000"/>
          <w:kern w:val="0"/>
          <w:lang w:eastAsia="en-GB"/>
          <w14:ligatures w14:val="none"/>
        </w:rPr>
      </w:pPr>
    </w:p>
    <w:p w14:paraId="2D9E1389" w14:textId="50748C8C" w:rsidR="00412DC6" w:rsidRPr="00F2205F" w:rsidRDefault="00412DC6"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Treatment must be based on measurement and truly involve multiple modes. In managing patients, account should be taken of their symptoms, the side effects they experience, as well as monitoring of their cardiovascular and growth conditions, their functional goals</w:t>
      </w:r>
      <w:r w:rsidR="00E80AB3">
        <w:rPr>
          <w:rFonts w:ascii="Arial" w:eastAsia="Times New Roman" w:hAnsi="Arial" w:cs="Arial"/>
          <w:color w:val="000000"/>
          <w:kern w:val="0"/>
          <w:lang w:eastAsia="en-GB"/>
          <w14:ligatures w14:val="none"/>
        </w:rPr>
        <w:t xml:space="preserve">, </w:t>
      </w:r>
      <w:r w:rsidRPr="00F2205F">
        <w:rPr>
          <w:rFonts w:ascii="Arial" w:eastAsia="Times New Roman" w:hAnsi="Arial" w:cs="Arial"/>
          <w:color w:val="000000"/>
          <w:kern w:val="0"/>
          <w:lang w:eastAsia="en-GB"/>
          <w14:ligatures w14:val="none"/>
        </w:rPr>
        <w:t>their quality of life, and regular reviews of their medication</w:t>
      </w:r>
      <w:r w:rsidR="00E80AB3">
        <w:rPr>
          <w:rFonts w:ascii="Arial" w:eastAsia="Times New Roman" w:hAnsi="Arial" w:cs="Arial"/>
          <w:color w:val="000000"/>
          <w:kern w:val="0"/>
          <w:lang w:eastAsia="en-GB"/>
          <w14:ligatures w14:val="none"/>
        </w:rPr>
        <w:t xml:space="preserve"> </w:t>
      </w:r>
      <w:r w:rsidR="00E80AB3">
        <w:rPr>
          <w:rFonts w:ascii="Arial" w:eastAsia="Times New Roman" w:hAnsi="Arial" w:cs="Arial"/>
          <w:color w:val="000000"/>
          <w:kern w:val="0"/>
          <w:lang w:eastAsia="en-GB"/>
          <w14:ligatures w14:val="none"/>
        </w:rPr>
        <w:t>(NICE, 2028)</w:t>
      </w:r>
      <w:r w:rsidRPr="00F2205F">
        <w:rPr>
          <w:rFonts w:ascii="Arial" w:eastAsia="Times New Roman" w:hAnsi="Arial" w:cs="Arial"/>
          <w:color w:val="000000"/>
          <w:kern w:val="0"/>
          <w:lang w:eastAsia="en-GB"/>
          <w14:ligatures w14:val="none"/>
        </w:rPr>
        <w:t>. Psychological interventions, coaching, and parent support should be available to all individuals who need them, not only those who are unable to take medication. Continuity of care should be ensured during the various age transitions, with a specific professional being named in each transition plan</w:t>
      </w:r>
      <w:r w:rsidR="00E80AB3">
        <w:rPr>
          <w:rFonts w:ascii="Arial" w:eastAsia="Times New Roman" w:hAnsi="Arial" w:cs="Arial"/>
          <w:color w:val="000000"/>
          <w:kern w:val="0"/>
          <w:lang w:eastAsia="en-GB"/>
          <w14:ligatures w14:val="none"/>
        </w:rPr>
        <w:t xml:space="preserve"> (Ostinelli et al.,2025).</w:t>
      </w:r>
    </w:p>
    <w:p w14:paraId="46AD3B83" w14:textId="77777777" w:rsidR="00412DC6" w:rsidRPr="00F2205F" w:rsidRDefault="00412DC6" w:rsidP="005D6528">
      <w:pPr>
        <w:spacing w:after="0" w:line="360" w:lineRule="auto"/>
        <w:jc w:val="both"/>
        <w:rPr>
          <w:rFonts w:ascii="Arial" w:eastAsia="Times New Roman" w:hAnsi="Arial" w:cs="Arial"/>
          <w:color w:val="000000"/>
          <w:kern w:val="0"/>
          <w:lang w:eastAsia="en-GB"/>
          <w14:ligatures w14:val="none"/>
        </w:rPr>
      </w:pPr>
    </w:p>
    <w:p w14:paraId="24602E16" w14:textId="3E11014F" w:rsidR="00412DC6" w:rsidRPr="00F2205F" w:rsidRDefault="00412DC6"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Future studies should focus on less well-represented groups, on rehabilitative results, on the long-term comparative effectiveness, and on the creation of measures that are </w:t>
      </w:r>
      <w:r w:rsidRPr="00F2205F">
        <w:rPr>
          <w:rFonts w:ascii="Arial" w:eastAsia="Times New Roman" w:hAnsi="Arial" w:cs="Arial"/>
          <w:color w:val="000000"/>
          <w:kern w:val="0"/>
          <w:lang w:eastAsia="en-GB"/>
          <w14:ligatures w14:val="none"/>
        </w:rPr>
        <w:lastRenderedPageBreak/>
        <w:t>developed in collaboration with neurodivergent people</w:t>
      </w:r>
      <w:r w:rsidR="00E80AB3">
        <w:rPr>
          <w:rFonts w:ascii="Arial" w:eastAsia="Times New Roman" w:hAnsi="Arial" w:cs="Arial"/>
          <w:color w:val="000000"/>
          <w:kern w:val="0"/>
          <w:lang w:eastAsia="en-GB"/>
          <w14:ligatures w14:val="none"/>
        </w:rPr>
        <w:t xml:space="preserve"> (Gomez, Chen and Houghton, 2023)</w:t>
      </w:r>
      <w:r w:rsidRPr="00F2205F">
        <w:rPr>
          <w:rFonts w:ascii="Arial" w:eastAsia="Times New Roman" w:hAnsi="Arial" w:cs="Arial"/>
          <w:color w:val="000000"/>
          <w:kern w:val="0"/>
          <w:lang w:eastAsia="en-GB"/>
          <w14:ligatures w14:val="none"/>
        </w:rPr>
        <w:t>. When the ICD revisions are made it is necessary to include dimensional specifiers for functional and support needs while at the same time keeping clinically significant diagnoses. Taking this approach would lower the chance of inaccurate outcomes while still retaining the benefits of diagnostic assessment</w:t>
      </w:r>
      <w:r w:rsidR="00E80AB3">
        <w:rPr>
          <w:rFonts w:ascii="Arial" w:eastAsia="Times New Roman" w:hAnsi="Arial" w:cs="Arial"/>
          <w:color w:val="000000"/>
          <w:kern w:val="0"/>
          <w:lang w:eastAsia="en-GB"/>
          <w14:ligatures w14:val="none"/>
        </w:rPr>
        <w:t xml:space="preserve"> (WHO, 2024).</w:t>
      </w:r>
    </w:p>
    <w:p w14:paraId="4B2BBA51" w14:textId="77777777" w:rsidR="00487E2D" w:rsidRDefault="00487E2D" w:rsidP="00F2205F">
      <w:pPr>
        <w:rPr>
          <w:rFonts w:ascii="Arial" w:hAnsi="Arial" w:cs="Arial"/>
          <w:b/>
          <w:bCs/>
        </w:rPr>
      </w:pPr>
      <w:bookmarkStart w:id="5" w:name="_Toc236521165"/>
    </w:p>
    <w:p w14:paraId="75C42BB4" w14:textId="5A2150F5" w:rsidR="008A6D32" w:rsidRPr="00F2205F" w:rsidRDefault="008A6D32" w:rsidP="00F2205F">
      <w:pPr>
        <w:rPr>
          <w:rFonts w:ascii="Arial" w:hAnsi="Arial" w:cs="Arial"/>
          <w:b/>
          <w:bCs/>
        </w:rPr>
      </w:pPr>
      <w:r w:rsidRPr="00F2205F">
        <w:rPr>
          <w:rFonts w:ascii="Arial" w:hAnsi="Arial" w:cs="Arial"/>
          <w:b/>
          <w:bCs/>
        </w:rPr>
        <w:t>Conclusion</w:t>
      </w:r>
      <w:bookmarkEnd w:id="5"/>
    </w:p>
    <w:p w14:paraId="4F9C804A" w14:textId="2EB2CA77" w:rsidR="00412DC6" w:rsidRPr="00F2205F" w:rsidRDefault="00412DC6" w:rsidP="005D6528">
      <w:pPr>
        <w:spacing w:after="0" w:line="360" w:lineRule="auto"/>
        <w:jc w:val="both"/>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In comparison with ICD-10, ICD-11 offers a wider and more relevant classification of ADHD throughout the lifespan; yet the process of diagnosing it is still open to interpretation and varies from one clinical situation to another. While medication can relieve some of the symptoms, especially in the short term, it cannot take the place of psychosocial support, behavioural interventions, or physical therapy. </w:t>
      </w:r>
      <w:r w:rsidRPr="00F2205F">
        <w:rPr>
          <w:rFonts w:ascii="Arial" w:eastAsia="Times New Roman" w:hAnsi="Arial" w:cs="Arial"/>
          <w:color w:val="000000"/>
          <w:kern w:val="0"/>
          <w:lang w:eastAsia="en-GB"/>
          <w14:ligatures w14:val="none"/>
        </w:rPr>
        <w:t>To</w:t>
      </w:r>
      <w:r w:rsidRPr="00F2205F">
        <w:rPr>
          <w:rFonts w:ascii="Arial" w:eastAsia="Times New Roman" w:hAnsi="Arial" w:cs="Arial"/>
          <w:color w:val="000000"/>
          <w:kern w:val="0"/>
          <w:lang w:eastAsia="en-GB"/>
          <w14:ligatures w14:val="none"/>
        </w:rPr>
        <w:t xml:space="preserve"> achieve true inclusivity, a neurodiversity-informed approach should identify and respect individual strengths, lessen stigma, and recognise both the disability and the patient's own treatment preferences. The most effective service model includes specialist involvement, uses a range of different methods, and is focused on the </w:t>
      </w:r>
      <w:r w:rsidRPr="00F2205F">
        <w:rPr>
          <w:rFonts w:ascii="Arial" w:eastAsia="Times New Roman" w:hAnsi="Arial" w:cs="Arial"/>
          <w:color w:val="000000"/>
          <w:kern w:val="0"/>
          <w:lang w:eastAsia="en-GB"/>
          <w14:ligatures w14:val="none"/>
        </w:rPr>
        <w:t>needs</w:t>
      </w:r>
      <w:r w:rsidRPr="00F2205F">
        <w:rPr>
          <w:rFonts w:ascii="Arial" w:eastAsia="Times New Roman" w:hAnsi="Arial" w:cs="Arial"/>
          <w:color w:val="000000"/>
          <w:kern w:val="0"/>
          <w:lang w:eastAsia="en-GB"/>
          <w14:ligatures w14:val="none"/>
        </w:rPr>
        <w:t xml:space="preserve"> of the individual. This type of model should involve a thorough diagnosis, provide timely support before and after assessment, ensure coordinated rehabilitation, and use outcome measures that are based on quality of life and level of participation rather than just on the reduction of symptoms. Hence, it is more important than simply changing the diagnostic labels to integrate the classification with equitable, evidence-based and person-centred care systems </w:t>
      </w:r>
      <w:r w:rsidR="005D6528" w:rsidRPr="00F2205F">
        <w:rPr>
          <w:rFonts w:ascii="Arial" w:eastAsia="Times New Roman" w:hAnsi="Arial" w:cs="Arial"/>
          <w:color w:val="000000"/>
          <w:kern w:val="0"/>
          <w:lang w:eastAsia="en-GB"/>
          <w14:ligatures w14:val="none"/>
        </w:rPr>
        <w:t>to</w:t>
      </w:r>
      <w:r w:rsidRPr="00F2205F">
        <w:rPr>
          <w:rFonts w:ascii="Arial" w:eastAsia="Times New Roman" w:hAnsi="Arial" w:cs="Arial"/>
          <w:color w:val="000000"/>
          <w:kern w:val="0"/>
          <w:lang w:eastAsia="en-GB"/>
          <w14:ligatures w14:val="none"/>
        </w:rPr>
        <w:t xml:space="preserve"> improve ADHD services.</w:t>
      </w:r>
    </w:p>
    <w:p w14:paraId="45A36524" w14:textId="77777777" w:rsidR="008A6D32" w:rsidRPr="00F2205F" w:rsidRDefault="008A6D32" w:rsidP="008A6D32">
      <w:pPr>
        <w:pStyle w:val="NormalWeb"/>
        <w:rPr>
          <w:rFonts w:ascii="Arial" w:hAnsi="Arial" w:cs="Arial"/>
          <w:color w:val="000000"/>
        </w:rPr>
      </w:pPr>
    </w:p>
    <w:p w14:paraId="4F7597D5" w14:textId="77777777" w:rsidR="008A6D32" w:rsidRPr="00F2205F" w:rsidRDefault="008A6D32" w:rsidP="008A6D32">
      <w:pPr>
        <w:pStyle w:val="NormalWeb"/>
        <w:rPr>
          <w:rFonts w:ascii="Arial" w:hAnsi="Arial" w:cs="Arial"/>
          <w:color w:val="000000"/>
        </w:rPr>
      </w:pPr>
    </w:p>
    <w:p w14:paraId="312BAD40" w14:textId="77777777" w:rsidR="00EB78C6" w:rsidRPr="00F2205F" w:rsidRDefault="00EB78C6" w:rsidP="008A6D32">
      <w:pPr>
        <w:pStyle w:val="NormalWeb"/>
        <w:rPr>
          <w:rFonts w:ascii="Arial" w:hAnsi="Arial" w:cs="Arial"/>
          <w:color w:val="000000"/>
        </w:rPr>
      </w:pPr>
    </w:p>
    <w:p w14:paraId="7AD2E81E" w14:textId="77777777" w:rsidR="008A6D32" w:rsidRPr="00F2205F" w:rsidRDefault="008A6D32" w:rsidP="008A6D32">
      <w:pPr>
        <w:pStyle w:val="NormalWeb"/>
        <w:rPr>
          <w:rFonts w:ascii="Arial" w:hAnsi="Arial" w:cs="Arial"/>
          <w:color w:val="000000"/>
        </w:rPr>
      </w:pPr>
    </w:p>
    <w:p w14:paraId="637A6DE1" w14:textId="77777777" w:rsidR="00F2205F" w:rsidRPr="00F2205F" w:rsidRDefault="00F2205F" w:rsidP="008A6D32">
      <w:pPr>
        <w:pStyle w:val="NormalWeb"/>
        <w:rPr>
          <w:rFonts w:ascii="Arial" w:hAnsi="Arial" w:cs="Arial"/>
          <w:color w:val="000000"/>
        </w:rPr>
      </w:pPr>
    </w:p>
    <w:p w14:paraId="3898F9FE" w14:textId="77777777" w:rsidR="00F2205F" w:rsidRPr="00F2205F" w:rsidRDefault="00F2205F" w:rsidP="008A6D32">
      <w:pPr>
        <w:pStyle w:val="NormalWeb"/>
        <w:rPr>
          <w:rFonts w:ascii="Arial" w:hAnsi="Arial" w:cs="Arial"/>
          <w:color w:val="000000"/>
        </w:rPr>
      </w:pPr>
    </w:p>
    <w:p w14:paraId="649744FB" w14:textId="77777777" w:rsidR="00F2205F" w:rsidRPr="00F2205F" w:rsidRDefault="00F2205F" w:rsidP="008A6D32">
      <w:pPr>
        <w:pStyle w:val="NormalWeb"/>
        <w:rPr>
          <w:rFonts w:ascii="Arial" w:hAnsi="Arial" w:cs="Arial"/>
          <w:color w:val="000000"/>
        </w:rPr>
      </w:pPr>
    </w:p>
    <w:p w14:paraId="4DACA4FC" w14:textId="77777777" w:rsidR="00F2205F" w:rsidRDefault="00F2205F" w:rsidP="008A6D32">
      <w:pPr>
        <w:pStyle w:val="NormalWeb"/>
        <w:rPr>
          <w:rFonts w:ascii="Arial" w:hAnsi="Arial" w:cs="Arial"/>
          <w:color w:val="000000"/>
        </w:rPr>
      </w:pPr>
    </w:p>
    <w:p w14:paraId="2F7F273F" w14:textId="77777777" w:rsidR="00F2205F" w:rsidRDefault="00F2205F" w:rsidP="008A6D32">
      <w:pPr>
        <w:pStyle w:val="NormalWeb"/>
        <w:rPr>
          <w:rFonts w:ascii="Arial" w:hAnsi="Arial" w:cs="Arial"/>
          <w:color w:val="000000"/>
        </w:rPr>
      </w:pPr>
    </w:p>
    <w:p w14:paraId="01911845" w14:textId="77777777" w:rsidR="00F2205F" w:rsidRDefault="00F2205F" w:rsidP="008A6D32">
      <w:pPr>
        <w:pStyle w:val="NormalWeb"/>
        <w:rPr>
          <w:rFonts w:ascii="Arial" w:hAnsi="Arial" w:cs="Arial"/>
          <w:color w:val="000000"/>
        </w:rPr>
      </w:pPr>
    </w:p>
    <w:p w14:paraId="1D27BCA0" w14:textId="77777777" w:rsidR="00F2205F" w:rsidRDefault="00F2205F" w:rsidP="008A6D32">
      <w:pPr>
        <w:pStyle w:val="NormalWeb"/>
        <w:rPr>
          <w:rFonts w:ascii="Arial" w:hAnsi="Arial" w:cs="Arial"/>
          <w:color w:val="000000"/>
        </w:rPr>
      </w:pPr>
    </w:p>
    <w:p w14:paraId="464E4062" w14:textId="02CAC658" w:rsidR="008A6D32" w:rsidRPr="00F2205F" w:rsidRDefault="008A6D32" w:rsidP="00F2205F">
      <w:pPr>
        <w:rPr>
          <w:rFonts w:ascii="Arial" w:hAnsi="Arial" w:cs="Arial"/>
          <w:b/>
          <w:bCs/>
        </w:rPr>
      </w:pPr>
      <w:bookmarkStart w:id="6" w:name="_Toc236521166"/>
      <w:r w:rsidRPr="00F2205F">
        <w:rPr>
          <w:rFonts w:ascii="Arial" w:hAnsi="Arial" w:cs="Arial"/>
          <w:b/>
          <w:bCs/>
        </w:rPr>
        <w:t>References</w:t>
      </w:r>
      <w:bookmarkEnd w:id="6"/>
      <w:r w:rsidRPr="00F2205F">
        <w:rPr>
          <w:rFonts w:ascii="Arial" w:hAnsi="Arial" w:cs="Arial"/>
          <w:b/>
          <w:bCs/>
        </w:rPr>
        <w:t xml:space="preserve"> </w:t>
      </w:r>
    </w:p>
    <w:p w14:paraId="6AE97622"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proofErr w:type="spellStart"/>
      <w:r w:rsidRPr="00F2205F">
        <w:rPr>
          <w:rFonts w:ascii="Arial" w:eastAsia="Times New Roman" w:hAnsi="Arial" w:cs="Arial"/>
          <w:color w:val="000000"/>
          <w:kern w:val="0"/>
          <w:lang w:eastAsia="en-GB"/>
          <w14:ligatures w14:val="none"/>
        </w:rPr>
        <w:t>Bellato</w:t>
      </w:r>
      <w:proofErr w:type="spellEnd"/>
      <w:r w:rsidRPr="00F2205F">
        <w:rPr>
          <w:rFonts w:ascii="Arial" w:eastAsia="Times New Roman" w:hAnsi="Arial" w:cs="Arial"/>
          <w:color w:val="000000"/>
          <w:kern w:val="0"/>
          <w:lang w:eastAsia="en-GB"/>
          <w14:ligatures w14:val="none"/>
        </w:rPr>
        <w:t xml:space="preserve">, A., Hall, C.L., Groom, M.J., Simonoff, E., Thapar, A., Hollis, C. and Cortese, S. (2024) </w:t>
      </w:r>
      <w:r w:rsidRPr="00C576C4">
        <w:rPr>
          <w:rFonts w:ascii="Arial" w:eastAsia="Times New Roman" w:hAnsi="Arial" w:cs="Arial"/>
          <w:i/>
          <w:iCs/>
          <w:color w:val="000000"/>
          <w:kern w:val="0"/>
          <w:lang w:eastAsia="en-GB"/>
          <w14:ligatures w14:val="none"/>
        </w:rPr>
        <w:t xml:space="preserve">‘Practitioner review: Clinical utility of the </w:t>
      </w:r>
      <w:proofErr w:type="spellStart"/>
      <w:r w:rsidRPr="00C576C4">
        <w:rPr>
          <w:rFonts w:ascii="Arial" w:eastAsia="Times New Roman" w:hAnsi="Arial" w:cs="Arial"/>
          <w:i/>
          <w:iCs/>
          <w:color w:val="000000"/>
          <w:kern w:val="0"/>
          <w:lang w:eastAsia="en-GB"/>
          <w14:ligatures w14:val="none"/>
        </w:rPr>
        <w:t>QbTest</w:t>
      </w:r>
      <w:proofErr w:type="spellEnd"/>
      <w:r w:rsidRPr="00C576C4">
        <w:rPr>
          <w:rFonts w:ascii="Arial" w:eastAsia="Times New Roman" w:hAnsi="Arial" w:cs="Arial"/>
          <w:i/>
          <w:iCs/>
          <w:color w:val="000000"/>
          <w:kern w:val="0"/>
          <w:lang w:eastAsia="en-GB"/>
          <w14:ligatures w14:val="none"/>
        </w:rPr>
        <w:t xml:space="preserve"> for the assessment and diagnosis of attention-deficit/hyperactivity disorder – a systematic review and meta-analysis’, Journal of Child Psychology and Psychiatry,</w:t>
      </w:r>
      <w:r w:rsidRPr="00F2205F">
        <w:rPr>
          <w:rFonts w:ascii="Arial" w:eastAsia="Times New Roman" w:hAnsi="Arial" w:cs="Arial"/>
          <w:color w:val="000000"/>
          <w:kern w:val="0"/>
          <w:lang w:eastAsia="en-GB"/>
          <w14:ligatures w14:val="none"/>
        </w:rPr>
        <w:t xml:space="preserve"> 65(6), pp. 845–861. </w:t>
      </w:r>
      <w:proofErr w:type="spellStart"/>
      <w:r w:rsidRPr="00F2205F">
        <w:rPr>
          <w:rFonts w:ascii="Arial" w:eastAsia="Times New Roman" w:hAnsi="Arial" w:cs="Arial"/>
          <w:color w:val="000000"/>
          <w:kern w:val="0"/>
          <w:lang w:eastAsia="en-GB"/>
          <w14:ligatures w14:val="none"/>
        </w:rPr>
        <w:t>doi</w:t>
      </w:r>
      <w:proofErr w:type="spellEnd"/>
      <w:r w:rsidRPr="00F2205F">
        <w:rPr>
          <w:rFonts w:ascii="Arial" w:eastAsia="Times New Roman" w:hAnsi="Arial" w:cs="Arial"/>
          <w:color w:val="000000"/>
          <w:kern w:val="0"/>
          <w:lang w:eastAsia="en-GB"/>
          <w14:ligatures w14:val="none"/>
        </w:rPr>
        <w:t>: 10.1111/jcpp.13901.</w:t>
      </w:r>
    </w:p>
    <w:p w14:paraId="7C25DE84" w14:textId="77777777" w:rsidR="00EB78C6" w:rsidRDefault="00EB78C6" w:rsidP="00EB78C6">
      <w:pPr>
        <w:spacing w:after="0" w:line="240" w:lineRule="auto"/>
        <w:rPr>
          <w:rFonts w:ascii="Arial" w:eastAsia="Times New Roman" w:hAnsi="Arial" w:cs="Arial"/>
          <w:color w:val="000000"/>
          <w:kern w:val="0"/>
          <w:lang w:eastAsia="en-GB"/>
          <w14:ligatures w14:val="none"/>
        </w:rPr>
      </w:pPr>
    </w:p>
    <w:p w14:paraId="27002BCF" w14:textId="77777777" w:rsidR="002179EE" w:rsidRPr="002179EE" w:rsidRDefault="002179EE" w:rsidP="002179EE">
      <w:pPr>
        <w:spacing w:after="0" w:line="240" w:lineRule="auto"/>
        <w:rPr>
          <w:rFonts w:ascii="Arial" w:eastAsia="Times New Roman" w:hAnsi="Arial" w:cs="Arial"/>
          <w:color w:val="000000"/>
          <w:kern w:val="0"/>
          <w:lang w:eastAsia="en-GB"/>
          <w14:ligatures w14:val="none"/>
        </w:rPr>
      </w:pPr>
      <w:r w:rsidRPr="002179EE">
        <w:rPr>
          <w:rFonts w:ascii="Arial" w:eastAsia="Times New Roman" w:hAnsi="Arial" w:cs="Arial"/>
          <w:color w:val="000000"/>
          <w:kern w:val="0"/>
          <w:lang w:eastAsia="en-GB"/>
          <w14:ligatures w14:val="none"/>
        </w:rPr>
        <w:t xml:space="preserve">Breda, V., Rohde, L.A., Menezes, A.M.B., Anselmi, L., Caye, A., </w:t>
      </w:r>
      <w:proofErr w:type="spellStart"/>
      <w:r w:rsidRPr="002179EE">
        <w:rPr>
          <w:rFonts w:ascii="Arial" w:eastAsia="Times New Roman" w:hAnsi="Arial" w:cs="Arial"/>
          <w:color w:val="000000"/>
          <w:kern w:val="0"/>
          <w:lang w:eastAsia="en-GB"/>
          <w14:ligatures w14:val="none"/>
        </w:rPr>
        <w:t>Rovaris</w:t>
      </w:r>
      <w:proofErr w:type="spellEnd"/>
      <w:r w:rsidRPr="002179EE">
        <w:rPr>
          <w:rFonts w:ascii="Arial" w:eastAsia="Times New Roman" w:hAnsi="Arial" w:cs="Arial"/>
          <w:color w:val="000000"/>
          <w:kern w:val="0"/>
          <w:lang w:eastAsia="en-GB"/>
          <w14:ligatures w14:val="none"/>
        </w:rPr>
        <w:t xml:space="preserve">, D.L., Vitola, E.S., Bau, C.H.D. and </w:t>
      </w:r>
      <w:proofErr w:type="spellStart"/>
      <w:r w:rsidRPr="002179EE">
        <w:rPr>
          <w:rFonts w:ascii="Arial" w:eastAsia="Times New Roman" w:hAnsi="Arial" w:cs="Arial"/>
          <w:color w:val="000000"/>
          <w:kern w:val="0"/>
          <w:lang w:eastAsia="en-GB"/>
          <w14:ligatures w14:val="none"/>
        </w:rPr>
        <w:t>Grevet</w:t>
      </w:r>
      <w:proofErr w:type="spellEnd"/>
      <w:r w:rsidRPr="002179EE">
        <w:rPr>
          <w:rFonts w:ascii="Arial" w:eastAsia="Times New Roman" w:hAnsi="Arial" w:cs="Arial"/>
          <w:color w:val="000000"/>
          <w:kern w:val="0"/>
          <w:lang w:eastAsia="en-GB"/>
          <w14:ligatures w14:val="none"/>
        </w:rPr>
        <w:t>, E.H. (2020) ‘</w:t>
      </w:r>
      <w:r w:rsidRPr="002179EE">
        <w:rPr>
          <w:rFonts w:ascii="Arial" w:eastAsia="Times New Roman" w:hAnsi="Arial" w:cs="Arial"/>
          <w:i/>
          <w:iCs/>
          <w:color w:val="000000"/>
          <w:kern w:val="0"/>
          <w:lang w:eastAsia="en-GB"/>
          <w14:ligatures w14:val="none"/>
        </w:rPr>
        <w:t>Revisiting ADHD age-of-onset in adults: to what extent should we rely on the recall of childhood symptoms?</w:t>
      </w:r>
      <w:r w:rsidRPr="002179EE">
        <w:rPr>
          <w:rFonts w:ascii="Arial" w:eastAsia="Times New Roman" w:hAnsi="Arial" w:cs="Arial"/>
          <w:color w:val="000000"/>
          <w:kern w:val="0"/>
          <w:lang w:eastAsia="en-GB"/>
          <w14:ligatures w14:val="none"/>
        </w:rPr>
        <w:t>’, </w:t>
      </w:r>
      <w:r w:rsidRPr="002179EE">
        <w:rPr>
          <w:rFonts w:ascii="Arial" w:eastAsia="Times New Roman" w:hAnsi="Arial" w:cs="Arial"/>
          <w:i/>
          <w:iCs/>
          <w:color w:val="000000"/>
          <w:kern w:val="0"/>
          <w:lang w:eastAsia="en-GB"/>
          <w14:ligatures w14:val="none"/>
        </w:rPr>
        <w:t>Psychological Medicine</w:t>
      </w:r>
      <w:r w:rsidRPr="002179EE">
        <w:rPr>
          <w:rFonts w:ascii="Arial" w:eastAsia="Times New Roman" w:hAnsi="Arial" w:cs="Arial"/>
          <w:color w:val="000000"/>
          <w:kern w:val="0"/>
          <w:lang w:eastAsia="en-GB"/>
          <w14:ligatures w14:val="none"/>
        </w:rPr>
        <w:t xml:space="preserve">, 50(5), pp. 857–866. </w:t>
      </w:r>
      <w:proofErr w:type="spellStart"/>
      <w:r w:rsidRPr="002179EE">
        <w:rPr>
          <w:rFonts w:ascii="Arial" w:eastAsia="Times New Roman" w:hAnsi="Arial" w:cs="Arial"/>
          <w:color w:val="000000"/>
          <w:kern w:val="0"/>
          <w:lang w:eastAsia="en-GB"/>
          <w14:ligatures w14:val="none"/>
        </w:rPr>
        <w:t>doi</w:t>
      </w:r>
      <w:proofErr w:type="spellEnd"/>
      <w:r w:rsidRPr="002179EE">
        <w:rPr>
          <w:rFonts w:ascii="Arial" w:eastAsia="Times New Roman" w:hAnsi="Arial" w:cs="Arial"/>
          <w:color w:val="000000"/>
          <w:kern w:val="0"/>
          <w:lang w:eastAsia="en-GB"/>
          <w14:ligatures w14:val="none"/>
        </w:rPr>
        <w:t>: 10.1017/S003329171900076X.</w:t>
      </w:r>
    </w:p>
    <w:p w14:paraId="5D9DC7D2" w14:textId="77777777" w:rsidR="002179EE" w:rsidRDefault="002179EE" w:rsidP="00EB78C6">
      <w:pPr>
        <w:spacing w:after="0" w:line="240" w:lineRule="auto"/>
        <w:rPr>
          <w:rFonts w:ascii="Arial" w:eastAsia="Times New Roman" w:hAnsi="Arial" w:cs="Arial"/>
          <w:color w:val="000000"/>
          <w:kern w:val="0"/>
          <w:lang w:eastAsia="en-GB"/>
          <w14:ligatures w14:val="none"/>
        </w:rPr>
      </w:pPr>
    </w:p>
    <w:p w14:paraId="1965F236"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Cortese, S. et al. (2018) ‘</w:t>
      </w:r>
      <w:r w:rsidRPr="00C576C4">
        <w:rPr>
          <w:rFonts w:ascii="Arial" w:eastAsia="Times New Roman" w:hAnsi="Arial" w:cs="Arial"/>
          <w:i/>
          <w:iCs/>
          <w:color w:val="000000"/>
          <w:kern w:val="0"/>
          <w:lang w:eastAsia="en-GB"/>
          <w14:ligatures w14:val="none"/>
        </w:rPr>
        <w:t>Comparative efficacy and tolerability of medications for attention-deficit hyperactivity disorder in children, adolescents, and adults: a systematic review and network meta-analysis’</w:t>
      </w:r>
      <w:r w:rsidRPr="00F2205F">
        <w:rPr>
          <w:rFonts w:ascii="Arial" w:eastAsia="Times New Roman" w:hAnsi="Arial" w:cs="Arial"/>
          <w:color w:val="000000"/>
          <w:kern w:val="0"/>
          <w:lang w:eastAsia="en-GB"/>
          <w14:ligatures w14:val="none"/>
        </w:rPr>
        <w:t xml:space="preserve">, The Lancet Psychiatry, 5(9), pp. 727–738. </w:t>
      </w:r>
      <w:proofErr w:type="spellStart"/>
      <w:r w:rsidRPr="00F2205F">
        <w:rPr>
          <w:rFonts w:ascii="Arial" w:eastAsia="Times New Roman" w:hAnsi="Arial" w:cs="Arial"/>
          <w:color w:val="000000"/>
          <w:kern w:val="0"/>
          <w:lang w:eastAsia="en-GB"/>
          <w14:ligatures w14:val="none"/>
        </w:rPr>
        <w:t>doi</w:t>
      </w:r>
      <w:proofErr w:type="spellEnd"/>
      <w:r w:rsidRPr="00F2205F">
        <w:rPr>
          <w:rFonts w:ascii="Arial" w:eastAsia="Times New Roman" w:hAnsi="Arial" w:cs="Arial"/>
          <w:color w:val="000000"/>
          <w:kern w:val="0"/>
          <w:lang w:eastAsia="en-GB"/>
          <w14:ligatures w14:val="none"/>
        </w:rPr>
        <w:t>: 10.1016/S2215-0366(18)30269-4.</w:t>
      </w:r>
    </w:p>
    <w:p w14:paraId="628C5A73"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p>
    <w:p w14:paraId="7709BED5"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French, B., Nalbant, G., Wright, H., Sayal, K., Daley, D., Groom, M.J., Cassidy, S. and Hall, C.L. (2024) ‘</w:t>
      </w:r>
      <w:r w:rsidRPr="00C576C4">
        <w:rPr>
          <w:rFonts w:ascii="Arial" w:eastAsia="Times New Roman" w:hAnsi="Arial" w:cs="Arial"/>
          <w:i/>
          <w:iCs/>
          <w:color w:val="000000"/>
          <w:kern w:val="0"/>
          <w:lang w:eastAsia="en-GB"/>
          <w14:ligatures w14:val="none"/>
        </w:rPr>
        <w:t>The impacts associated with having ADHD: an umbrella review’, Frontiers in Psychiatry</w:t>
      </w:r>
      <w:r w:rsidRPr="00F2205F">
        <w:rPr>
          <w:rFonts w:ascii="Arial" w:eastAsia="Times New Roman" w:hAnsi="Arial" w:cs="Arial"/>
          <w:color w:val="000000"/>
          <w:kern w:val="0"/>
          <w:lang w:eastAsia="en-GB"/>
          <w14:ligatures w14:val="none"/>
        </w:rPr>
        <w:t xml:space="preserve">, 15, 1343314. </w:t>
      </w:r>
      <w:proofErr w:type="spellStart"/>
      <w:r w:rsidRPr="00F2205F">
        <w:rPr>
          <w:rFonts w:ascii="Arial" w:eastAsia="Times New Roman" w:hAnsi="Arial" w:cs="Arial"/>
          <w:color w:val="000000"/>
          <w:kern w:val="0"/>
          <w:lang w:eastAsia="en-GB"/>
          <w14:ligatures w14:val="none"/>
        </w:rPr>
        <w:t>doi</w:t>
      </w:r>
      <w:proofErr w:type="spellEnd"/>
      <w:r w:rsidRPr="00F2205F">
        <w:rPr>
          <w:rFonts w:ascii="Arial" w:eastAsia="Times New Roman" w:hAnsi="Arial" w:cs="Arial"/>
          <w:color w:val="000000"/>
          <w:kern w:val="0"/>
          <w:lang w:eastAsia="en-GB"/>
          <w14:ligatures w14:val="none"/>
        </w:rPr>
        <w:t>: 10.3389/fpsyt.2024.1343314.</w:t>
      </w:r>
    </w:p>
    <w:p w14:paraId="162A2CA5"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p>
    <w:p w14:paraId="4BEADA94"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Gomez, R., Chen, W. and Houghton, S. (2023) ‘</w:t>
      </w:r>
      <w:r w:rsidRPr="00C576C4">
        <w:rPr>
          <w:rFonts w:ascii="Arial" w:eastAsia="Times New Roman" w:hAnsi="Arial" w:cs="Arial"/>
          <w:i/>
          <w:iCs/>
          <w:color w:val="000000"/>
          <w:kern w:val="0"/>
          <w:lang w:eastAsia="en-GB"/>
          <w14:ligatures w14:val="none"/>
        </w:rPr>
        <w:t>Differences between DSM-5-TR and ICD-11 revisions of attention deficit/hyperactivity disorder: a commentary on implications and opportunities’,</w:t>
      </w:r>
      <w:r w:rsidRPr="00F2205F">
        <w:rPr>
          <w:rFonts w:ascii="Arial" w:eastAsia="Times New Roman" w:hAnsi="Arial" w:cs="Arial"/>
          <w:color w:val="000000"/>
          <w:kern w:val="0"/>
          <w:lang w:eastAsia="en-GB"/>
          <w14:ligatures w14:val="none"/>
        </w:rPr>
        <w:t xml:space="preserve"> World Journal of Psychiatry, 13(5), pp. 138–143. </w:t>
      </w:r>
      <w:proofErr w:type="spellStart"/>
      <w:r w:rsidRPr="00F2205F">
        <w:rPr>
          <w:rFonts w:ascii="Arial" w:eastAsia="Times New Roman" w:hAnsi="Arial" w:cs="Arial"/>
          <w:color w:val="000000"/>
          <w:kern w:val="0"/>
          <w:lang w:eastAsia="en-GB"/>
          <w14:ligatures w14:val="none"/>
        </w:rPr>
        <w:t>doi</w:t>
      </w:r>
      <w:proofErr w:type="spellEnd"/>
      <w:r w:rsidRPr="00F2205F">
        <w:rPr>
          <w:rFonts w:ascii="Arial" w:eastAsia="Times New Roman" w:hAnsi="Arial" w:cs="Arial"/>
          <w:color w:val="000000"/>
          <w:kern w:val="0"/>
          <w:lang w:eastAsia="en-GB"/>
          <w14:ligatures w14:val="none"/>
        </w:rPr>
        <w:t>: 10.5498/</w:t>
      </w:r>
      <w:proofErr w:type="gramStart"/>
      <w:r w:rsidRPr="00F2205F">
        <w:rPr>
          <w:rFonts w:ascii="Arial" w:eastAsia="Times New Roman" w:hAnsi="Arial" w:cs="Arial"/>
          <w:color w:val="000000"/>
          <w:kern w:val="0"/>
          <w:lang w:eastAsia="en-GB"/>
          <w14:ligatures w14:val="none"/>
        </w:rPr>
        <w:t>wjp.v13.i</w:t>
      </w:r>
      <w:proofErr w:type="gramEnd"/>
      <w:r w:rsidRPr="00F2205F">
        <w:rPr>
          <w:rFonts w:ascii="Arial" w:eastAsia="Times New Roman" w:hAnsi="Arial" w:cs="Arial"/>
          <w:color w:val="000000"/>
          <w:kern w:val="0"/>
          <w:lang w:eastAsia="en-GB"/>
          <w14:ligatures w14:val="none"/>
        </w:rPr>
        <w:t>5.138.</w:t>
      </w:r>
    </w:p>
    <w:p w14:paraId="63456200"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p>
    <w:p w14:paraId="0BD03A82"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Greenway, C.W. and Rees Edwards, A. (2020) ‘</w:t>
      </w:r>
      <w:r w:rsidRPr="00C576C4">
        <w:rPr>
          <w:rFonts w:ascii="Arial" w:eastAsia="Times New Roman" w:hAnsi="Arial" w:cs="Arial"/>
          <w:i/>
          <w:iCs/>
          <w:color w:val="000000"/>
          <w:kern w:val="0"/>
          <w:lang w:eastAsia="en-GB"/>
          <w14:ligatures w14:val="none"/>
        </w:rPr>
        <w:t>Knowledge and attitudes towards attention-deficit hyperactivity disorder (ADHD): a comparison of teachers and teaching assistants’, Australian Journal of Learning Difficulties</w:t>
      </w:r>
      <w:r w:rsidRPr="00F2205F">
        <w:rPr>
          <w:rFonts w:ascii="Arial" w:eastAsia="Times New Roman" w:hAnsi="Arial" w:cs="Arial"/>
          <w:color w:val="000000"/>
          <w:kern w:val="0"/>
          <w:lang w:eastAsia="en-GB"/>
          <w14:ligatures w14:val="none"/>
        </w:rPr>
        <w:t xml:space="preserve">, 25(1), pp. 31–49. </w:t>
      </w:r>
      <w:proofErr w:type="spellStart"/>
      <w:r w:rsidRPr="00F2205F">
        <w:rPr>
          <w:rFonts w:ascii="Arial" w:eastAsia="Times New Roman" w:hAnsi="Arial" w:cs="Arial"/>
          <w:color w:val="000000"/>
          <w:kern w:val="0"/>
          <w:lang w:eastAsia="en-GB"/>
          <w14:ligatures w14:val="none"/>
        </w:rPr>
        <w:t>doi</w:t>
      </w:r>
      <w:proofErr w:type="spellEnd"/>
      <w:r w:rsidRPr="00F2205F">
        <w:rPr>
          <w:rFonts w:ascii="Arial" w:eastAsia="Times New Roman" w:hAnsi="Arial" w:cs="Arial"/>
          <w:color w:val="000000"/>
          <w:kern w:val="0"/>
          <w:lang w:eastAsia="en-GB"/>
          <w14:ligatures w14:val="none"/>
        </w:rPr>
        <w:t>: 10.1080/19404158.2019.1709875.</w:t>
      </w:r>
    </w:p>
    <w:p w14:paraId="200FCEB6"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p>
    <w:p w14:paraId="4E613F6E"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Greenway, C.W. and Rees Edwards, A. (2021) ‘</w:t>
      </w:r>
      <w:r w:rsidRPr="00C576C4">
        <w:rPr>
          <w:rFonts w:ascii="Arial" w:eastAsia="Times New Roman" w:hAnsi="Arial" w:cs="Arial"/>
          <w:i/>
          <w:iCs/>
          <w:color w:val="000000"/>
          <w:kern w:val="0"/>
          <w:lang w:eastAsia="en-GB"/>
          <w14:ligatures w14:val="none"/>
        </w:rPr>
        <w:t>Teaching assistants’ facilitators and barriers to effective practice working with children with ADHD: a qualitative study’, British Journal of Special Education,</w:t>
      </w:r>
      <w:r w:rsidRPr="00F2205F">
        <w:rPr>
          <w:rFonts w:ascii="Arial" w:eastAsia="Times New Roman" w:hAnsi="Arial" w:cs="Arial"/>
          <w:color w:val="000000"/>
          <w:kern w:val="0"/>
          <w:lang w:eastAsia="en-GB"/>
          <w14:ligatures w14:val="none"/>
        </w:rPr>
        <w:t xml:space="preserve"> 48(3), pp. 347–368. </w:t>
      </w:r>
      <w:proofErr w:type="spellStart"/>
      <w:r w:rsidRPr="00F2205F">
        <w:rPr>
          <w:rFonts w:ascii="Arial" w:eastAsia="Times New Roman" w:hAnsi="Arial" w:cs="Arial"/>
          <w:color w:val="000000"/>
          <w:kern w:val="0"/>
          <w:lang w:eastAsia="en-GB"/>
          <w14:ligatures w14:val="none"/>
        </w:rPr>
        <w:t>doi</w:t>
      </w:r>
      <w:proofErr w:type="spellEnd"/>
      <w:r w:rsidRPr="00F2205F">
        <w:rPr>
          <w:rFonts w:ascii="Arial" w:eastAsia="Times New Roman" w:hAnsi="Arial" w:cs="Arial"/>
          <w:color w:val="000000"/>
          <w:kern w:val="0"/>
          <w:lang w:eastAsia="en-GB"/>
          <w14:ligatures w14:val="none"/>
        </w:rPr>
        <w:t>: 10.1111/1467-8578.12377.</w:t>
      </w:r>
    </w:p>
    <w:p w14:paraId="72AA7A0A" w14:textId="77777777" w:rsidR="00EB78C6" w:rsidRPr="00517EE5" w:rsidRDefault="00EB78C6" w:rsidP="00EB78C6">
      <w:pPr>
        <w:spacing w:after="0" w:line="240" w:lineRule="auto"/>
        <w:rPr>
          <w:rFonts w:ascii="Arial" w:eastAsia="Times New Roman" w:hAnsi="Arial" w:cs="Arial"/>
          <w:color w:val="000000"/>
          <w:kern w:val="0"/>
          <w:lang w:eastAsia="en-GB"/>
          <w14:ligatures w14:val="none"/>
        </w:rPr>
      </w:pPr>
    </w:p>
    <w:p w14:paraId="1396B17E" w14:textId="7B3FC5BB" w:rsidR="00D266D1" w:rsidRDefault="00517EE5" w:rsidP="00D266D1">
      <w:pPr>
        <w:rPr>
          <w:rFonts w:ascii="Arial" w:hAnsi="Arial" w:cs="Arial"/>
          <w:color w:val="000000"/>
        </w:rPr>
      </w:pPr>
      <w:r w:rsidRPr="00517EE5">
        <w:rPr>
          <w:rFonts w:ascii="Arial" w:hAnsi="Arial" w:cs="Arial"/>
          <w:color w:val="000000"/>
        </w:rPr>
        <w:t xml:space="preserve">Hardy, G. (2024) </w:t>
      </w:r>
      <w:r w:rsidRPr="00517EE5">
        <w:rPr>
          <w:rFonts w:ascii="Arial" w:hAnsi="Arial" w:cs="Arial"/>
          <w:i/>
          <w:iCs/>
          <w:color w:val="000000"/>
        </w:rPr>
        <w:t>‘The growing demand for ADHD and autism assessments in Wales’</w:t>
      </w:r>
      <w:r w:rsidRPr="00517EE5">
        <w:rPr>
          <w:rFonts w:ascii="Arial" w:hAnsi="Arial" w:cs="Arial"/>
          <w:color w:val="000000"/>
        </w:rPr>
        <w:t>,</w:t>
      </w:r>
      <w:r w:rsidRPr="00517EE5">
        <w:rPr>
          <w:rStyle w:val="apple-converted-space"/>
          <w:rFonts w:ascii="Arial" w:hAnsi="Arial" w:cs="Arial"/>
          <w:color w:val="000000"/>
        </w:rPr>
        <w:t> </w:t>
      </w:r>
      <w:r w:rsidRPr="00517EE5">
        <w:rPr>
          <w:rFonts w:ascii="Arial" w:hAnsi="Arial" w:cs="Arial"/>
          <w:i/>
          <w:iCs/>
          <w:color w:val="000000"/>
        </w:rPr>
        <w:t>Senedd Research</w:t>
      </w:r>
      <w:r w:rsidRPr="00517EE5">
        <w:rPr>
          <w:rFonts w:ascii="Arial" w:hAnsi="Arial" w:cs="Arial"/>
          <w:color w:val="000000"/>
        </w:rPr>
        <w:t>, 7 November. Available at:</w:t>
      </w:r>
      <w:r w:rsidRPr="00517EE5">
        <w:rPr>
          <w:rStyle w:val="apple-converted-space"/>
          <w:rFonts w:ascii="Arial" w:hAnsi="Arial" w:cs="Arial"/>
          <w:color w:val="000000"/>
        </w:rPr>
        <w:t> </w:t>
      </w:r>
      <w:hyperlink r:id="rId8" w:history="1">
        <w:r w:rsidRPr="00517EE5">
          <w:rPr>
            <w:rStyle w:val="Hyperlink"/>
            <w:rFonts w:ascii="Arial" w:hAnsi="Arial" w:cs="Arial"/>
          </w:rPr>
          <w:t>https://research.senedd.wales/research-articles/the-growing-de</w:t>
        </w:r>
        <w:r w:rsidRPr="00517EE5">
          <w:rPr>
            <w:rStyle w:val="Hyperlink"/>
            <w:rFonts w:ascii="Arial" w:hAnsi="Arial" w:cs="Arial"/>
          </w:rPr>
          <w:t>m</w:t>
        </w:r>
        <w:r w:rsidRPr="00517EE5">
          <w:rPr>
            <w:rStyle w:val="Hyperlink"/>
            <w:rFonts w:ascii="Arial" w:hAnsi="Arial" w:cs="Arial"/>
          </w:rPr>
          <w:t>and-for-adhd-</w:t>
        </w:r>
        <w:r w:rsidRPr="00517EE5">
          <w:rPr>
            <w:rStyle w:val="Hyperlink"/>
            <w:rFonts w:ascii="Arial" w:hAnsi="Arial" w:cs="Arial"/>
          </w:rPr>
          <w:t>a</w:t>
        </w:r>
        <w:r w:rsidRPr="00517EE5">
          <w:rPr>
            <w:rStyle w:val="Hyperlink"/>
            <w:rFonts w:ascii="Arial" w:hAnsi="Arial" w:cs="Arial"/>
          </w:rPr>
          <w:t>nd-autism-assessments-in-wales/</w:t>
        </w:r>
      </w:hyperlink>
      <w:r w:rsidR="00C52339">
        <w:rPr>
          <w:rFonts w:ascii="Arial" w:hAnsi="Arial" w:cs="Arial"/>
          <w:color w:val="000000"/>
        </w:rPr>
        <w:t xml:space="preserve"> </w:t>
      </w:r>
      <w:r w:rsidRPr="00517EE5">
        <w:rPr>
          <w:rFonts w:ascii="Arial" w:hAnsi="Arial" w:cs="Arial"/>
          <w:color w:val="000000"/>
        </w:rPr>
        <w:t>(Accessed on 27 July 2026).</w:t>
      </w:r>
    </w:p>
    <w:p w14:paraId="4D61D502" w14:textId="77777777" w:rsidR="002179EE" w:rsidRPr="002179EE" w:rsidRDefault="002179EE" w:rsidP="002179EE">
      <w:pPr>
        <w:spacing w:after="0" w:line="240" w:lineRule="auto"/>
        <w:rPr>
          <w:rFonts w:ascii="Arial" w:eastAsia="Times New Roman" w:hAnsi="Arial" w:cs="Arial"/>
          <w:color w:val="000000"/>
          <w:kern w:val="0"/>
          <w:lang w:eastAsia="en-GB"/>
          <w14:ligatures w14:val="none"/>
        </w:rPr>
      </w:pPr>
      <w:r w:rsidRPr="002179EE">
        <w:rPr>
          <w:rFonts w:ascii="Arial" w:eastAsia="Times New Roman" w:hAnsi="Arial" w:cs="Arial"/>
          <w:color w:val="000000"/>
          <w:kern w:val="0"/>
          <w:lang w:eastAsia="en-GB"/>
          <w14:ligatures w14:val="none"/>
        </w:rPr>
        <w:lastRenderedPageBreak/>
        <w:t>Kazda, L., Bell, K., Thomas, R., McGeechan, K., Sims, R. and Barratt, A. (2021) ‘</w:t>
      </w:r>
      <w:r w:rsidRPr="002179EE">
        <w:rPr>
          <w:rFonts w:ascii="Arial" w:eastAsia="Times New Roman" w:hAnsi="Arial" w:cs="Arial"/>
          <w:i/>
          <w:iCs/>
          <w:color w:val="000000"/>
          <w:kern w:val="0"/>
          <w:lang w:eastAsia="en-GB"/>
          <w14:ligatures w14:val="none"/>
        </w:rPr>
        <w:t>Overdiagnosis of attention-deficit/hyperactivity disorder in children and adolescents: a systematic scoping review’</w:t>
      </w:r>
      <w:r w:rsidRPr="002179EE">
        <w:rPr>
          <w:rFonts w:ascii="Arial" w:eastAsia="Times New Roman" w:hAnsi="Arial" w:cs="Arial"/>
          <w:color w:val="000000"/>
          <w:kern w:val="0"/>
          <w:lang w:eastAsia="en-GB"/>
          <w14:ligatures w14:val="none"/>
        </w:rPr>
        <w:t>, </w:t>
      </w:r>
      <w:r w:rsidRPr="002179EE">
        <w:rPr>
          <w:rFonts w:ascii="Arial" w:eastAsia="Times New Roman" w:hAnsi="Arial" w:cs="Arial"/>
          <w:i/>
          <w:iCs/>
          <w:color w:val="000000"/>
          <w:kern w:val="0"/>
          <w:lang w:eastAsia="en-GB"/>
          <w14:ligatures w14:val="none"/>
        </w:rPr>
        <w:t>JAMA Network Open</w:t>
      </w:r>
      <w:r w:rsidRPr="002179EE">
        <w:rPr>
          <w:rFonts w:ascii="Arial" w:eastAsia="Times New Roman" w:hAnsi="Arial" w:cs="Arial"/>
          <w:color w:val="000000"/>
          <w:kern w:val="0"/>
          <w:lang w:eastAsia="en-GB"/>
          <w14:ligatures w14:val="none"/>
        </w:rPr>
        <w:t xml:space="preserve">, 4(4), e215335. </w:t>
      </w:r>
      <w:proofErr w:type="spellStart"/>
      <w:r w:rsidRPr="002179EE">
        <w:rPr>
          <w:rFonts w:ascii="Arial" w:eastAsia="Times New Roman" w:hAnsi="Arial" w:cs="Arial"/>
          <w:color w:val="000000"/>
          <w:kern w:val="0"/>
          <w:lang w:eastAsia="en-GB"/>
          <w14:ligatures w14:val="none"/>
        </w:rPr>
        <w:t>doi</w:t>
      </w:r>
      <w:proofErr w:type="spellEnd"/>
      <w:r w:rsidRPr="002179EE">
        <w:rPr>
          <w:rFonts w:ascii="Arial" w:eastAsia="Times New Roman" w:hAnsi="Arial" w:cs="Arial"/>
          <w:color w:val="000000"/>
          <w:kern w:val="0"/>
          <w:lang w:eastAsia="en-GB"/>
          <w14:ligatures w14:val="none"/>
        </w:rPr>
        <w:t>: 10.1001/jamanetworkopen.2021.5335.</w:t>
      </w:r>
    </w:p>
    <w:p w14:paraId="4E2CDB63" w14:textId="77777777" w:rsidR="002179EE" w:rsidRDefault="002179EE" w:rsidP="00EB78C6">
      <w:pPr>
        <w:spacing w:after="0" w:line="240" w:lineRule="auto"/>
        <w:rPr>
          <w:rFonts w:ascii="Arial" w:hAnsi="Arial" w:cs="Arial"/>
          <w:color w:val="000000"/>
        </w:rPr>
      </w:pPr>
    </w:p>
    <w:p w14:paraId="03CB2D44" w14:textId="153FDDCE" w:rsidR="00EB78C6" w:rsidRPr="00F2205F" w:rsidRDefault="00EB78C6" w:rsidP="00EB78C6">
      <w:pPr>
        <w:spacing w:after="0" w:line="240" w:lineRule="auto"/>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Man, K.K.C. et al. (2023) ‘</w:t>
      </w:r>
      <w:r w:rsidRPr="00C576C4">
        <w:rPr>
          <w:rFonts w:ascii="Arial" w:eastAsia="Times New Roman" w:hAnsi="Arial" w:cs="Arial"/>
          <w:i/>
          <w:iCs/>
          <w:color w:val="000000"/>
          <w:kern w:val="0"/>
          <w:lang w:eastAsia="en-GB"/>
          <w14:ligatures w14:val="none"/>
        </w:rPr>
        <w:t>Long-term safety of methylphenidate in children and adolescents with ADHD: 2-year outcomes of the Attention Deficit Hyperactivity Disorder Drugs Use Chronic Effects</w:t>
      </w:r>
      <w:r w:rsidRPr="00F2205F">
        <w:rPr>
          <w:rFonts w:ascii="Arial" w:eastAsia="Times New Roman" w:hAnsi="Arial" w:cs="Arial"/>
          <w:color w:val="000000"/>
          <w:kern w:val="0"/>
          <w:lang w:eastAsia="en-GB"/>
          <w14:ligatures w14:val="none"/>
        </w:rPr>
        <w:t xml:space="preserve"> (ADDUCE) study’, The Lancet Psychiatry, 10(5), pp. 323–333. </w:t>
      </w:r>
      <w:proofErr w:type="spellStart"/>
      <w:r w:rsidRPr="00F2205F">
        <w:rPr>
          <w:rFonts w:ascii="Arial" w:eastAsia="Times New Roman" w:hAnsi="Arial" w:cs="Arial"/>
          <w:color w:val="000000"/>
          <w:kern w:val="0"/>
          <w:lang w:eastAsia="en-GB"/>
          <w14:ligatures w14:val="none"/>
        </w:rPr>
        <w:t>doi</w:t>
      </w:r>
      <w:proofErr w:type="spellEnd"/>
      <w:r w:rsidRPr="00F2205F">
        <w:rPr>
          <w:rFonts w:ascii="Arial" w:eastAsia="Times New Roman" w:hAnsi="Arial" w:cs="Arial"/>
          <w:color w:val="000000"/>
          <w:kern w:val="0"/>
          <w:lang w:eastAsia="en-GB"/>
          <w14:ligatures w14:val="none"/>
        </w:rPr>
        <w:t>: 10.1016/S2215-0366(23)00042-1.</w:t>
      </w:r>
    </w:p>
    <w:p w14:paraId="012845A1"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p>
    <w:p w14:paraId="24943610"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Martin, J. et al. (2024) ‘</w:t>
      </w:r>
      <w:r w:rsidRPr="00C576C4">
        <w:rPr>
          <w:rFonts w:ascii="Arial" w:eastAsia="Times New Roman" w:hAnsi="Arial" w:cs="Arial"/>
          <w:i/>
          <w:iCs/>
          <w:color w:val="000000"/>
          <w:kern w:val="0"/>
          <w:lang w:eastAsia="en-GB"/>
          <w14:ligatures w14:val="none"/>
        </w:rPr>
        <w:t>Sex differences in attention-deficit hyperactivity disorder diagnosis and clinical care: a national study of population healthcare records in Wales’, Journal of Child Psychology and Psychiatry</w:t>
      </w:r>
      <w:r w:rsidRPr="00F2205F">
        <w:rPr>
          <w:rFonts w:ascii="Arial" w:eastAsia="Times New Roman" w:hAnsi="Arial" w:cs="Arial"/>
          <w:color w:val="000000"/>
          <w:kern w:val="0"/>
          <w:lang w:eastAsia="en-GB"/>
          <w14:ligatures w14:val="none"/>
        </w:rPr>
        <w:t xml:space="preserve">, 65(12), pp. 1648–1658. </w:t>
      </w:r>
      <w:proofErr w:type="spellStart"/>
      <w:r w:rsidRPr="00F2205F">
        <w:rPr>
          <w:rFonts w:ascii="Arial" w:eastAsia="Times New Roman" w:hAnsi="Arial" w:cs="Arial"/>
          <w:color w:val="000000"/>
          <w:kern w:val="0"/>
          <w:lang w:eastAsia="en-GB"/>
          <w14:ligatures w14:val="none"/>
        </w:rPr>
        <w:t>doi</w:t>
      </w:r>
      <w:proofErr w:type="spellEnd"/>
      <w:r w:rsidRPr="00F2205F">
        <w:rPr>
          <w:rFonts w:ascii="Arial" w:eastAsia="Times New Roman" w:hAnsi="Arial" w:cs="Arial"/>
          <w:color w:val="000000"/>
          <w:kern w:val="0"/>
          <w:lang w:eastAsia="en-GB"/>
          <w14:ligatures w14:val="none"/>
        </w:rPr>
        <w:t>: 10.1111/jcpp.13987.</w:t>
      </w:r>
    </w:p>
    <w:p w14:paraId="0E4B3FB5" w14:textId="77777777" w:rsidR="00EB78C6" w:rsidRDefault="00EB78C6" w:rsidP="00EB78C6">
      <w:pPr>
        <w:spacing w:after="0" w:line="240" w:lineRule="auto"/>
        <w:rPr>
          <w:rFonts w:ascii="Arial" w:eastAsia="Times New Roman" w:hAnsi="Arial" w:cs="Arial"/>
          <w:color w:val="000000"/>
          <w:kern w:val="0"/>
          <w:lang w:eastAsia="en-GB"/>
          <w14:ligatures w14:val="none"/>
        </w:rPr>
      </w:pPr>
    </w:p>
    <w:p w14:paraId="7B347D38" w14:textId="77777777" w:rsidR="002179EE" w:rsidRPr="002179EE" w:rsidRDefault="002179EE" w:rsidP="002179EE">
      <w:pPr>
        <w:spacing w:after="0" w:line="240" w:lineRule="auto"/>
        <w:rPr>
          <w:rFonts w:ascii="Arial" w:eastAsia="Times New Roman" w:hAnsi="Arial" w:cs="Arial"/>
          <w:color w:val="000000"/>
          <w:kern w:val="0"/>
          <w:lang w:eastAsia="en-GB"/>
          <w14:ligatures w14:val="none"/>
        </w:rPr>
      </w:pPr>
      <w:r w:rsidRPr="002179EE">
        <w:rPr>
          <w:rFonts w:ascii="Arial" w:eastAsia="Times New Roman" w:hAnsi="Arial" w:cs="Arial"/>
          <w:color w:val="000000"/>
          <w:kern w:val="0"/>
          <w:lang w:eastAsia="en-GB"/>
          <w14:ligatures w14:val="none"/>
        </w:rPr>
        <w:t>Michelini, G. et al. (2024) ‘</w:t>
      </w:r>
      <w:r w:rsidRPr="002179EE">
        <w:rPr>
          <w:rFonts w:ascii="Arial" w:eastAsia="Times New Roman" w:hAnsi="Arial" w:cs="Arial"/>
          <w:i/>
          <w:iCs/>
          <w:color w:val="000000"/>
          <w:kern w:val="0"/>
          <w:lang w:eastAsia="en-GB"/>
          <w14:ligatures w14:val="none"/>
        </w:rPr>
        <w:t>Where do neurodevelopmental conditions fit in transdiagnostic psychiatric frameworks? Incorporating a new neurodevelopmental spectrum’</w:t>
      </w:r>
      <w:r w:rsidRPr="002179EE">
        <w:rPr>
          <w:rFonts w:ascii="Arial" w:eastAsia="Times New Roman" w:hAnsi="Arial" w:cs="Arial"/>
          <w:color w:val="000000"/>
          <w:kern w:val="0"/>
          <w:lang w:eastAsia="en-GB"/>
          <w14:ligatures w14:val="none"/>
        </w:rPr>
        <w:t>, </w:t>
      </w:r>
      <w:r w:rsidRPr="002179EE">
        <w:rPr>
          <w:rFonts w:ascii="Arial" w:eastAsia="Times New Roman" w:hAnsi="Arial" w:cs="Arial"/>
          <w:i/>
          <w:iCs/>
          <w:color w:val="000000"/>
          <w:kern w:val="0"/>
          <w:lang w:eastAsia="en-GB"/>
          <w14:ligatures w14:val="none"/>
        </w:rPr>
        <w:t>World Psychiatry</w:t>
      </w:r>
      <w:r w:rsidRPr="002179EE">
        <w:rPr>
          <w:rFonts w:ascii="Arial" w:eastAsia="Times New Roman" w:hAnsi="Arial" w:cs="Arial"/>
          <w:color w:val="000000"/>
          <w:kern w:val="0"/>
          <w:lang w:eastAsia="en-GB"/>
          <w14:ligatures w14:val="none"/>
        </w:rPr>
        <w:t xml:space="preserve">, 23(3), pp. 333–357. </w:t>
      </w:r>
      <w:proofErr w:type="spellStart"/>
      <w:r w:rsidRPr="002179EE">
        <w:rPr>
          <w:rFonts w:ascii="Arial" w:eastAsia="Times New Roman" w:hAnsi="Arial" w:cs="Arial"/>
          <w:color w:val="000000"/>
          <w:kern w:val="0"/>
          <w:lang w:eastAsia="en-GB"/>
          <w14:ligatures w14:val="none"/>
        </w:rPr>
        <w:t>doi</w:t>
      </w:r>
      <w:proofErr w:type="spellEnd"/>
      <w:r w:rsidRPr="002179EE">
        <w:rPr>
          <w:rFonts w:ascii="Arial" w:eastAsia="Times New Roman" w:hAnsi="Arial" w:cs="Arial"/>
          <w:color w:val="000000"/>
          <w:kern w:val="0"/>
          <w:lang w:eastAsia="en-GB"/>
          <w14:ligatures w14:val="none"/>
        </w:rPr>
        <w:t>: 10.1002/wps.21225.</w:t>
      </w:r>
    </w:p>
    <w:p w14:paraId="02663F1C" w14:textId="77777777" w:rsidR="002179EE" w:rsidRDefault="002179EE" w:rsidP="00EB78C6">
      <w:pPr>
        <w:spacing w:after="0" w:line="240" w:lineRule="auto"/>
        <w:rPr>
          <w:rFonts w:ascii="Arial" w:eastAsia="Times New Roman" w:hAnsi="Arial" w:cs="Arial"/>
          <w:color w:val="000000"/>
          <w:kern w:val="0"/>
          <w:lang w:eastAsia="en-GB"/>
          <w14:ligatures w14:val="none"/>
        </w:rPr>
      </w:pPr>
    </w:p>
    <w:p w14:paraId="64EACBAB" w14:textId="2ACB50C7" w:rsidR="00EB78C6" w:rsidRPr="00F2205F" w:rsidRDefault="00EB78C6" w:rsidP="00EB78C6">
      <w:pPr>
        <w:spacing w:after="0" w:line="240" w:lineRule="auto"/>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National Institute for Health and Care Excellence (NICE) (2018) </w:t>
      </w:r>
      <w:r w:rsidRPr="00C576C4">
        <w:rPr>
          <w:rFonts w:ascii="Arial" w:eastAsia="Times New Roman" w:hAnsi="Arial" w:cs="Arial"/>
          <w:i/>
          <w:iCs/>
          <w:color w:val="000000"/>
          <w:kern w:val="0"/>
          <w:lang w:eastAsia="en-GB"/>
          <w14:ligatures w14:val="none"/>
        </w:rPr>
        <w:t>attention deficit hyperactivity disorder</w:t>
      </w:r>
      <w:r w:rsidRPr="00C576C4">
        <w:rPr>
          <w:rFonts w:ascii="Arial" w:eastAsia="Times New Roman" w:hAnsi="Arial" w:cs="Arial"/>
          <w:i/>
          <w:iCs/>
          <w:color w:val="000000"/>
          <w:kern w:val="0"/>
          <w:lang w:eastAsia="en-GB"/>
          <w14:ligatures w14:val="none"/>
        </w:rPr>
        <w:t>: diagnosis and management. NICE guideline NG</w:t>
      </w:r>
      <w:r w:rsidRPr="00F2205F">
        <w:rPr>
          <w:rFonts w:ascii="Arial" w:eastAsia="Times New Roman" w:hAnsi="Arial" w:cs="Arial"/>
          <w:color w:val="000000"/>
          <w:kern w:val="0"/>
          <w:lang w:eastAsia="en-GB"/>
          <w14:ligatures w14:val="none"/>
        </w:rPr>
        <w:t>87. Updated 13 September 2019. Available at: https://www.nice.org.uk/guidance/ng87 (Accessed: 1 August 2026).</w:t>
      </w:r>
    </w:p>
    <w:p w14:paraId="32C67648"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p>
    <w:p w14:paraId="1E944061" w14:textId="30409CA7" w:rsidR="00EB78C6" w:rsidRPr="00F2205F" w:rsidRDefault="00EB78C6" w:rsidP="00EB78C6">
      <w:pPr>
        <w:spacing w:after="0" w:line="240" w:lineRule="auto"/>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Ostinelli, E.G. et al. (2025) ‘</w:t>
      </w:r>
      <w:r w:rsidRPr="00C576C4">
        <w:rPr>
          <w:rFonts w:ascii="Arial" w:eastAsia="Times New Roman" w:hAnsi="Arial" w:cs="Arial"/>
          <w:i/>
          <w:iCs/>
          <w:color w:val="000000"/>
          <w:kern w:val="0"/>
          <w:lang w:eastAsia="en-GB"/>
          <w14:ligatures w14:val="none"/>
        </w:rPr>
        <w:t xml:space="preserve">Comparative efficacy and acceptability of pharmacological, psychological, and </w:t>
      </w:r>
      <w:r w:rsidRPr="00C576C4">
        <w:rPr>
          <w:rFonts w:ascii="Arial" w:eastAsia="Times New Roman" w:hAnsi="Arial" w:cs="Arial"/>
          <w:i/>
          <w:iCs/>
          <w:color w:val="000000"/>
          <w:kern w:val="0"/>
          <w:lang w:eastAsia="en-GB"/>
          <w14:ligatures w14:val="none"/>
        </w:rPr>
        <w:t>neurostimulator</w:t>
      </w:r>
      <w:r w:rsidRPr="00C576C4">
        <w:rPr>
          <w:rFonts w:ascii="Arial" w:eastAsia="Times New Roman" w:hAnsi="Arial" w:cs="Arial"/>
          <w:i/>
          <w:iCs/>
          <w:color w:val="000000"/>
          <w:kern w:val="0"/>
          <w:lang w:eastAsia="en-GB"/>
          <w14:ligatures w14:val="none"/>
        </w:rPr>
        <w:t xml:space="preserve"> interventions for ADHD in adults: a systematic review and component network meta-analysis’,</w:t>
      </w:r>
      <w:r w:rsidRPr="00F2205F">
        <w:rPr>
          <w:rFonts w:ascii="Arial" w:eastAsia="Times New Roman" w:hAnsi="Arial" w:cs="Arial"/>
          <w:color w:val="000000"/>
          <w:kern w:val="0"/>
          <w:lang w:eastAsia="en-GB"/>
          <w14:ligatures w14:val="none"/>
        </w:rPr>
        <w:t xml:space="preserve"> The Lancet Psychiatry, 12(1), pp. 32–43. </w:t>
      </w:r>
      <w:proofErr w:type="spellStart"/>
      <w:r w:rsidRPr="00F2205F">
        <w:rPr>
          <w:rFonts w:ascii="Arial" w:eastAsia="Times New Roman" w:hAnsi="Arial" w:cs="Arial"/>
          <w:color w:val="000000"/>
          <w:kern w:val="0"/>
          <w:lang w:eastAsia="en-GB"/>
          <w14:ligatures w14:val="none"/>
        </w:rPr>
        <w:t>doi</w:t>
      </w:r>
      <w:proofErr w:type="spellEnd"/>
      <w:r w:rsidRPr="00F2205F">
        <w:rPr>
          <w:rFonts w:ascii="Arial" w:eastAsia="Times New Roman" w:hAnsi="Arial" w:cs="Arial"/>
          <w:color w:val="000000"/>
          <w:kern w:val="0"/>
          <w:lang w:eastAsia="en-GB"/>
          <w14:ligatures w14:val="none"/>
        </w:rPr>
        <w:t>: 10.1016/S2215-0366(24)00360-2.</w:t>
      </w:r>
    </w:p>
    <w:p w14:paraId="38769A3D" w14:textId="6CBD9CAC" w:rsidR="00EB78C6" w:rsidRPr="00F2205F" w:rsidRDefault="00EB78C6" w:rsidP="00EB78C6">
      <w:pPr>
        <w:spacing w:after="0" w:line="240" w:lineRule="auto"/>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Senedd Research (2024) The growing demand for ADHD and autism assessments in Wales. Available at: </w:t>
      </w:r>
      <w:hyperlink r:id="rId9" w:history="1">
        <w:r w:rsidRPr="00F2205F">
          <w:rPr>
            <w:rStyle w:val="Hyperlink"/>
            <w:rFonts w:ascii="Arial" w:eastAsia="Times New Roman" w:hAnsi="Arial" w:cs="Arial"/>
            <w:kern w:val="0"/>
            <w:lang w:eastAsia="en-GB"/>
            <w14:ligatures w14:val="none"/>
          </w:rPr>
          <w:t>https://research.senedd.wales/research-articles/the-growing-demand-for-adhd-and-autism-assessments-in-</w:t>
        </w:r>
        <w:r w:rsidRPr="00F2205F">
          <w:rPr>
            <w:rStyle w:val="Hyperlink"/>
            <w:rFonts w:ascii="Arial" w:eastAsia="Times New Roman" w:hAnsi="Arial" w:cs="Arial"/>
            <w:kern w:val="0"/>
            <w:lang w:eastAsia="en-GB"/>
            <w14:ligatures w14:val="none"/>
          </w:rPr>
          <w:t>w</w:t>
        </w:r>
        <w:r w:rsidRPr="00F2205F">
          <w:rPr>
            <w:rStyle w:val="Hyperlink"/>
            <w:rFonts w:ascii="Arial" w:eastAsia="Times New Roman" w:hAnsi="Arial" w:cs="Arial"/>
            <w:kern w:val="0"/>
            <w:lang w:eastAsia="en-GB"/>
            <w14:ligatures w14:val="none"/>
          </w:rPr>
          <w:t>ales/</w:t>
        </w:r>
      </w:hyperlink>
      <w:r w:rsidRPr="00F2205F">
        <w:rPr>
          <w:rFonts w:ascii="Arial" w:eastAsia="Times New Roman" w:hAnsi="Arial" w:cs="Arial"/>
          <w:color w:val="000000"/>
          <w:kern w:val="0"/>
          <w:lang w:eastAsia="en-GB"/>
          <w14:ligatures w14:val="none"/>
        </w:rPr>
        <w:t xml:space="preserve"> (Accessed</w:t>
      </w:r>
      <w:r w:rsidRPr="00F2205F">
        <w:rPr>
          <w:rFonts w:ascii="Arial" w:eastAsia="Times New Roman" w:hAnsi="Arial" w:cs="Arial"/>
          <w:color w:val="000000"/>
          <w:kern w:val="0"/>
          <w:lang w:eastAsia="en-GB"/>
          <w14:ligatures w14:val="none"/>
        </w:rPr>
        <w:t xml:space="preserve"> on </w:t>
      </w:r>
      <w:r w:rsidR="006A694B" w:rsidRPr="00F2205F">
        <w:rPr>
          <w:rFonts w:ascii="Arial" w:eastAsia="Times New Roman" w:hAnsi="Arial" w:cs="Arial"/>
          <w:color w:val="000000"/>
          <w:kern w:val="0"/>
          <w:lang w:eastAsia="en-GB"/>
          <w14:ligatures w14:val="none"/>
        </w:rPr>
        <w:t xml:space="preserve">20 July </w:t>
      </w:r>
      <w:r w:rsidRPr="00F2205F">
        <w:rPr>
          <w:rFonts w:ascii="Arial" w:eastAsia="Times New Roman" w:hAnsi="Arial" w:cs="Arial"/>
          <w:color w:val="000000"/>
          <w:kern w:val="0"/>
          <w:lang w:eastAsia="en-GB"/>
          <w14:ligatures w14:val="none"/>
        </w:rPr>
        <w:t>2026).</w:t>
      </w:r>
    </w:p>
    <w:p w14:paraId="6316D7DB"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p>
    <w:p w14:paraId="3907D733"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proofErr w:type="spellStart"/>
      <w:r w:rsidRPr="00F2205F">
        <w:rPr>
          <w:rFonts w:ascii="Arial" w:eastAsia="Times New Roman" w:hAnsi="Arial" w:cs="Arial"/>
          <w:color w:val="000000"/>
          <w:kern w:val="0"/>
          <w:lang w:eastAsia="en-GB"/>
          <w14:ligatures w14:val="none"/>
        </w:rPr>
        <w:t>Sonuga</w:t>
      </w:r>
      <w:proofErr w:type="spellEnd"/>
      <w:r w:rsidRPr="00F2205F">
        <w:rPr>
          <w:rFonts w:ascii="Arial" w:eastAsia="Times New Roman" w:hAnsi="Arial" w:cs="Arial"/>
          <w:color w:val="000000"/>
          <w:kern w:val="0"/>
          <w:lang w:eastAsia="en-GB"/>
          <w14:ligatures w14:val="none"/>
        </w:rPr>
        <w:t>-Barke, E.J.S. and Thapar, A. (2021) ‘</w:t>
      </w:r>
      <w:r w:rsidRPr="00C576C4">
        <w:rPr>
          <w:rFonts w:ascii="Arial" w:eastAsia="Times New Roman" w:hAnsi="Arial" w:cs="Arial"/>
          <w:i/>
          <w:iCs/>
          <w:color w:val="000000"/>
          <w:kern w:val="0"/>
          <w:lang w:eastAsia="en-GB"/>
          <w14:ligatures w14:val="none"/>
        </w:rPr>
        <w:t>The neurodiversity concept: is it helpful for clinicians and scientists?</w:t>
      </w:r>
      <w:r w:rsidRPr="00F2205F">
        <w:rPr>
          <w:rFonts w:ascii="Arial" w:eastAsia="Times New Roman" w:hAnsi="Arial" w:cs="Arial"/>
          <w:color w:val="000000"/>
          <w:kern w:val="0"/>
          <w:lang w:eastAsia="en-GB"/>
          <w14:ligatures w14:val="none"/>
        </w:rPr>
        <w:t xml:space="preserve">’, The Lancet Psychiatry, 8(7), pp. 559–561. </w:t>
      </w:r>
      <w:proofErr w:type="spellStart"/>
      <w:r w:rsidRPr="00F2205F">
        <w:rPr>
          <w:rFonts w:ascii="Arial" w:eastAsia="Times New Roman" w:hAnsi="Arial" w:cs="Arial"/>
          <w:color w:val="000000"/>
          <w:kern w:val="0"/>
          <w:lang w:eastAsia="en-GB"/>
          <w14:ligatures w14:val="none"/>
        </w:rPr>
        <w:t>doi</w:t>
      </w:r>
      <w:proofErr w:type="spellEnd"/>
      <w:r w:rsidRPr="00F2205F">
        <w:rPr>
          <w:rFonts w:ascii="Arial" w:eastAsia="Times New Roman" w:hAnsi="Arial" w:cs="Arial"/>
          <w:color w:val="000000"/>
          <w:kern w:val="0"/>
          <w:lang w:eastAsia="en-GB"/>
          <w14:ligatures w14:val="none"/>
        </w:rPr>
        <w:t>: 10.1016/S2215-0366(21)00167-X.</w:t>
      </w:r>
    </w:p>
    <w:p w14:paraId="5970A9AC" w14:textId="77777777" w:rsidR="00EB78C6" w:rsidRPr="00F2205F" w:rsidRDefault="00EB78C6" w:rsidP="00EB78C6">
      <w:pPr>
        <w:spacing w:after="0" w:line="240" w:lineRule="auto"/>
        <w:rPr>
          <w:rFonts w:ascii="Arial" w:eastAsia="Times New Roman" w:hAnsi="Arial" w:cs="Arial"/>
          <w:color w:val="000000"/>
          <w:kern w:val="0"/>
          <w:lang w:eastAsia="en-GB"/>
          <w14:ligatures w14:val="none"/>
        </w:rPr>
      </w:pPr>
    </w:p>
    <w:p w14:paraId="7CD78C7A" w14:textId="05F67BD0" w:rsidR="00EB78C6" w:rsidRDefault="00EB78C6" w:rsidP="00EB78C6">
      <w:pPr>
        <w:spacing w:after="0" w:line="240" w:lineRule="auto"/>
        <w:rPr>
          <w:rFonts w:ascii="Arial" w:eastAsia="Times New Roman" w:hAnsi="Arial" w:cs="Arial"/>
          <w:color w:val="000000"/>
          <w:kern w:val="0"/>
          <w:lang w:eastAsia="en-GB"/>
          <w14:ligatures w14:val="none"/>
        </w:rPr>
      </w:pPr>
      <w:r w:rsidRPr="00F2205F">
        <w:rPr>
          <w:rFonts w:ascii="Arial" w:eastAsia="Times New Roman" w:hAnsi="Arial" w:cs="Arial"/>
          <w:color w:val="000000"/>
          <w:kern w:val="0"/>
          <w:lang w:eastAsia="en-GB"/>
          <w14:ligatures w14:val="none"/>
        </w:rPr>
        <w:t xml:space="preserve">World Health Organisation (WHO) (2024) </w:t>
      </w:r>
      <w:r w:rsidRPr="00C576C4">
        <w:rPr>
          <w:rFonts w:ascii="Arial" w:eastAsia="Times New Roman" w:hAnsi="Arial" w:cs="Arial"/>
          <w:i/>
          <w:iCs/>
          <w:color w:val="000000"/>
          <w:kern w:val="0"/>
          <w:lang w:eastAsia="en-GB"/>
          <w14:ligatures w14:val="none"/>
        </w:rPr>
        <w:t xml:space="preserve">Clinical descriptions and diagnostic requirements for ICD-11 mental, behavioural and neurodevelopmental disorders. Geneva: World Health Organisation. </w:t>
      </w:r>
      <w:r w:rsidRPr="00F2205F">
        <w:rPr>
          <w:rFonts w:ascii="Arial" w:eastAsia="Times New Roman" w:hAnsi="Arial" w:cs="Arial"/>
          <w:color w:val="000000"/>
          <w:kern w:val="0"/>
          <w:lang w:eastAsia="en-GB"/>
          <w14:ligatures w14:val="none"/>
        </w:rPr>
        <w:t xml:space="preserve">Available at: </w:t>
      </w:r>
      <w:hyperlink r:id="rId10" w:history="1">
        <w:r w:rsidR="006A694B" w:rsidRPr="00F2205F">
          <w:rPr>
            <w:rStyle w:val="Hyperlink"/>
            <w:rFonts w:ascii="Arial" w:eastAsia="Times New Roman" w:hAnsi="Arial" w:cs="Arial"/>
            <w:kern w:val="0"/>
            <w:lang w:eastAsia="en-GB"/>
            <w14:ligatures w14:val="none"/>
          </w:rPr>
          <w:t>https://www.who.int/pub</w:t>
        </w:r>
        <w:r w:rsidR="006A694B" w:rsidRPr="00F2205F">
          <w:rPr>
            <w:rStyle w:val="Hyperlink"/>
            <w:rFonts w:ascii="Arial" w:eastAsia="Times New Roman" w:hAnsi="Arial" w:cs="Arial"/>
            <w:kern w:val="0"/>
            <w:lang w:eastAsia="en-GB"/>
            <w14:ligatures w14:val="none"/>
          </w:rPr>
          <w:t>l</w:t>
        </w:r>
        <w:r w:rsidR="006A694B" w:rsidRPr="00F2205F">
          <w:rPr>
            <w:rStyle w:val="Hyperlink"/>
            <w:rFonts w:ascii="Arial" w:eastAsia="Times New Roman" w:hAnsi="Arial" w:cs="Arial"/>
            <w:kern w:val="0"/>
            <w:lang w:eastAsia="en-GB"/>
            <w14:ligatures w14:val="none"/>
          </w:rPr>
          <w:t>ications/b/68103</w:t>
        </w:r>
      </w:hyperlink>
      <w:r w:rsidRPr="00F2205F">
        <w:rPr>
          <w:rFonts w:ascii="Arial" w:eastAsia="Times New Roman" w:hAnsi="Arial" w:cs="Arial"/>
          <w:color w:val="000000"/>
          <w:kern w:val="0"/>
          <w:lang w:eastAsia="en-GB"/>
          <w14:ligatures w14:val="none"/>
        </w:rPr>
        <w:t xml:space="preserve"> (Accessed</w:t>
      </w:r>
      <w:r w:rsidR="006A694B" w:rsidRPr="00F2205F">
        <w:rPr>
          <w:rFonts w:ascii="Arial" w:eastAsia="Times New Roman" w:hAnsi="Arial" w:cs="Arial"/>
          <w:color w:val="000000"/>
          <w:kern w:val="0"/>
          <w:lang w:eastAsia="en-GB"/>
          <w14:ligatures w14:val="none"/>
        </w:rPr>
        <w:t xml:space="preserve"> on 18 </w:t>
      </w:r>
      <w:r w:rsidR="00C576C4" w:rsidRPr="00F2205F">
        <w:rPr>
          <w:rFonts w:ascii="Arial" w:eastAsia="Times New Roman" w:hAnsi="Arial" w:cs="Arial"/>
          <w:color w:val="000000"/>
          <w:kern w:val="0"/>
          <w:lang w:eastAsia="en-GB"/>
          <w14:ligatures w14:val="none"/>
        </w:rPr>
        <w:t>July 2026</w:t>
      </w:r>
      <w:r w:rsidRPr="00F2205F">
        <w:rPr>
          <w:rFonts w:ascii="Arial" w:eastAsia="Times New Roman" w:hAnsi="Arial" w:cs="Arial"/>
          <w:color w:val="000000"/>
          <w:kern w:val="0"/>
          <w:lang w:eastAsia="en-GB"/>
          <w14:ligatures w14:val="none"/>
        </w:rPr>
        <w:t>).</w:t>
      </w:r>
    </w:p>
    <w:p w14:paraId="49C30C34" w14:textId="77777777" w:rsidR="00E566C1" w:rsidRDefault="00E566C1" w:rsidP="00EB78C6">
      <w:pPr>
        <w:spacing w:after="0" w:line="240" w:lineRule="auto"/>
        <w:rPr>
          <w:rFonts w:ascii="Arial" w:eastAsia="Times New Roman" w:hAnsi="Arial" w:cs="Arial"/>
          <w:color w:val="000000"/>
          <w:kern w:val="0"/>
          <w:lang w:eastAsia="en-GB"/>
          <w14:ligatures w14:val="none"/>
        </w:rPr>
      </w:pPr>
    </w:p>
    <w:p w14:paraId="395EFBBF" w14:textId="5FAA2387" w:rsidR="00E566C1" w:rsidRPr="00E566C1" w:rsidRDefault="00E566C1" w:rsidP="00E566C1">
      <w:pPr>
        <w:rPr>
          <w:rFonts w:ascii="Arial" w:hAnsi="Arial" w:cs="Arial"/>
          <w:color w:val="000000"/>
        </w:rPr>
      </w:pPr>
      <w:r w:rsidRPr="00E566C1">
        <w:rPr>
          <w:rFonts w:ascii="Arial" w:eastAsia="Times New Roman" w:hAnsi="Arial" w:cs="Arial"/>
          <w:color w:val="000000"/>
          <w:kern w:val="0"/>
          <w:lang w:eastAsia="en-GB"/>
          <w14:ligatures w14:val="none"/>
        </w:rPr>
        <w:t>World Health Organisation (2001) </w:t>
      </w:r>
      <w:r w:rsidRPr="00E566C1">
        <w:rPr>
          <w:rFonts w:ascii="Arial" w:eastAsia="Times New Roman" w:hAnsi="Arial" w:cs="Arial"/>
          <w:i/>
          <w:iCs/>
          <w:color w:val="000000"/>
          <w:kern w:val="0"/>
          <w:lang w:eastAsia="en-GB"/>
          <w14:ligatures w14:val="none"/>
        </w:rPr>
        <w:t>International classification of functioning, disability and health: ICF</w:t>
      </w:r>
      <w:r w:rsidRPr="00E566C1">
        <w:rPr>
          <w:rFonts w:ascii="Arial" w:eastAsia="Times New Roman" w:hAnsi="Arial" w:cs="Arial"/>
          <w:color w:val="000000"/>
          <w:kern w:val="0"/>
          <w:lang w:eastAsia="en-GB"/>
          <w14:ligatures w14:val="none"/>
        </w:rPr>
        <w:t>. Geneva</w:t>
      </w:r>
      <w:r w:rsidRPr="00E566C1">
        <w:rPr>
          <w:rFonts w:ascii="Arial" w:eastAsia="Times New Roman" w:hAnsi="Arial" w:cs="Arial"/>
          <w:color w:val="000000"/>
          <w:kern w:val="0"/>
          <w:lang w:eastAsia="en-GB"/>
          <w14:ligatures w14:val="none"/>
        </w:rPr>
        <w:t xml:space="preserve">. Available at: </w:t>
      </w:r>
      <w:hyperlink r:id="rId11" w:history="1">
        <w:r w:rsidRPr="00E566C1">
          <w:rPr>
            <w:rStyle w:val="Hyperlink"/>
            <w:rFonts w:ascii="Arial" w:hAnsi="Arial" w:cs="Arial"/>
          </w:rPr>
          <w:t>https://iris.who.int/bitstream/handle/10665/42407/9241545429-eng.pdf</w:t>
        </w:r>
      </w:hyperlink>
      <w:r>
        <w:rPr>
          <w:rFonts w:ascii="Arial" w:hAnsi="Arial" w:cs="Arial"/>
          <w:color w:val="000000"/>
        </w:rPr>
        <w:t xml:space="preserve"> (Accessed on 17 July 2026).</w:t>
      </w:r>
    </w:p>
    <w:p w14:paraId="013D27F5" w14:textId="0BEC9DAA" w:rsidR="00E566C1" w:rsidRPr="00E566C1" w:rsidRDefault="00E566C1" w:rsidP="00E566C1">
      <w:pPr>
        <w:spacing w:after="0" w:line="240" w:lineRule="auto"/>
        <w:rPr>
          <w:rFonts w:ascii="Times New Roman" w:eastAsia="Times New Roman" w:hAnsi="Times New Roman" w:cs="Times New Roman"/>
          <w:color w:val="000000"/>
          <w:kern w:val="0"/>
          <w:lang w:eastAsia="en-GB"/>
          <w14:ligatures w14:val="none"/>
        </w:rPr>
      </w:pPr>
    </w:p>
    <w:p w14:paraId="6336F29E" w14:textId="77777777" w:rsidR="00E566C1" w:rsidRPr="00F2205F" w:rsidRDefault="00E566C1" w:rsidP="00EB78C6">
      <w:pPr>
        <w:spacing w:after="0" w:line="240" w:lineRule="auto"/>
        <w:rPr>
          <w:rFonts w:ascii="Arial" w:eastAsia="Times New Roman" w:hAnsi="Arial" w:cs="Arial"/>
          <w:color w:val="000000"/>
          <w:kern w:val="0"/>
          <w:lang w:eastAsia="en-GB"/>
          <w14:ligatures w14:val="none"/>
        </w:rPr>
      </w:pPr>
    </w:p>
    <w:p w14:paraId="41393BD6" w14:textId="77777777" w:rsidR="008A6D32" w:rsidRPr="00F2205F" w:rsidRDefault="008A6D32" w:rsidP="008A6D32">
      <w:pPr>
        <w:pStyle w:val="NormalWeb"/>
        <w:rPr>
          <w:rFonts w:ascii="Arial" w:hAnsi="Arial" w:cs="Arial"/>
          <w:color w:val="000000"/>
        </w:rPr>
      </w:pPr>
    </w:p>
    <w:p w14:paraId="6E41165F" w14:textId="77777777" w:rsidR="000264A1" w:rsidRPr="00F2205F" w:rsidRDefault="000264A1" w:rsidP="000264A1">
      <w:pPr>
        <w:rPr>
          <w:rFonts w:ascii="Arial" w:hAnsi="Arial" w:cs="Arial"/>
        </w:rPr>
      </w:pPr>
    </w:p>
    <w:p w14:paraId="07786E37" w14:textId="77777777" w:rsidR="000264A1" w:rsidRPr="00F2205F" w:rsidRDefault="000264A1" w:rsidP="000264A1">
      <w:pPr>
        <w:rPr>
          <w:rFonts w:ascii="Arial" w:hAnsi="Arial" w:cs="Arial"/>
        </w:rPr>
      </w:pPr>
    </w:p>
    <w:sectPr w:rsidR="000264A1" w:rsidRPr="00F2205F">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95AFDC5" w14:textId="77777777" w:rsidR="00541D11" w:rsidRDefault="00541D11" w:rsidP="000264A1">
      <w:pPr>
        <w:spacing w:after="0" w:line="240" w:lineRule="auto"/>
      </w:pPr>
      <w:r>
        <w:separator/>
      </w:r>
    </w:p>
  </w:endnote>
  <w:endnote w:type="continuationSeparator" w:id="0">
    <w:p w14:paraId="4B92726D" w14:textId="77777777" w:rsidR="00541D11" w:rsidRDefault="00541D11"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0344122" w14:textId="77777777" w:rsidR="00541D11" w:rsidRDefault="00541D11" w:rsidP="000264A1">
      <w:pPr>
        <w:spacing w:after="0" w:line="240" w:lineRule="auto"/>
      </w:pPr>
      <w:r>
        <w:separator/>
      </w:r>
    </w:p>
  </w:footnote>
  <w:footnote w:type="continuationSeparator" w:id="0">
    <w:p w14:paraId="18356935" w14:textId="77777777" w:rsidR="00541D11" w:rsidRDefault="00541D11" w:rsidP="000264A1">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60FB4"/>
    <w:rsid w:val="000C4DA5"/>
    <w:rsid w:val="00137F57"/>
    <w:rsid w:val="002179EE"/>
    <w:rsid w:val="003B73DD"/>
    <w:rsid w:val="00412DC6"/>
    <w:rsid w:val="00487E2D"/>
    <w:rsid w:val="00517EE5"/>
    <w:rsid w:val="00541D11"/>
    <w:rsid w:val="00556503"/>
    <w:rsid w:val="00597E47"/>
    <w:rsid w:val="005D6528"/>
    <w:rsid w:val="00637171"/>
    <w:rsid w:val="00685143"/>
    <w:rsid w:val="006A694B"/>
    <w:rsid w:val="00722ABC"/>
    <w:rsid w:val="00726F5B"/>
    <w:rsid w:val="00797170"/>
    <w:rsid w:val="00843325"/>
    <w:rsid w:val="00855D44"/>
    <w:rsid w:val="00886280"/>
    <w:rsid w:val="008A6D32"/>
    <w:rsid w:val="009C4360"/>
    <w:rsid w:val="00A112DE"/>
    <w:rsid w:val="00B84E0A"/>
    <w:rsid w:val="00C52339"/>
    <w:rsid w:val="00C576C4"/>
    <w:rsid w:val="00CB15D0"/>
    <w:rsid w:val="00D266D1"/>
    <w:rsid w:val="00DB1A0B"/>
    <w:rsid w:val="00E207F6"/>
    <w:rsid w:val="00E36FCF"/>
    <w:rsid w:val="00E566C1"/>
    <w:rsid w:val="00E80AB3"/>
    <w:rsid w:val="00EB78C6"/>
    <w:rsid w:val="00ED0D02"/>
    <w:rsid w:val="00F2205F"/>
    <w:rsid w:val="00F81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EB78C6"/>
    <w:rPr>
      <w:color w:val="467886" w:themeColor="hyperlink"/>
      <w:u w:val="single"/>
    </w:rPr>
  </w:style>
  <w:style w:type="character" w:styleId="UnresolvedMention">
    <w:name w:val="Unresolved Mention"/>
    <w:basedOn w:val="DefaultParagraphFont"/>
    <w:uiPriority w:val="99"/>
    <w:semiHidden/>
    <w:unhideWhenUsed/>
    <w:rsid w:val="00EB78C6"/>
    <w:rPr>
      <w:color w:val="605E5C"/>
      <w:shd w:val="clear" w:color="auto" w:fill="E1DFDD"/>
    </w:rPr>
  </w:style>
  <w:style w:type="character" w:styleId="FollowedHyperlink">
    <w:name w:val="FollowedHyperlink"/>
    <w:basedOn w:val="DefaultParagraphFont"/>
    <w:uiPriority w:val="99"/>
    <w:semiHidden/>
    <w:unhideWhenUsed/>
    <w:rsid w:val="006A694B"/>
    <w:rPr>
      <w:color w:val="96607D" w:themeColor="followedHyperlink"/>
      <w:u w:val="single"/>
    </w:rPr>
  </w:style>
  <w:style w:type="paragraph" w:styleId="TOCHeading">
    <w:name w:val="TOC Heading"/>
    <w:basedOn w:val="Heading1"/>
    <w:next w:val="Normal"/>
    <w:uiPriority w:val="39"/>
    <w:unhideWhenUsed/>
    <w:qFormat/>
    <w:rsid w:val="00F2205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2205F"/>
    <w:pPr>
      <w:spacing w:before="120" w:after="0"/>
    </w:pPr>
    <w:rPr>
      <w:b/>
      <w:bCs/>
      <w:i/>
      <w:iCs/>
    </w:rPr>
  </w:style>
  <w:style w:type="paragraph" w:styleId="TOC2">
    <w:name w:val="toc 2"/>
    <w:basedOn w:val="Normal"/>
    <w:next w:val="Normal"/>
    <w:autoRedefine/>
    <w:uiPriority w:val="39"/>
    <w:semiHidden/>
    <w:unhideWhenUsed/>
    <w:rsid w:val="00F2205F"/>
    <w:pPr>
      <w:spacing w:before="120" w:after="0"/>
      <w:ind w:left="240"/>
    </w:pPr>
    <w:rPr>
      <w:b/>
      <w:bCs/>
      <w:sz w:val="22"/>
      <w:szCs w:val="22"/>
    </w:rPr>
  </w:style>
  <w:style w:type="paragraph" w:styleId="TOC3">
    <w:name w:val="toc 3"/>
    <w:basedOn w:val="Normal"/>
    <w:next w:val="Normal"/>
    <w:autoRedefine/>
    <w:uiPriority w:val="39"/>
    <w:semiHidden/>
    <w:unhideWhenUsed/>
    <w:rsid w:val="00F2205F"/>
    <w:pPr>
      <w:spacing w:after="0"/>
      <w:ind w:left="480"/>
    </w:pPr>
    <w:rPr>
      <w:sz w:val="20"/>
      <w:szCs w:val="20"/>
    </w:rPr>
  </w:style>
  <w:style w:type="paragraph" w:styleId="TOC4">
    <w:name w:val="toc 4"/>
    <w:basedOn w:val="Normal"/>
    <w:next w:val="Normal"/>
    <w:autoRedefine/>
    <w:uiPriority w:val="39"/>
    <w:semiHidden/>
    <w:unhideWhenUsed/>
    <w:rsid w:val="00F2205F"/>
    <w:pPr>
      <w:spacing w:after="0"/>
      <w:ind w:left="720"/>
    </w:pPr>
    <w:rPr>
      <w:sz w:val="20"/>
      <w:szCs w:val="20"/>
    </w:rPr>
  </w:style>
  <w:style w:type="paragraph" w:styleId="TOC5">
    <w:name w:val="toc 5"/>
    <w:basedOn w:val="Normal"/>
    <w:next w:val="Normal"/>
    <w:autoRedefine/>
    <w:uiPriority w:val="39"/>
    <w:semiHidden/>
    <w:unhideWhenUsed/>
    <w:rsid w:val="00F2205F"/>
    <w:pPr>
      <w:spacing w:after="0"/>
      <w:ind w:left="960"/>
    </w:pPr>
    <w:rPr>
      <w:sz w:val="20"/>
      <w:szCs w:val="20"/>
    </w:rPr>
  </w:style>
  <w:style w:type="paragraph" w:styleId="TOC6">
    <w:name w:val="toc 6"/>
    <w:basedOn w:val="Normal"/>
    <w:next w:val="Normal"/>
    <w:autoRedefine/>
    <w:uiPriority w:val="39"/>
    <w:semiHidden/>
    <w:unhideWhenUsed/>
    <w:rsid w:val="00F2205F"/>
    <w:pPr>
      <w:spacing w:after="0"/>
      <w:ind w:left="1200"/>
    </w:pPr>
    <w:rPr>
      <w:sz w:val="20"/>
      <w:szCs w:val="20"/>
    </w:rPr>
  </w:style>
  <w:style w:type="paragraph" w:styleId="TOC7">
    <w:name w:val="toc 7"/>
    <w:basedOn w:val="Normal"/>
    <w:next w:val="Normal"/>
    <w:autoRedefine/>
    <w:uiPriority w:val="39"/>
    <w:semiHidden/>
    <w:unhideWhenUsed/>
    <w:rsid w:val="00F2205F"/>
    <w:pPr>
      <w:spacing w:after="0"/>
      <w:ind w:left="1440"/>
    </w:pPr>
    <w:rPr>
      <w:sz w:val="20"/>
      <w:szCs w:val="20"/>
    </w:rPr>
  </w:style>
  <w:style w:type="paragraph" w:styleId="TOC8">
    <w:name w:val="toc 8"/>
    <w:basedOn w:val="Normal"/>
    <w:next w:val="Normal"/>
    <w:autoRedefine/>
    <w:uiPriority w:val="39"/>
    <w:semiHidden/>
    <w:unhideWhenUsed/>
    <w:rsid w:val="00F2205F"/>
    <w:pPr>
      <w:spacing w:after="0"/>
      <w:ind w:left="1680"/>
    </w:pPr>
    <w:rPr>
      <w:sz w:val="20"/>
      <w:szCs w:val="20"/>
    </w:rPr>
  </w:style>
  <w:style w:type="paragraph" w:styleId="TOC9">
    <w:name w:val="toc 9"/>
    <w:basedOn w:val="Normal"/>
    <w:next w:val="Normal"/>
    <w:autoRedefine/>
    <w:uiPriority w:val="39"/>
    <w:semiHidden/>
    <w:unhideWhenUsed/>
    <w:rsid w:val="00F2205F"/>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enedd.wales/research-articles/the-growing-demand-for-adhd-and-autism-assessments-in-wales/?utm_source=chatgpt.com"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ris.who.int/bitstream/handle/10665/42407/9241545429-eng.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who.int/publications/b/68103" TargetMode="External"/><Relationship Id="rId4" Type="http://schemas.openxmlformats.org/officeDocument/2006/relationships/webSettings" Target="webSettings.xml"/><Relationship Id="rId9" Type="http://schemas.openxmlformats.org/officeDocument/2006/relationships/hyperlink" Target="https://research.senedd.wales/research-articles/the-growing-demand-for-adhd-and-autism-assessments-in-wal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C6D45-A59C-CF47-8294-AE080C255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4033</Words>
  <Characters>22994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Rina Elizabeth López García (2337019)</cp:lastModifiedBy>
  <cp:revision>2</cp:revision>
  <dcterms:created xsi:type="dcterms:W3CDTF">2026-08-02T23:24:00Z</dcterms:created>
  <dcterms:modified xsi:type="dcterms:W3CDTF">2026-08-02T23:24:00Z</dcterms:modified>
</cp:coreProperties>
</file>