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49285" w14:textId="77777777" w:rsidR="00560B72" w:rsidRDefault="00560B72"/>
    <w:p w14:paraId="07715951" w14:textId="77777777" w:rsidR="00560B72" w:rsidRDefault="00560B72"/>
    <w:p w14:paraId="1308B36F" w14:textId="77777777" w:rsidR="00560B72" w:rsidRDefault="00560B72"/>
    <w:p w14:paraId="3CE559B1" w14:textId="77777777" w:rsidR="00560B72" w:rsidRDefault="00560B72"/>
    <w:tbl>
      <w:tblPr>
        <w:tblStyle w:val="TableGrid"/>
        <w:tblW w:w="0" w:type="auto"/>
        <w:tblInd w:w="0" w:type="dxa"/>
        <w:tblLayout w:type="fixed"/>
        <w:tblCellMar>
          <w:top w:w="2" w:type="dxa"/>
          <w:left w:w="4" w:type="dxa"/>
          <w:right w:w="77" w:type="dxa"/>
        </w:tblCellMar>
        <w:tblLook w:val="04A0" w:firstRow="1" w:lastRow="0" w:firstColumn="1" w:lastColumn="0" w:noHBand="0" w:noVBand="1"/>
      </w:tblPr>
      <w:tblGrid>
        <w:gridCol w:w="1988"/>
        <w:gridCol w:w="3145"/>
        <w:gridCol w:w="2045"/>
        <w:gridCol w:w="114"/>
        <w:gridCol w:w="2150"/>
      </w:tblGrid>
      <w:tr w:rsidR="00560B72" w14:paraId="0ED5A725" w14:textId="77777777" w:rsidTr="00560B72">
        <w:trPr>
          <w:trHeight w:val="498"/>
        </w:trPr>
        <w:tc>
          <w:tcPr>
            <w:tcW w:w="198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BE803F" w14:textId="77777777" w:rsidR="00560B72" w:rsidRDefault="00560B72" w:rsidP="00A6052C">
            <w:pPr>
              <w:ind w:left="106"/>
            </w:pPr>
            <w:r>
              <w:rPr>
                <w:rFonts w:eastAsia="Arial" w:cs="Arial"/>
                <w:b/>
              </w:rPr>
              <w:t xml:space="preserve">Student name: </w:t>
            </w:r>
          </w:p>
        </w:tc>
        <w:tc>
          <w:tcPr>
            <w:tcW w:w="3145" w:type="dxa"/>
            <w:tcBorders>
              <w:top w:val="single" w:sz="4" w:space="0" w:color="000000"/>
              <w:left w:val="single" w:sz="4" w:space="0" w:color="000000"/>
              <w:bottom w:val="single" w:sz="4" w:space="0" w:color="000000"/>
              <w:right w:val="single" w:sz="4" w:space="0" w:color="000000"/>
            </w:tcBorders>
          </w:tcPr>
          <w:p w14:paraId="3F4AE0E8" w14:textId="77777777" w:rsidR="00560B72" w:rsidRDefault="00560B72" w:rsidP="00A6052C">
            <w:pPr>
              <w:ind w:left="2"/>
            </w:pPr>
            <w:r>
              <w:t xml:space="preserve">Ridham Mangukiya</w:t>
            </w:r>
          </w:p>
        </w:tc>
        <w:tc>
          <w:tcPr>
            <w:tcW w:w="215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6A2ED0A" w14:textId="77777777" w:rsidR="00560B72" w:rsidRDefault="00560B72" w:rsidP="00A6052C">
            <w:pPr>
              <w:ind w:left="106"/>
            </w:pPr>
            <w:r>
              <w:rPr>
                <w:rFonts w:eastAsia="Arial" w:cs="Arial"/>
                <w:b/>
              </w:rPr>
              <w:t xml:space="preserve">Student ID number: </w:t>
            </w:r>
          </w:p>
        </w:tc>
        <w:tc>
          <w:tcPr>
            <w:tcW w:w="2150" w:type="dxa"/>
            <w:tcBorders>
              <w:top w:val="single" w:sz="4" w:space="0" w:color="000000"/>
              <w:left w:val="single" w:sz="4" w:space="0" w:color="000000"/>
              <w:bottom w:val="single" w:sz="4" w:space="0" w:color="000000"/>
              <w:right w:val="single" w:sz="4" w:space="0" w:color="000000"/>
            </w:tcBorders>
          </w:tcPr>
          <w:p w14:paraId="236C5A6C" w14:textId="77777777" w:rsidR="00560B72" w:rsidRDefault="00560B72" w:rsidP="00A6052C">
            <w:pPr>
              <w:ind w:left="3"/>
            </w:pPr>
            <w:r>
              <w:t xml:space="preserve">2520876</w:t>
            </w:r>
          </w:p>
        </w:tc>
      </w:tr>
      <w:tr w:rsidR="00560B72" w14:paraId="41DE6509" w14:textId="77777777" w:rsidTr="00560B72">
        <w:trPr>
          <w:trHeight w:val="504"/>
        </w:trPr>
        <w:tc>
          <w:tcPr>
            <w:tcW w:w="198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79FBFA" w14:textId="77777777" w:rsidR="00560B72" w:rsidRDefault="00560B72" w:rsidP="00A6052C">
            <w:pPr>
              <w:ind w:left="106"/>
            </w:pPr>
            <w:r>
              <w:rPr>
                <w:rFonts w:eastAsia="Arial" w:cs="Arial"/>
                <w:b/>
              </w:rPr>
              <w:t xml:space="preserve">Programme: </w:t>
            </w:r>
          </w:p>
        </w:tc>
        <w:tc>
          <w:tcPr>
            <w:tcW w:w="7454" w:type="dxa"/>
            <w:gridSpan w:val="4"/>
            <w:tcBorders>
              <w:top w:val="single" w:sz="4" w:space="0" w:color="000000"/>
              <w:left w:val="single" w:sz="4" w:space="0" w:color="000000"/>
              <w:bottom w:val="single" w:sz="4" w:space="0" w:color="000000"/>
              <w:right w:val="single" w:sz="4" w:space="0" w:color="000000"/>
            </w:tcBorders>
            <w:vAlign w:val="center"/>
          </w:tcPr>
          <w:p w14:paraId="23C46EE1" w14:textId="77777777" w:rsidR="00560B72" w:rsidRDefault="00560B72" w:rsidP="00A6052C">
            <w:pPr>
              <w:ind w:left="108"/>
            </w:pPr>
            <w:r>
              <w:rPr>
                <w:rFonts w:eastAsia="Arial" w:cs="Arial"/>
                <w:b/>
              </w:rPr>
              <w:t xml:space="preserve">Master of Business Administration </w:t>
            </w:r>
          </w:p>
        </w:tc>
      </w:tr>
      <w:tr w:rsidR="00560B72" w14:paraId="38011404" w14:textId="77777777" w:rsidTr="00560B72">
        <w:trPr>
          <w:trHeight w:val="504"/>
        </w:trPr>
        <w:tc>
          <w:tcPr>
            <w:tcW w:w="198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D6E60F" w14:textId="77777777" w:rsidR="00560B72" w:rsidRDefault="00560B72" w:rsidP="00A6052C">
            <w:pPr>
              <w:ind w:left="106"/>
            </w:pPr>
            <w:r>
              <w:rPr>
                <w:rFonts w:eastAsia="Arial" w:cs="Arial"/>
                <w:b/>
              </w:rPr>
              <w:t xml:space="preserve">Module: </w:t>
            </w:r>
          </w:p>
        </w:tc>
        <w:tc>
          <w:tcPr>
            <w:tcW w:w="7454" w:type="dxa"/>
            <w:gridSpan w:val="4"/>
            <w:tcBorders>
              <w:top w:val="single" w:sz="4" w:space="0" w:color="000000"/>
              <w:left w:val="single" w:sz="4" w:space="0" w:color="000000"/>
              <w:bottom w:val="single" w:sz="4" w:space="0" w:color="000000"/>
              <w:right w:val="single" w:sz="4" w:space="0" w:color="000000"/>
            </w:tcBorders>
            <w:vAlign w:val="center"/>
          </w:tcPr>
          <w:p w14:paraId="4E44947B" w14:textId="77777777" w:rsidR="00560B72" w:rsidRDefault="00560B72" w:rsidP="00A6052C">
            <w:pPr>
              <w:ind w:left="108"/>
            </w:pPr>
            <w:r>
              <w:rPr>
                <w:rFonts w:eastAsia="Arial" w:cs="Arial"/>
                <w:b/>
              </w:rPr>
              <w:t xml:space="preserve">Marketing Management </w:t>
            </w:r>
          </w:p>
        </w:tc>
      </w:tr>
      <w:tr w:rsidR="00560B72" w14:paraId="50031AB5" w14:textId="77777777" w:rsidTr="00560B72">
        <w:trPr>
          <w:trHeight w:val="769"/>
        </w:trPr>
        <w:tc>
          <w:tcPr>
            <w:tcW w:w="1988" w:type="dxa"/>
            <w:tcBorders>
              <w:top w:val="single" w:sz="4" w:space="0" w:color="000000"/>
              <w:left w:val="single" w:sz="4" w:space="0" w:color="000000"/>
              <w:bottom w:val="single" w:sz="4" w:space="0" w:color="000000"/>
              <w:right w:val="single" w:sz="4" w:space="0" w:color="000000"/>
            </w:tcBorders>
            <w:shd w:val="clear" w:color="auto" w:fill="D9D9D9"/>
          </w:tcPr>
          <w:p w14:paraId="1C69B56C" w14:textId="77777777" w:rsidR="00560B72" w:rsidRDefault="00560B72" w:rsidP="00A6052C">
            <w:pPr>
              <w:ind w:left="106" w:right="502" w:hanging="106"/>
            </w:pPr>
            <w:r>
              <w:rPr>
                <w:rFonts w:eastAsia="Arial" w:cs="Arial"/>
                <w:b/>
              </w:rPr>
              <w:t xml:space="preserve"> Module code: </w:t>
            </w:r>
          </w:p>
        </w:tc>
        <w:tc>
          <w:tcPr>
            <w:tcW w:w="3145" w:type="dxa"/>
            <w:tcBorders>
              <w:top w:val="single" w:sz="4" w:space="0" w:color="000000"/>
              <w:left w:val="single" w:sz="4" w:space="0" w:color="000000"/>
              <w:bottom w:val="single" w:sz="4" w:space="0" w:color="000000"/>
              <w:right w:val="single" w:sz="4" w:space="0" w:color="000000"/>
            </w:tcBorders>
          </w:tcPr>
          <w:p w14:paraId="1E61AD27" w14:textId="77777777" w:rsidR="00560B72" w:rsidRDefault="00560B72" w:rsidP="00A6052C">
            <w:pPr>
              <w:ind w:left="108" w:right="1997" w:hanging="106"/>
            </w:pPr>
            <w:r>
              <w:rPr>
                <w:rFonts w:eastAsia="Arial" w:cs="Arial"/>
                <w:b/>
              </w:rPr>
              <w:t xml:space="preserve"> LCMB7024 </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Pr>
          <w:p w14:paraId="243C7E7F" w14:textId="77777777" w:rsidR="00560B72" w:rsidRDefault="00560B72" w:rsidP="00A6052C">
            <w:pPr>
              <w:ind w:left="106"/>
            </w:pPr>
            <w:r>
              <w:rPr>
                <w:rFonts w:eastAsia="Arial" w:cs="Arial"/>
                <w:b/>
              </w:rPr>
              <w:t xml:space="preserve">Contribution to </w:t>
            </w:r>
          </w:p>
          <w:p w14:paraId="3FCD92FF" w14:textId="77777777" w:rsidR="00560B72" w:rsidRDefault="00560B72" w:rsidP="00A6052C">
            <w:pPr>
              <w:ind w:left="106"/>
            </w:pPr>
            <w:r>
              <w:rPr>
                <w:rFonts w:eastAsia="Arial" w:cs="Arial"/>
                <w:b/>
              </w:rPr>
              <w:t xml:space="preserve">Overall Module </w:t>
            </w:r>
          </w:p>
          <w:p w14:paraId="4C8D17B4" w14:textId="77777777" w:rsidR="00560B72" w:rsidRDefault="00560B72" w:rsidP="00A6052C">
            <w:pPr>
              <w:ind w:left="106"/>
            </w:pPr>
            <w:r>
              <w:rPr>
                <w:rFonts w:eastAsia="Arial" w:cs="Arial"/>
                <w:b/>
              </w:rPr>
              <w:t xml:space="preserve">Assessment (%): </w:t>
            </w:r>
          </w:p>
        </w:tc>
        <w:tc>
          <w:tcPr>
            <w:tcW w:w="2264" w:type="dxa"/>
            <w:gridSpan w:val="2"/>
            <w:tcBorders>
              <w:top w:val="single" w:sz="4" w:space="0" w:color="000000"/>
              <w:left w:val="single" w:sz="4" w:space="0" w:color="000000"/>
              <w:bottom w:val="single" w:sz="4" w:space="0" w:color="000000"/>
              <w:right w:val="single" w:sz="4" w:space="0" w:color="000000"/>
            </w:tcBorders>
          </w:tcPr>
          <w:p w14:paraId="5BD330C7" w14:textId="77777777" w:rsidR="00560B72" w:rsidRDefault="00560B72" w:rsidP="00A6052C">
            <w:pPr>
              <w:ind w:left="109" w:right="1768" w:hanging="106"/>
            </w:pPr>
            <w:r>
              <w:rPr>
                <w:rFonts w:eastAsia="Arial" w:cs="Arial"/>
                <w:b/>
              </w:rPr>
              <w:t xml:space="preserve"> 50% </w:t>
            </w:r>
          </w:p>
        </w:tc>
      </w:tr>
      <w:tr w:rsidR="00560B72" w14:paraId="18635727" w14:textId="77777777" w:rsidTr="00560B72">
        <w:trPr>
          <w:trHeight w:val="874"/>
        </w:trPr>
        <w:tc>
          <w:tcPr>
            <w:tcW w:w="1988" w:type="dxa"/>
            <w:tcBorders>
              <w:top w:val="single" w:sz="4" w:space="0" w:color="000000"/>
              <w:left w:val="single" w:sz="4" w:space="0" w:color="000000"/>
              <w:bottom w:val="single" w:sz="4" w:space="0" w:color="000000"/>
              <w:right w:val="single" w:sz="4" w:space="0" w:color="000000"/>
            </w:tcBorders>
            <w:shd w:val="clear" w:color="auto" w:fill="D9D9D9"/>
          </w:tcPr>
          <w:p w14:paraId="2224787C" w14:textId="77777777" w:rsidR="00560B72" w:rsidRDefault="00560B72" w:rsidP="00A6052C">
            <w:r>
              <w:rPr>
                <w:rFonts w:eastAsia="Arial" w:cs="Arial"/>
                <w:b/>
              </w:rPr>
              <w:t xml:space="preserve"> </w:t>
            </w:r>
          </w:p>
          <w:p w14:paraId="6C2EE1A5" w14:textId="77777777" w:rsidR="00560B72" w:rsidRDefault="00560B72" w:rsidP="00A6052C">
            <w:pPr>
              <w:ind w:left="106"/>
            </w:pPr>
            <w:r>
              <w:rPr>
                <w:rFonts w:eastAsia="Arial" w:cs="Arial"/>
                <w:b/>
              </w:rPr>
              <w:t xml:space="preserve">Lecturer: </w:t>
            </w:r>
          </w:p>
        </w:tc>
        <w:tc>
          <w:tcPr>
            <w:tcW w:w="3145" w:type="dxa"/>
            <w:tcBorders>
              <w:top w:val="single" w:sz="4" w:space="0" w:color="000000"/>
              <w:left w:val="single" w:sz="4" w:space="0" w:color="000000"/>
              <w:bottom w:val="single" w:sz="4" w:space="0" w:color="000000"/>
              <w:right w:val="single" w:sz="4" w:space="0" w:color="000000"/>
            </w:tcBorders>
            <w:vAlign w:val="center"/>
          </w:tcPr>
          <w:p w14:paraId="5D936469" w14:textId="77777777" w:rsidR="00560B72" w:rsidRDefault="00560B72" w:rsidP="00A6052C">
            <w:pPr>
              <w:spacing w:after="95"/>
              <w:ind w:left="108"/>
            </w:pPr>
            <w:r>
              <w:rPr>
                <w:rFonts w:eastAsia="Arial" w:cs="Arial"/>
                <w:b/>
              </w:rPr>
              <w:t xml:space="preserve">Laila Maazouz </w:t>
            </w:r>
          </w:p>
          <w:p w14:paraId="7A7FF884" w14:textId="77777777" w:rsidR="00560B72" w:rsidRDefault="00560B72" w:rsidP="00A6052C">
            <w:pPr>
              <w:ind w:left="108"/>
            </w:pPr>
            <w:r>
              <w:rPr>
                <w:rFonts w:eastAsia="Arial" w:cs="Arial"/>
                <w:b/>
              </w:rPr>
              <w:t xml:space="preserve">Dian Mayasari </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Pr>
          <w:p w14:paraId="1A6DE122" w14:textId="77777777" w:rsidR="00560B72" w:rsidRDefault="00560B72" w:rsidP="00A6052C">
            <w:r>
              <w:rPr>
                <w:rFonts w:eastAsia="Arial" w:cs="Arial"/>
                <w:b/>
              </w:rPr>
              <w:t xml:space="preserve"> </w:t>
            </w:r>
          </w:p>
          <w:p w14:paraId="04628E87" w14:textId="77777777" w:rsidR="00560B72" w:rsidRDefault="00560B72" w:rsidP="00A6052C">
            <w:pPr>
              <w:ind w:left="106"/>
            </w:pPr>
            <w:r>
              <w:rPr>
                <w:rFonts w:eastAsia="Arial" w:cs="Arial"/>
                <w:b/>
              </w:rPr>
              <w:t xml:space="preserve">Internal Verifier: </w:t>
            </w:r>
          </w:p>
        </w:tc>
        <w:tc>
          <w:tcPr>
            <w:tcW w:w="2264" w:type="dxa"/>
            <w:gridSpan w:val="2"/>
            <w:tcBorders>
              <w:top w:val="single" w:sz="4" w:space="0" w:color="000000"/>
              <w:left w:val="single" w:sz="4" w:space="0" w:color="000000"/>
              <w:bottom w:val="single" w:sz="4" w:space="0" w:color="000000"/>
              <w:right w:val="single" w:sz="4" w:space="0" w:color="000000"/>
            </w:tcBorders>
            <w:vAlign w:val="center"/>
          </w:tcPr>
          <w:p w14:paraId="540274DC" w14:textId="77777777" w:rsidR="00560B72" w:rsidRDefault="00560B72" w:rsidP="00A6052C">
            <w:pPr>
              <w:spacing w:after="95"/>
              <w:ind w:left="108"/>
            </w:pPr>
            <w:r>
              <w:rPr>
                <w:rFonts w:eastAsia="Arial" w:cs="Arial"/>
                <w:b/>
              </w:rPr>
              <w:t xml:space="preserve">Vasilios Tavlaridis </w:t>
            </w:r>
          </w:p>
          <w:p w14:paraId="7D49EF04" w14:textId="77777777" w:rsidR="00560B72" w:rsidRDefault="00560B72" w:rsidP="00A6052C">
            <w:pPr>
              <w:ind w:left="108"/>
            </w:pPr>
            <w:r>
              <w:rPr>
                <w:rFonts w:eastAsia="Arial" w:cs="Arial"/>
                <w:b/>
              </w:rPr>
              <w:t xml:space="preserve">Hoang Nguyen </w:t>
            </w:r>
          </w:p>
        </w:tc>
      </w:tr>
      <w:tr w:rsidR="00560B72" w14:paraId="66BD8B0E" w14:textId="77777777" w:rsidTr="00560B72">
        <w:trPr>
          <w:trHeight w:val="1128"/>
        </w:trPr>
        <w:tc>
          <w:tcPr>
            <w:tcW w:w="1988" w:type="dxa"/>
            <w:tcBorders>
              <w:top w:val="single" w:sz="4" w:space="0" w:color="000000"/>
              <w:left w:val="single" w:sz="4" w:space="0" w:color="000000"/>
              <w:bottom w:val="single" w:sz="4" w:space="0" w:color="000000"/>
              <w:right w:val="single" w:sz="4" w:space="0" w:color="000000"/>
            </w:tcBorders>
            <w:shd w:val="clear" w:color="auto" w:fill="D9D9D9"/>
          </w:tcPr>
          <w:p w14:paraId="36133FD2" w14:textId="77777777" w:rsidR="00560B72" w:rsidRDefault="00560B72" w:rsidP="00A6052C">
            <w:r>
              <w:rPr>
                <w:rFonts w:eastAsia="Arial" w:cs="Arial"/>
                <w:b/>
              </w:rPr>
              <w:t xml:space="preserve"> </w:t>
            </w:r>
          </w:p>
          <w:p w14:paraId="1B842E2A" w14:textId="77777777" w:rsidR="00560B72" w:rsidRDefault="00560B72" w:rsidP="00A6052C">
            <w:pPr>
              <w:ind w:left="106"/>
            </w:pPr>
            <w:r>
              <w:rPr>
                <w:rFonts w:eastAsia="Arial" w:cs="Arial"/>
                <w:b/>
              </w:rPr>
              <w:t xml:space="preserve">Assignment Title: </w:t>
            </w:r>
          </w:p>
        </w:tc>
        <w:tc>
          <w:tcPr>
            <w:tcW w:w="3145" w:type="dxa"/>
            <w:tcBorders>
              <w:top w:val="single" w:sz="4" w:space="0" w:color="000000"/>
              <w:left w:val="single" w:sz="4" w:space="0" w:color="000000"/>
              <w:bottom w:val="single" w:sz="4" w:space="0" w:color="000000"/>
              <w:right w:val="single" w:sz="4" w:space="0" w:color="000000"/>
            </w:tcBorders>
            <w:vAlign w:val="center"/>
          </w:tcPr>
          <w:p w14:paraId="38EBB0B0" w14:textId="77777777" w:rsidR="00560B72" w:rsidRDefault="00560B72" w:rsidP="00A6052C">
            <w:pPr>
              <w:spacing w:after="96"/>
              <w:ind w:left="108"/>
            </w:pPr>
            <w:r>
              <w:rPr>
                <w:rFonts w:eastAsia="Arial" w:cs="Arial"/>
                <w:b/>
              </w:rPr>
              <w:t xml:space="preserve">Assessment component 1: </w:t>
            </w:r>
          </w:p>
          <w:p w14:paraId="44E628F4" w14:textId="77777777" w:rsidR="00560B72" w:rsidRDefault="00560B72" w:rsidP="00A6052C">
            <w:pPr>
              <w:ind w:left="108"/>
            </w:pPr>
            <w:r>
              <w:rPr>
                <w:rFonts w:eastAsia="Arial" w:cs="Arial"/>
                <w:b/>
              </w:rPr>
              <w:t xml:space="preserve">Marketing Environment </w:t>
            </w:r>
          </w:p>
          <w:p w14:paraId="4CBDEA63" w14:textId="77777777" w:rsidR="00560B72" w:rsidRDefault="00560B72" w:rsidP="00A6052C">
            <w:pPr>
              <w:ind w:left="108"/>
            </w:pPr>
            <w:r>
              <w:rPr>
                <w:rFonts w:eastAsia="Arial" w:cs="Arial"/>
                <w:b/>
              </w:rPr>
              <w:t xml:space="preserve">Analysis </w:t>
            </w:r>
          </w:p>
        </w:tc>
        <w:tc>
          <w:tcPr>
            <w:tcW w:w="2045" w:type="dxa"/>
            <w:tcBorders>
              <w:top w:val="single" w:sz="4" w:space="0" w:color="000000"/>
              <w:left w:val="single" w:sz="4" w:space="0" w:color="000000"/>
              <w:bottom w:val="single" w:sz="4" w:space="0" w:color="000000"/>
              <w:right w:val="single" w:sz="4" w:space="0" w:color="000000"/>
            </w:tcBorders>
            <w:shd w:val="clear" w:color="auto" w:fill="D9D9D9"/>
          </w:tcPr>
          <w:p w14:paraId="2CD5B853" w14:textId="77777777" w:rsidR="00560B72" w:rsidRDefault="00560B72" w:rsidP="00A6052C">
            <w:r>
              <w:rPr>
                <w:rFonts w:eastAsia="Arial" w:cs="Arial"/>
                <w:b/>
              </w:rPr>
              <w:t xml:space="preserve"> </w:t>
            </w:r>
          </w:p>
          <w:p w14:paraId="1E0D1242" w14:textId="77777777" w:rsidR="00560B72" w:rsidRDefault="00560B72" w:rsidP="00A6052C">
            <w:pPr>
              <w:ind w:left="106"/>
            </w:pPr>
            <w:r>
              <w:rPr>
                <w:rFonts w:eastAsia="Arial" w:cs="Arial"/>
                <w:b/>
              </w:rPr>
              <w:t xml:space="preserve">Word count (or equivalent): </w:t>
            </w:r>
          </w:p>
        </w:tc>
        <w:tc>
          <w:tcPr>
            <w:tcW w:w="2264" w:type="dxa"/>
            <w:gridSpan w:val="2"/>
            <w:tcBorders>
              <w:top w:val="single" w:sz="4" w:space="0" w:color="000000"/>
              <w:left w:val="single" w:sz="4" w:space="0" w:color="000000"/>
              <w:bottom w:val="single" w:sz="4" w:space="0" w:color="000000"/>
              <w:right w:val="single" w:sz="4" w:space="0" w:color="000000"/>
            </w:tcBorders>
          </w:tcPr>
          <w:p w14:paraId="76823A1A" w14:textId="77777777" w:rsidR="00560B72" w:rsidRDefault="00560B72" w:rsidP="00A6052C">
            <w:pPr>
              <w:ind w:left="3"/>
            </w:pPr>
            <w:r>
              <w:rPr>
                <w:rFonts w:eastAsia="Arial" w:cs="Arial"/>
                <w:b/>
              </w:rPr>
              <w:t xml:space="preserve"> </w:t>
            </w:r>
          </w:p>
          <w:p w14:paraId="7CFBE643" w14:textId="1482BA1C" w:rsidR="00560B72" w:rsidRPr="00560B72" w:rsidRDefault="00560B72" w:rsidP="00A6052C">
            <w:pPr>
              <w:ind w:left="108"/>
              <w:rPr>
                <w:b/>
                <w:bCs/>
              </w:rPr>
            </w:pPr>
            <w:r>
              <w:rPr>
                <w:b/>
                <w:bCs/>
              </w:rPr>
              <w:t>2701 Words</w:t>
            </w:r>
          </w:p>
        </w:tc>
      </w:tr>
    </w:tbl>
    <w:p w14:paraId="78500A0A" w14:textId="5955288C" w:rsidR="00762820" w:rsidRPr="00920C71" w:rsidRDefault="00762820" w:rsidP="006904E4">
      <w:pPr>
        <w:spacing w:after="120" w:line="360" w:lineRule="auto"/>
      </w:pPr>
    </w:p>
    <w:p w14:paraId="319E2356" w14:textId="3F82A258" w:rsidR="00762820" w:rsidRDefault="00762820" w:rsidP="006904E4">
      <w:pPr>
        <w:spacing w:after="120" w:line="360" w:lineRule="auto"/>
      </w:pPr>
      <w:r>
        <w:t xml:space="preserve">                           </w:t>
      </w:r>
    </w:p>
    <w:p w14:paraId="14438206" w14:textId="77777777" w:rsidR="00E60777" w:rsidRPr="00920C71" w:rsidRDefault="00E60777" w:rsidP="006904E4">
      <w:pPr>
        <w:spacing w:after="120" w:line="360" w:lineRule="auto"/>
      </w:pPr>
    </w:p>
    <w:p w14:paraId="1ABE5DE8" w14:textId="77777777" w:rsidR="00762820" w:rsidRPr="00920C71" w:rsidRDefault="00762820" w:rsidP="006904E4">
      <w:pPr>
        <w:spacing w:after="120" w:line="360" w:lineRule="auto"/>
        <w:rPr>
          <w:sz w:val="28"/>
          <w:szCs w:val="28"/>
          <w:highlight w:val="yellow"/>
        </w:rPr>
      </w:pPr>
    </w:p>
    <w:p w14:paraId="14254196" w14:textId="77777777" w:rsidR="00762820" w:rsidRPr="00920C71" w:rsidRDefault="00762820" w:rsidP="006904E4">
      <w:pPr>
        <w:spacing w:after="120" w:line="360" w:lineRule="auto"/>
        <w:rPr>
          <w:sz w:val="28"/>
          <w:szCs w:val="28"/>
          <w:highlight w:val="yellow"/>
        </w:rPr>
      </w:pPr>
    </w:p>
    <w:p w14:paraId="7451C2B9" w14:textId="77777777" w:rsidR="00762820" w:rsidRPr="00920C71" w:rsidRDefault="00762820" w:rsidP="006904E4">
      <w:pPr>
        <w:spacing w:after="120" w:line="360" w:lineRule="auto"/>
        <w:rPr>
          <w:sz w:val="28"/>
          <w:szCs w:val="28"/>
          <w:highlight w:val="yellow"/>
        </w:rPr>
      </w:pPr>
    </w:p>
    <w:p w14:paraId="7FA82BFD" w14:textId="77777777" w:rsidR="00762820" w:rsidRPr="00920C71" w:rsidRDefault="00762820" w:rsidP="006904E4">
      <w:pPr>
        <w:spacing w:after="120" w:line="360" w:lineRule="auto"/>
        <w:rPr>
          <w:sz w:val="28"/>
          <w:szCs w:val="28"/>
          <w:highlight w:val="yellow"/>
        </w:rPr>
      </w:pPr>
    </w:p>
    <w:p w14:paraId="71AC819E" w14:textId="77777777" w:rsidR="00762820" w:rsidRPr="00920C71" w:rsidRDefault="00762820" w:rsidP="006904E4">
      <w:pPr>
        <w:spacing w:after="120" w:line="360" w:lineRule="auto"/>
        <w:rPr>
          <w:sz w:val="28"/>
          <w:szCs w:val="28"/>
          <w:highlight w:val="yellow"/>
        </w:rPr>
      </w:pPr>
    </w:p>
    <w:p w14:paraId="01F57C38" w14:textId="77777777" w:rsidR="00762820" w:rsidRPr="00920C71" w:rsidRDefault="00762820" w:rsidP="006904E4">
      <w:pPr>
        <w:spacing w:after="120" w:line="360" w:lineRule="auto"/>
        <w:rPr>
          <w:sz w:val="28"/>
          <w:szCs w:val="28"/>
          <w:highlight w:val="yellow"/>
        </w:rPr>
      </w:pPr>
    </w:p>
    <w:p w14:paraId="41AB2086" w14:textId="77777777" w:rsidR="00762820" w:rsidRPr="00920C71" w:rsidRDefault="00762820" w:rsidP="006904E4">
      <w:pPr>
        <w:spacing w:after="120" w:line="360" w:lineRule="auto"/>
        <w:rPr>
          <w:sz w:val="28"/>
          <w:szCs w:val="28"/>
          <w:highlight w:val="yellow"/>
        </w:rPr>
      </w:pPr>
    </w:p>
    <w:p w14:paraId="5322AD4B" w14:textId="71D4E5EB" w:rsidR="003C3FD9" w:rsidRPr="003C3FD9" w:rsidRDefault="007F0513" w:rsidP="006904E4">
      <w:pPr>
        <w:spacing w:after="120" w:line="360" w:lineRule="auto"/>
        <w:rPr>
          <w:rFonts w:ascii="Times New Roman" w:hAnsi="Times New Roman"/>
          <w:b/>
          <w:bCs/>
          <w:sz w:val="28"/>
          <w:szCs w:val="28"/>
          <w:highlight w:val="yellow"/>
        </w:rPr>
      </w:pPr>
      <w:r>
        <w:rPr>
          <w:sz w:val="28"/>
          <w:szCs w:val="28"/>
          <w:highlight w:val="yellow"/>
        </w:rPr>
        <w:br w:type="page"/>
      </w:r>
    </w:p>
    <w:sdt>
      <w:sdtPr>
        <w:rPr>
          <w:rFonts w:ascii="Times New Roman" w:hAnsi="Times New Roman"/>
          <w:b/>
          <w:bCs/>
        </w:rPr>
        <w:id w:val="219131419"/>
        <w:docPartObj>
          <w:docPartGallery w:val="Table of Contents"/>
          <w:docPartUnique/>
        </w:docPartObj>
      </w:sdtPr>
      <w:sdtEndPr>
        <w:rPr>
          <w:rFonts w:ascii="Arial" w:hAnsi="Arial"/>
          <w:b w:val="0"/>
          <w:bCs w:val="0"/>
        </w:rPr>
      </w:sdtEndPr>
      <w:sdtContent>
        <w:p w14:paraId="0545880A" w14:textId="5BD3459E" w:rsidR="007F0513" w:rsidRPr="004C695E" w:rsidRDefault="007F0513" w:rsidP="006904E4">
          <w:pPr>
            <w:spacing w:after="120" w:line="360" w:lineRule="auto"/>
            <w:rPr>
              <w:b/>
              <w:bCs/>
            </w:rPr>
          </w:pPr>
          <w:r>
            <w:rPr>
              <w:rFonts w:ascii="Times New Roman" w:hAnsi="Times New Roman" w:cs="Times New Roman"/>
              <w:b/>
              <w:bCs/>
              <w:szCs w:val="24"/>
            </w:rPr>
            <w:t>Table of Contents</w:t>
          </w:r>
        </w:p>
        <w:p w14:paraId="22FB38F8" w14:textId="3E20D406" w:rsidR="00560B72" w:rsidRDefault="002B4B53">
          <w:pPr>
            <w:pStyle w:val="TOC1"/>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r>
            <w:fldChar w:fldCharType="begin"/>
            <w:instrText xml:space="preserve"> TOC \o "1-3" \h \z \u </w:instrText>
            <w:fldChar w:fldCharType="separate"/>
          </w:r>
          <w:hyperlink w:anchor="_Toc224409302" w:history="1">
            <w:r>
              <w:rPr>
                <w:rStyle w:val="Hyperlink"/>
                <w:noProof/>
              </w:rPr>
              <w:t>Introduction</w:t>
            </w:r>
            <w:r>
              <w:rPr>
                <w:noProof/>
                <w:webHidden/>
              </w:rPr>
              <w:tab/>
              <w:fldChar w:fldCharType="begin"/>
              <w:instrText xml:space="preserve"> PAGEREF _Toc224409302 \h </w:instrText>
              <w:fldChar w:fldCharType="separate"/>
              <w:t>3</w:t>
              <w:fldChar w:fldCharType="end"/>
            </w:r>
          </w:hyperlink>
        </w:p>
        <w:p w14:paraId="1AC53918" w14:textId="28A05375" w:rsidR="00560B72" w:rsidRDefault="00560B72">
          <w:pPr>
            <w:pStyle w:val="TOC1"/>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3" w:history="1">
            <w:r>
              <w:rPr>
                <w:rStyle w:val="Hyperlink"/>
                <w:noProof/>
              </w:rPr>
              <w:t>Task 1: Macro Marketing Environment Analysis</w:t>
            </w:r>
            <w:r>
              <w:rPr>
                <w:noProof/>
                <w:webHidden/>
              </w:rPr>
              <w:tab/>
              <w:fldChar w:fldCharType="begin"/>
              <w:instrText xml:space="preserve"> PAGEREF _Toc224409303 \h </w:instrText>
              <w:fldChar w:fldCharType="separate"/>
              <w:t>4</w:t>
              <w:fldChar w:fldCharType="end"/>
            </w:r>
          </w:hyperlink>
        </w:p>
        <w:p w14:paraId="1B2C0DA3" w14:textId="257C21CD"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4" w:history="1">
            <w:r>
              <w:rPr>
                <w:rStyle w:val="Hyperlink"/>
                <w:noProof/>
              </w:rPr>
              <w:t>1.1 Technological Factors</w:t>
            </w:r>
            <w:r>
              <w:rPr>
                <w:noProof/>
                <w:webHidden/>
              </w:rPr>
              <w:tab/>
              <w:fldChar w:fldCharType="begin"/>
              <w:instrText xml:space="preserve"> PAGEREF _Toc224409304 \h </w:instrText>
              <w:fldChar w:fldCharType="separate"/>
              <w:t>4</w:t>
              <w:fldChar w:fldCharType="end"/>
            </w:r>
          </w:hyperlink>
        </w:p>
        <w:p w14:paraId="0413D75F" w14:textId="20D0DFBD"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5" w:history="1">
            <w:r>
              <w:rPr>
                <w:rStyle w:val="Hyperlink"/>
                <w:noProof/>
              </w:rPr>
              <w:t>1.2 Political and Environmental Factors</w:t>
            </w:r>
            <w:r>
              <w:rPr>
                <w:noProof/>
                <w:webHidden/>
              </w:rPr>
              <w:tab/>
              <w:fldChar w:fldCharType="begin"/>
              <w:instrText xml:space="preserve"> PAGEREF _Toc224409305 \h </w:instrText>
              <w:fldChar w:fldCharType="separate"/>
              <w:t>6</w:t>
              <w:fldChar w:fldCharType="end"/>
            </w:r>
          </w:hyperlink>
        </w:p>
        <w:p w14:paraId="083A10FC" w14:textId="6EBAD91E"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6" w:history="1">
            <w:r>
              <w:rPr>
                <w:rStyle w:val="Hyperlink"/>
                <w:noProof/>
              </w:rPr>
              <w:t>1.3 The model influences the competitive position</w:t>
            </w:r>
            <w:r>
              <w:rPr>
                <w:noProof/>
                <w:webHidden/>
              </w:rPr>
              <w:tab/>
              <w:fldChar w:fldCharType="begin"/>
              <w:instrText xml:space="preserve"> PAGEREF _Toc224409306 \h </w:instrText>
              <w:fldChar w:fldCharType="separate"/>
              <w:t>8</w:t>
              <w:fldChar w:fldCharType="end"/>
            </w:r>
          </w:hyperlink>
        </w:p>
        <w:p w14:paraId="36AA533D" w14:textId="52C7BFD9" w:rsidR="00560B72" w:rsidRDefault="00560B72">
          <w:pPr>
            <w:pStyle w:val="TOC1"/>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7" w:history="1">
            <w:r>
              <w:rPr>
                <w:rStyle w:val="Hyperlink"/>
                <w:noProof/>
              </w:rPr>
              <w:t>Task 2: Macro-Environmental Factors Strategic Responses</w:t>
            </w:r>
            <w:r>
              <w:rPr>
                <w:noProof/>
                <w:webHidden/>
              </w:rPr>
              <w:tab/>
              <w:fldChar w:fldCharType="begin"/>
              <w:instrText xml:space="preserve"> PAGEREF _Toc224409307 \h </w:instrText>
              <w:fldChar w:fldCharType="separate"/>
              <w:t>9</w:t>
              <w:fldChar w:fldCharType="end"/>
            </w:r>
          </w:hyperlink>
        </w:p>
        <w:p w14:paraId="3F480DC6" w14:textId="2EA452B3"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8" w:history="1">
            <w:r>
              <w:rPr>
                <w:rStyle w:val="Hyperlink"/>
                <w:noProof/>
              </w:rPr>
              <w:t>2.1 Strategic Response depending on the generic strategies developed by Porter</w:t>
            </w:r>
            <w:r>
              <w:rPr>
                <w:noProof/>
                <w:webHidden/>
              </w:rPr>
              <w:tab/>
              <w:fldChar w:fldCharType="begin"/>
              <w:instrText xml:space="preserve"> PAGEREF _Toc224409308 \h </w:instrText>
              <w:fldChar w:fldCharType="separate"/>
              <w:t>9</w:t>
              <w:fldChar w:fldCharType="end"/>
            </w:r>
          </w:hyperlink>
        </w:p>
        <w:p w14:paraId="4A452AC3" w14:textId="796057CF" w:rsidR="00560B72" w:rsidRDefault="00560B72">
          <w:pPr>
            <w:pStyle w:val="TOC3"/>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09" w:history="1">
            <w:r>
              <w:rPr>
                <w:rStyle w:val="Hyperlink"/>
                <w:noProof/>
              </w:rPr>
              <w:t>2.1.1 The Differentiation Strategy of Tesla</w:t>
            </w:r>
            <w:r>
              <w:rPr>
                <w:noProof/>
                <w:webHidden/>
              </w:rPr>
              <w:tab/>
              <w:fldChar w:fldCharType="begin"/>
              <w:instrText xml:space="preserve"> PAGEREF _Toc224409309 \h </w:instrText>
              <w:fldChar w:fldCharType="separate"/>
              <w:t>9</w:t>
              <w:fldChar w:fldCharType="end"/>
            </w:r>
          </w:hyperlink>
        </w:p>
        <w:p w14:paraId="5A865FC4" w14:textId="58166868" w:rsidR="00560B72" w:rsidRDefault="00560B72">
          <w:pPr>
            <w:pStyle w:val="TOC3"/>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0" w:history="1">
            <w:r>
              <w:rPr>
                <w:rStyle w:val="Hyperlink"/>
                <w:noProof/>
              </w:rPr>
              <w:t>2.1.2 Competitive and Market-Based Strategy of Ford</w:t>
            </w:r>
            <w:r>
              <w:rPr>
                <w:noProof/>
                <w:webHidden/>
              </w:rPr>
              <w:tab/>
              <w:fldChar w:fldCharType="begin"/>
              <w:instrText xml:space="preserve"> PAGEREF _Toc224409310 \h </w:instrText>
              <w:fldChar w:fldCharType="separate"/>
              <w:t>10</w:t>
              <w:fldChar w:fldCharType="end"/>
            </w:r>
          </w:hyperlink>
        </w:p>
        <w:p w14:paraId="7014D5BD" w14:textId="7A63C1C8"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1" w:history="1">
            <w:r>
              <w:rPr>
                <w:rStyle w:val="Hyperlink"/>
                <w:noProof/>
              </w:rPr>
              <w:t>2.2 Strategy Response based on the Growth Matrix of Ansoff</w:t>
            </w:r>
            <w:r>
              <w:rPr>
                <w:noProof/>
                <w:webHidden/>
              </w:rPr>
              <w:tab/>
              <w:fldChar w:fldCharType="begin"/>
              <w:instrText xml:space="preserve"> PAGEREF _Toc224409311 \h </w:instrText>
              <w:fldChar w:fldCharType="separate"/>
              <w:t>11</w:t>
              <w:fldChar w:fldCharType="end"/>
            </w:r>
          </w:hyperlink>
        </w:p>
        <w:p w14:paraId="6A58B74F" w14:textId="16837504" w:rsidR="00560B72" w:rsidRDefault="00560B72">
          <w:pPr>
            <w:pStyle w:val="TOC3"/>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2" w:history="1">
            <w:r>
              <w:rPr>
                <w:rStyle w:val="Hyperlink"/>
                <w:noProof/>
              </w:rPr>
              <w:t>2.2.1 Tesla's Growth Strategy</w:t>
            </w:r>
            <w:r>
              <w:rPr>
                <w:noProof/>
                <w:webHidden/>
              </w:rPr>
              <w:tab/>
              <w:fldChar w:fldCharType="begin"/>
              <w:instrText xml:space="preserve"> PAGEREF _Toc224409312 \h </w:instrText>
              <w:fldChar w:fldCharType="separate"/>
              <w:t>12</w:t>
              <w:fldChar w:fldCharType="end"/>
            </w:r>
          </w:hyperlink>
        </w:p>
        <w:p w14:paraId="687D3115" w14:textId="7248E290" w:rsidR="00560B72" w:rsidRDefault="00560B72">
          <w:pPr>
            <w:pStyle w:val="TOC3"/>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3" w:history="1">
            <w:r>
              <w:rPr>
                <w:rStyle w:val="Hyperlink"/>
                <w:noProof/>
              </w:rPr>
              <w:t>2.2.2 Ford's Growth Strategy</w:t>
            </w:r>
            <w:r>
              <w:rPr>
                <w:noProof/>
                <w:webHidden/>
              </w:rPr>
              <w:tab/>
              <w:fldChar w:fldCharType="begin"/>
              <w:instrText xml:space="preserve"> PAGEREF _Toc224409313 \h </w:instrText>
              <w:fldChar w:fldCharType="separate"/>
              <w:t>13</w:t>
              <w:fldChar w:fldCharType="end"/>
            </w:r>
          </w:hyperlink>
        </w:p>
        <w:p w14:paraId="25D0D53D" w14:textId="40A7B088" w:rsidR="00560B72" w:rsidRDefault="00560B72">
          <w:pPr>
            <w:pStyle w:val="TOC2"/>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4" w:history="1">
            <w:r>
              <w:rPr>
                <w:rStyle w:val="Hyperlink"/>
                <w:noProof/>
              </w:rPr>
              <w:t>2.3 Comparative Assessment of Strategic Responses</w:t>
            </w:r>
            <w:r>
              <w:rPr>
                <w:noProof/>
                <w:webHidden/>
              </w:rPr>
              <w:tab/>
              <w:fldChar w:fldCharType="begin"/>
              <w:instrText xml:space="preserve"> PAGEREF _Toc224409314 \h </w:instrText>
              <w:fldChar w:fldCharType="separate"/>
              <w:t>14</w:t>
              <w:fldChar w:fldCharType="end"/>
            </w:r>
          </w:hyperlink>
        </w:p>
        <w:p w14:paraId="57913A22" w14:textId="440872A1" w:rsidR="00560B72" w:rsidRDefault="00560B72">
          <w:pPr>
            <w:pStyle w:val="TOC1"/>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5" w:history="1">
            <w:r>
              <w:rPr>
                <w:rStyle w:val="Hyperlink"/>
                <w:noProof/>
              </w:rPr>
              <w:t>Conclusion</w:t>
            </w:r>
            <w:r>
              <w:rPr>
                <w:noProof/>
                <w:webHidden/>
              </w:rPr>
              <w:tab/>
              <w:fldChar w:fldCharType="begin"/>
              <w:instrText xml:space="preserve"> PAGEREF _Toc224409315 \h </w:instrText>
              <w:fldChar w:fldCharType="separate"/>
              <w:t>15</w:t>
              <w:fldChar w:fldCharType="end"/>
            </w:r>
          </w:hyperlink>
        </w:p>
        <w:p w14:paraId="7970144C" w14:textId="2A6CB0CF" w:rsidR="00560B72" w:rsidRDefault="00560B72">
          <w:pPr>
            <w:pStyle w:val="TOC1"/>
            <w:tabs>
              <w:tab w:val="right" w:leader="dot" w:pos="9350"/>
            </w:tabs>
            <w:rPr>
              <w:rFonts w:asciiTheme="minorHAnsi" w:eastAsiaTheme="minorEastAsia" w:hAnsiTheme="minorHAnsi" w:cstheme="minorBidi"/>
              <w:noProof/>
              <w:color w:val="auto"/>
              <w:kern w:val="2"/>
              <w:szCs w:val="24"/>
              <w:lang w:val="en-001" w:eastAsia="en-001"/>
              <w14:ligatures w14:val="standardContextual"/>
            </w:rPr>
          </w:pPr>
          <w:hyperlink w:anchor="_Toc224409316" w:history="1">
            <w:r>
              <w:rPr>
                <w:rStyle w:val="Hyperlink"/>
                <w:noProof/>
              </w:rPr>
              <w:t>References</w:t>
            </w:r>
            <w:r>
              <w:rPr>
                <w:noProof/>
                <w:webHidden/>
              </w:rPr>
              <w:tab/>
              <w:fldChar w:fldCharType="begin"/>
              <w:instrText xml:space="preserve"> PAGEREF _Toc224409316 \h </w:instrText>
              <w:fldChar w:fldCharType="separate"/>
              <w:t>16</w:t>
              <w:fldChar w:fldCharType="end"/>
            </w:r>
          </w:hyperlink>
        </w:p>
        <w:p w14:paraId="3432454E" w14:textId="5BC7A1AB" w:rsidR="007F0513" w:rsidRPr="00920C71" w:rsidRDefault="002B4B53" w:rsidP="006904E4">
          <w:pPr>
            <w:spacing w:after="120" w:line="360" w:lineRule="auto"/>
          </w:pPr>
          <w:r>
            <w:fldChar w:fldCharType="end"/>
          </w:r>
        </w:p>
      </w:sdtContent>
    </w:sdt>
    <w:p w14:paraId="07998A18" w14:textId="77777777" w:rsidR="007F0513" w:rsidRPr="00920C71" w:rsidRDefault="007F0513" w:rsidP="006904E4">
      <w:pPr>
        <w:spacing w:after="120" w:line="360" w:lineRule="auto"/>
        <w:rPr>
          <w:sz w:val="28"/>
          <w:szCs w:val="28"/>
          <w:highlight w:val="yellow"/>
        </w:rPr>
      </w:pPr>
      <w:r>
        <w:rPr>
          <w:sz w:val="28"/>
          <w:szCs w:val="28"/>
          <w:highlight w:val="yellow"/>
        </w:rPr>
        <w:br w:type="page"/>
      </w:r>
    </w:p>
    <w:p w14:paraId="1D196279" w14:textId="68F7A519" w:rsidR="003C3FD9" w:rsidRDefault="00762820" w:rsidP="006904E4">
      <w:pPr>
        <w:pStyle w:val="Heading1"/>
        <w:spacing w:after="120"/>
        <w:ind w:left="0"/>
      </w:pPr>
      <w:bookmarkStart w:id="0" w:name="_Toc224409302"/>
      <w:r>
        <w:lastRenderedPageBreak/>
        <w:t>Introduction</w:t>
      </w:r>
      <w:bookmarkEnd w:id="0"/>
    </w:p>
    <w:p w14:paraId="4C692CC3" w14:textId="77777777" w:rsidR="009435C0" w:rsidRDefault="00E57D56" w:rsidP="006904E4">
      <w:pPr>
        <w:spacing w:after="120" w:line="360" w:lineRule="auto"/>
        <w:jc w:val="both"/>
      </w:pPr>
      <w:r>
        <w:t xml:space="preserve">The global electric vehicle (EV) market has expanded rapidly due to growing environmental concerns, technological advances, and government policies. The growing awareness of climate change and the need to minimise carbon emissions has stimulated a transition by manufacturers and consumers towards sustainable forms of transportation (Jelti, et al., 2023). Advances in battery technology, charging networks, and AI-driven vehicles have continued to increase the pace of EV usage, and the market is very competitive. </w:t>
      </w:r>
    </w:p>
    <w:p w14:paraId="29C14747" w14:textId="330264AE" w:rsidR="007D1814" w:rsidRDefault="00E57D56" w:rsidP="006904E4">
      <w:pPr>
        <w:spacing w:after="120" w:line="360" w:lineRule="auto"/>
        <w:jc w:val="both"/>
      </w:pPr>
      <w:r>
        <w:t>It is well known that Tesla is a leader in the EV market, and they are highly geared toward innovation and new technology in the electric vehicle market (Mo, et al., 2022). By comparison, Ford Motor Company is a conventional automobile-producing company that has been implementing EV strategies to accommodate the shifting market environment and to stay competitive (Ford, 2025).</w:t>
      </w:r>
    </w:p>
    <w:p w14:paraId="77369326" w14:textId="77777777" w:rsidR="006C13AB" w:rsidRDefault="006C13AB" w:rsidP="006904E4">
      <w:pPr>
        <w:keepNext/>
        <w:spacing w:after="120" w:line="360" w:lineRule="auto"/>
        <w:jc w:val="center"/>
      </w:pPr>
      <w:r>
        <w:rPr>
          <w:noProof/>
        </w:rPr>
        <w:drawing>
          <wp:inline distT="0" distB="0" distL="0" distR="0" wp14:anchorId="10D015E9" wp14:editId="38611F85">
            <wp:extent cx="2546073" cy="421419"/>
            <wp:effectExtent l="0" t="0" r="0" b="0"/>
            <wp:docPr id="162640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09636" name=""/>
                    <pic:cNvPicPr/>
                  </pic:nvPicPr>
                  <pic:blipFill>
                    <a:blip r:embed="rId7"/>
                    <a:stretch>
                      <a:fillRect/>
                    </a:stretch>
                  </pic:blipFill>
                  <pic:spPr>
                    <a:xfrm>
                      <a:off x="0" y="0"/>
                      <a:ext cx="2558694" cy="423508"/>
                    </a:xfrm>
                    <a:prstGeom prst="rect">
                      <a:avLst/>
                    </a:prstGeom>
                  </pic:spPr>
                </pic:pic>
              </a:graphicData>
            </a:graphic>
          </wp:inline>
        </w:drawing>
      </w:r>
    </w:p>
    <w:p w14:paraId="2ED8B66E" w14:textId="1E464CA4" w:rsidR="006C13AB" w:rsidRPr="00A2269D" w:rsidRDefault="006C13AB" w:rsidP="006904E4">
      <w:pPr>
        <w:pStyle w:val="Caption"/>
        <w:spacing w:after="120"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1</w:t>
      </w:r>
      <w:r>
        <w:rPr>
          <w:b/>
          <w:bCs/>
          <w:color w:val="000000" w:themeColor="text1"/>
          <w:sz w:val="24"/>
          <w:szCs w:val="24"/>
        </w:rPr>
        <w:fldChar w:fldCharType="end"/>
        <w:t>: Tesla Logo</w:t>
      </w:r>
    </w:p>
    <w:p w14:paraId="1C406ACC" w14:textId="3320C672" w:rsidR="006C13AB" w:rsidRDefault="006C13AB" w:rsidP="006904E4">
      <w:pPr>
        <w:spacing w:after="120" w:line="360" w:lineRule="auto"/>
        <w:jc w:val="center"/>
        <w:rPr>
          <w:b/>
          <w:bCs/>
          <w:i/>
          <w:iCs/>
          <w:szCs w:val="24"/>
        </w:rPr>
      </w:pPr>
      <w:r>
        <w:rPr>
          <w:b/>
          <w:bCs/>
          <w:i/>
          <w:iCs/>
          <w:szCs w:val="24"/>
        </w:rPr>
        <w:t>(Source: Tesla, 2026)</w:t>
      </w:r>
    </w:p>
    <w:p w14:paraId="30E17B8B" w14:textId="77777777" w:rsidR="00876392" w:rsidRDefault="00165A5F" w:rsidP="006904E4">
      <w:pPr>
        <w:keepNext/>
        <w:spacing w:after="120" w:line="360" w:lineRule="auto"/>
        <w:jc w:val="center"/>
      </w:pPr>
      <w:r>
        <w:rPr>
          <w:b/>
          <w:bCs/>
          <w:i/>
          <w:iCs/>
          <w:noProof/>
          <w:szCs w:val="24"/>
        </w:rPr>
        <w:drawing>
          <wp:inline distT="0" distB="0" distL="0" distR="0" wp14:anchorId="2D86E30A" wp14:editId="18B4FBF1">
            <wp:extent cx="2870420" cy="1428750"/>
            <wp:effectExtent l="0" t="0" r="0" b="0"/>
            <wp:docPr id="24941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13994" name=""/>
                    <pic:cNvPicPr/>
                  </pic:nvPicPr>
                  <pic:blipFill rotWithShape="1">
                    <a:blip r:embed="rId8"/>
                    <a:srcRect l="1" r="2157"/>
                    <a:stretch>
                      <a:fillRect/>
                    </a:stretch>
                  </pic:blipFill>
                  <pic:spPr bwMode="auto">
                    <a:xfrm>
                      <a:off x="0" y="0"/>
                      <a:ext cx="2870820" cy="1428949"/>
                    </a:xfrm>
                    <a:prstGeom prst="rect">
                      <a:avLst/>
                    </a:prstGeom>
                    <a:ln>
                      <a:noFill/>
                    </a:ln>
                    <a:extLst>
                      <a:ext uri="{53640926-AAD7-44D8-BBD7-CCE9431645EC}">
                        <a14:shadowObscured xmlns:a14="http://schemas.microsoft.com/office/drawing/2010/main"/>
                      </a:ext>
                    </a:extLst>
                  </pic:spPr>
                </pic:pic>
              </a:graphicData>
            </a:graphic>
          </wp:inline>
        </w:drawing>
      </w:r>
    </w:p>
    <w:p w14:paraId="5F46529C" w14:textId="121A27E4" w:rsidR="0099686D" w:rsidRPr="009A104A" w:rsidRDefault="00876392" w:rsidP="006904E4">
      <w:pPr>
        <w:pStyle w:val="Caption"/>
        <w:spacing w:after="120"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2</w:t>
      </w:r>
      <w:r>
        <w:rPr>
          <w:b/>
          <w:bCs/>
          <w:color w:val="000000" w:themeColor="text1"/>
          <w:sz w:val="24"/>
          <w:szCs w:val="24"/>
        </w:rPr>
        <w:fldChar w:fldCharType="end"/>
        <w:t>: Ford Logo</w:t>
      </w:r>
    </w:p>
    <w:p w14:paraId="5C3406F6" w14:textId="785C51E6" w:rsidR="00876392" w:rsidRPr="009A104A" w:rsidRDefault="00876392" w:rsidP="006904E4">
      <w:pPr>
        <w:spacing w:after="120" w:line="360" w:lineRule="auto"/>
        <w:jc w:val="center"/>
        <w:rPr>
          <w:b/>
          <w:bCs/>
          <w:i/>
          <w:iCs/>
          <w:szCs w:val="24"/>
        </w:rPr>
      </w:pPr>
      <w:r>
        <w:rPr>
          <w:b/>
          <w:bCs/>
          <w:i/>
          <w:iCs/>
          <w:szCs w:val="24"/>
        </w:rPr>
        <w:t>(Source: Ford, 2026)</w:t>
      </w:r>
    </w:p>
    <w:p w14:paraId="655CA7E1" w14:textId="77777777" w:rsidR="007D1814" w:rsidRPr="009A104A" w:rsidRDefault="007D1814" w:rsidP="006904E4">
      <w:pPr>
        <w:spacing w:after="120" w:line="360" w:lineRule="auto"/>
        <w:rPr>
          <w:b/>
          <w:bCs/>
          <w:i/>
          <w:iCs/>
          <w:szCs w:val="24"/>
        </w:rPr>
      </w:pPr>
      <w:r>
        <w:rPr>
          <w:b/>
          <w:bCs/>
          <w:i/>
          <w:iCs/>
          <w:szCs w:val="24"/>
        </w:rPr>
        <w:br w:type="page"/>
      </w:r>
    </w:p>
    <w:p w14:paraId="05141D4A" w14:textId="724744D4" w:rsidR="00B95883" w:rsidRDefault="00B95883" w:rsidP="006904E4">
      <w:pPr>
        <w:pStyle w:val="Heading1"/>
        <w:spacing w:afterLines="120" w:after="288"/>
        <w:ind w:left="0"/>
      </w:pPr>
      <w:bookmarkStart w:id="1" w:name="_Toc224409303"/>
      <w:r>
        <w:lastRenderedPageBreak/>
        <w:t>Task 1: Macro Marketing Environment Analysis</w:t>
      </w:r>
      <w:bookmarkEnd w:id="1"/>
    </w:p>
    <w:p w14:paraId="38DF6EAA" w14:textId="77777777" w:rsidR="0070149E" w:rsidRDefault="0070149E" w:rsidP="006904E4">
      <w:pPr>
        <w:spacing w:line="360" w:lineRule="auto"/>
        <w:jc w:val="center"/>
      </w:pPr>
      <w:r>
        <w:rPr>
          <w:noProof/>
        </w:rPr>
        <w:drawing>
          <wp:inline distT="0" distB="0" distL="0" distR="0" wp14:anchorId="5E7ADE92" wp14:editId="7870C02C">
            <wp:extent cx="3990109" cy="2053883"/>
            <wp:effectExtent l="0" t="0" r="0" b="0"/>
            <wp:docPr id="1030392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92592" name=""/>
                    <pic:cNvPicPr/>
                  </pic:nvPicPr>
                  <pic:blipFill>
                    <a:blip r:embed="rId9"/>
                    <a:stretch>
                      <a:fillRect/>
                    </a:stretch>
                  </pic:blipFill>
                  <pic:spPr>
                    <a:xfrm>
                      <a:off x="0" y="0"/>
                      <a:ext cx="3997216" cy="2057542"/>
                    </a:xfrm>
                    <a:prstGeom prst="rect">
                      <a:avLst/>
                    </a:prstGeom>
                  </pic:spPr>
                </pic:pic>
              </a:graphicData>
            </a:graphic>
          </wp:inline>
        </w:drawing>
      </w:r>
    </w:p>
    <w:p w14:paraId="78B20AED" w14:textId="37DA147C" w:rsidR="0070149E" w:rsidRPr="00D17A0B" w:rsidRDefault="0070149E"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3</w:t>
      </w:r>
      <w:r>
        <w:rPr>
          <w:b/>
          <w:bCs/>
          <w:color w:val="000000" w:themeColor="text1"/>
          <w:sz w:val="24"/>
          <w:szCs w:val="24"/>
        </w:rPr>
        <w:fldChar w:fldCharType="end"/>
        <w:t>: Macro Marketing Environment Analysis</w:t>
      </w:r>
    </w:p>
    <w:p w14:paraId="3237A61F" w14:textId="697025DD" w:rsidR="0070149E" w:rsidRPr="00D17A0B" w:rsidRDefault="0070149E" w:rsidP="006904E4">
      <w:pPr>
        <w:spacing w:line="360" w:lineRule="auto"/>
        <w:jc w:val="center"/>
        <w:rPr>
          <w:b/>
          <w:bCs/>
          <w:i/>
          <w:iCs/>
          <w:szCs w:val="24"/>
        </w:rPr>
      </w:pPr>
      <w:r>
        <w:rPr>
          <w:b/>
          <w:bCs/>
          <w:i/>
          <w:iCs/>
          <w:szCs w:val="24"/>
        </w:rPr>
        <w:t>(Source: Internet Marketing, 2026)</w:t>
      </w:r>
    </w:p>
    <w:p w14:paraId="19229DA4" w14:textId="3AF68367" w:rsidR="00CA6033" w:rsidRDefault="00B95883" w:rsidP="006904E4">
      <w:pPr>
        <w:spacing w:afterLines="120" w:after="288" w:line="360" w:lineRule="auto"/>
        <w:jc w:val="both"/>
      </w:pPr>
      <w:r>
        <w:t xml:space="preserve">Macro environmental forces in the electric vehicle industry have significantly contributed to the changing of the competitive environment (Jagani and Hong, 2024). The world of mobility is moving towards sustainability faster through rapid technological innovation and rising environmental regulations. Tesla is generally known as a pioneering company that presented new technologies of electric vehicles and influenced the formation of the EV market. Conversely, Ford Motor Company is a follower organisation that has always specialised in internal combustion engine vehicles but has recently started to increase its presence in the EV sector. </w:t>
      </w:r>
    </w:p>
    <w:p w14:paraId="7B72C0A2" w14:textId="33C4BF66" w:rsidR="00B95883" w:rsidRDefault="00A22CDF" w:rsidP="006904E4">
      <w:pPr>
        <w:pStyle w:val="Heading2"/>
        <w:spacing w:before="0" w:line="360" w:lineRule="auto"/>
      </w:pPr>
      <w:bookmarkStart w:id="2" w:name="_Toc224409304"/>
      <w:r>
        <w:t>1.1 Technological Factors</w:t>
      </w:r>
      <w:bookmarkEnd w:id="2"/>
    </w:p>
    <w:p w14:paraId="662A482D" w14:textId="2F210404" w:rsidR="00B95883" w:rsidRDefault="00B95883" w:rsidP="006904E4">
      <w:pPr>
        <w:spacing w:afterLines="120" w:after="288" w:line="360" w:lineRule="auto"/>
        <w:jc w:val="both"/>
      </w:pPr>
      <w:r>
        <w:t>One of the macro-environmental forces that has the greatest impact on the automotive industry concerns technological innovation. The electric vehicle market has grown much faster due to improvements in battery technology, artificial intelligence, charging systems, and autonomous driving systems (Abro, et al., 2023). Such developments present companies with a chance of expanding the performance of their products and achieving customer value. They also need massive investments in research and development and high-tech production.</w:t>
      </w:r>
    </w:p>
    <w:p w14:paraId="0433140A" w14:textId="138E4196" w:rsidR="00B95883" w:rsidRDefault="00B95883" w:rsidP="006904E4">
      <w:pPr>
        <w:spacing w:afterLines="120" w:after="288" w:line="360" w:lineRule="auto"/>
        <w:jc w:val="both"/>
      </w:pPr>
      <w:r>
        <w:lastRenderedPageBreak/>
        <w:t>In the case of Tesla, the level of technological development has played an important role, which is the opportunity that enhances its competitive edge. Tesla pioneered the EV industry compared to most of the other traditional automotive manufacturers and established itself as a technology-based organisation. The company has invested a lot in research and development, aiming at enhancing the performance of batteries, software systems, and autonomous driving technologies. Tesla is also highly committed to innovation, for example, the company employed about 3.1 billion R&amp;D in 2023 (Abbes, 2025).</w:t>
      </w:r>
    </w:p>
    <w:p w14:paraId="78094615" w14:textId="582004D5" w:rsidR="00B95883" w:rsidRDefault="00B95883" w:rsidP="006904E4">
      <w:pPr>
        <w:spacing w:afterLines="120" w:after="288" w:line="360" w:lineRule="auto"/>
        <w:jc w:val="both"/>
      </w:pPr>
      <w:r>
        <w:t>Among the greatest technological advances achieved by Tesla, the creation of high-performance lithium-ion battery systems deserves to be mentioned. Tesla cars have a range exceeding 400 miles on a single charge, which is by far more than most of its early competitors in the electric car market (Rangarajan, et al., 2022). This technological aspect increases the reliability of the products and lessens the range of anxiety of consumers, and EVs are becoming more appealing as an efficient means of transportation.</w:t>
      </w:r>
    </w:p>
    <w:p w14:paraId="2783E3DE" w14:textId="75ED000C" w:rsidR="00B95883" w:rsidRDefault="00B95883" w:rsidP="006904E4">
      <w:pPr>
        <w:spacing w:afterLines="120" w:after="288" w:line="360" w:lineRule="auto"/>
        <w:jc w:val="both"/>
      </w:pPr>
      <w:r>
        <w:t>The next significant invention made by Tesla is the global Supercharger network, consisting of over 50,000 high-speed chargers in the entire world (Zentani, et al., 2024). Electric vehicles can be widely accepted as the convenience of customers is enhanced by the availability of fast-charging infrastructure. Tesla has built its own charging infrastructure to build a robust ecosystem to enhance its product portfolio and increase the loyalty of its customers.</w:t>
      </w:r>
    </w:p>
    <w:p w14:paraId="1536910F" w14:textId="7647AC55" w:rsidR="00B95883" w:rsidRDefault="00584C92" w:rsidP="006904E4">
      <w:pPr>
        <w:spacing w:afterLines="120" w:after="288" w:line="360" w:lineRule="auto"/>
        <w:jc w:val="both"/>
      </w:pPr>
      <w:r>
        <w:t>There are also some threats to Tesla due to technological innovation. Constant technological advancement requires a lot of money and innovation. With the growing competition in the EV market, leading automotive companies are putting billions of dollars into electric vehicle technologies to compete with Tesla (Mohammadi and Saif, 2023). The swift nature of technological evolution implies that Tesla needs to keep on enhancing its products to ensure that it does not lose its market leadership.</w:t>
      </w:r>
    </w:p>
    <w:p w14:paraId="4A129A61" w14:textId="10E94EDE" w:rsidR="00B95883" w:rsidRDefault="00B95883" w:rsidP="006904E4">
      <w:pPr>
        <w:spacing w:afterLines="120" w:after="288" w:line="360" w:lineRule="auto"/>
        <w:jc w:val="both"/>
      </w:pPr>
      <w:r>
        <w:lastRenderedPageBreak/>
        <w:t>Comparatively, the Ford Motor Company has been experiencing varying challenges concerning technological change. Ford has always specialised in manufacturing automobiles that run on internal combustion engines (Rimpas, et al., 2025). Consequently, the company has not entered the EV market as early as Tesla and is now forced to spend a lot of money on new technologies to stay afloat.</w:t>
      </w:r>
    </w:p>
    <w:p w14:paraId="4D8922E1" w14:textId="117A03DA" w:rsidR="00B95883" w:rsidRDefault="00B95883" w:rsidP="006904E4">
      <w:pPr>
        <w:spacing w:afterLines="120" w:after="288" w:line="360" w:lineRule="auto"/>
        <w:jc w:val="both"/>
      </w:pPr>
      <w:r>
        <w:t>Ford has declared intentions to invest over 50 billion in EV development in the period of 2022 to 2026 (Nair, et al., 2022). This investment is aimed at battery technology, the manufacturing of electric vehicles, and software systems. The company has already launched electric versions of its models, including Mustang Mach-E and F-150 Lightning, that combine the experience of traditional automotive products with new electric technologies.</w:t>
      </w:r>
    </w:p>
    <w:p w14:paraId="5475BBA9" w14:textId="0680AFEE" w:rsidR="00A22CDF" w:rsidRDefault="00A22CDF" w:rsidP="006904E4">
      <w:pPr>
        <w:pStyle w:val="Heading2"/>
        <w:spacing w:before="0" w:afterLines="120" w:after="288" w:line="360" w:lineRule="auto"/>
      </w:pPr>
      <w:bookmarkStart w:id="3" w:name="_Toc224409305"/>
      <w:r>
        <w:t>1.2 Political and Environmental Factors</w:t>
      </w:r>
      <w:bookmarkEnd w:id="3"/>
    </w:p>
    <w:p w14:paraId="6579C070" w14:textId="0F1F677B" w:rsidR="00A22CDF" w:rsidRDefault="00A22CDF" w:rsidP="006904E4">
      <w:pPr>
        <w:spacing w:afterLines="120" w:after="288" w:line="360" w:lineRule="auto"/>
        <w:jc w:val="both"/>
      </w:pPr>
      <w:r>
        <w:t>Another macro-environmental factor that influences the EV industry is political and environmental forces. World governments are adopting policies that minimises carbon emissions and encourage sustainable transportation (Ferrer and Thome, 2023). Such policies comprise environmental policies, financial incentives, tax credits, and investments in charging infrastructure.</w:t>
      </w:r>
    </w:p>
    <w:p w14:paraId="2D5F2327" w14:textId="6F3C9587" w:rsidR="00A22CDF" w:rsidRDefault="00A22CDF" w:rsidP="006904E4">
      <w:pPr>
        <w:spacing w:afterLines="120" w:after="288" w:line="360" w:lineRule="auto"/>
        <w:jc w:val="both"/>
      </w:pPr>
      <w:r>
        <w:t>In the case of Tesla, the policies present a huge growth opportunity. Electric vehicles are being subsidised and given tax breaks by many governments to get consumers to buy them. To explain, in the United States, consumers can get federal tax credits amounting to up to 7,500 with the purchase of eligible EV models (Patil, et al., 2024). These incentives minimises the cost of purchasing EVs and boost consumer demand for electric vehicles.</w:t>
      </w:r>
    </w:p>
    <w:p w14:paraId="70846407" w14:textId="77777777" w:rsidR="00A947D7" w:rsidRDefault="00A947D7" w:rsidP="006904E4">
      <w:pPr>
        <w:keepNext/>
        <w:spacing w:afterLines="120" w:after="288" w:line="360" w:lineRule="auto"/>
        <w:jc w:val="center"/>
      </w:pPr>
      <w:r>
        <w:rPr>
          <w:b/>
          <w:bCs/>
          <w:noProof/>
        </w:rPr>
        <w:lastRenderedPageBreak/>
        <w:drawing>
          <wp:inline distT="0" distB="0" distL="0" distR="0" wp14:anchorId="5AA863DD" wp14:editId="0DE0CBFF">
            <wp:extent cx="3717560" cy="1995054"/>
            <wp:effectExtent l="0" t="0" r="0" b="0"/>
            <wp:docPr id="1345045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45382" name=""/>
                    <pic:cNvPicPr/>
                  </pic:nvPicPr>
                  <pic:blipFill>
                    <a:blip r:embed="rId10"/>
                    <a:stretch>
                      <a:fillRect/>
                    </a:stretch>
                  </pic:blipFill>
                  <pic:spPr>
                    <a:xfrm>
                      <a:off x="0" y="0"/>
                      <a:ext cx="3734773" cy="2004291"/>
                    </a:xfrm>
                    <a:prstGeom prst="rect">
                      <a:avLst/>
                    </a:prstGeom>
                  </pic:spPr>
                </pic:pic>
              </a:graphicData>
            </a:graphic>
          </wp:inline>
        </w:drawing>
      </w:r>
    </w:p>
    <w:p w14:paraId="602D02BE" w14:textId="50B2D2CF" w:rsidR="00A947D7" w:rsidRPr="00BC170E" w:rsidRDefault="00A947D7"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4</w:t>
      </w:r>
      <w:r>
        <w:rPr>
          <w:b/>
          <w:bCs/>
          <w:color w:val="000000" w:themeColor="text1"/>
          <w:sz w:val="24"/>
          <w:szCs w:val="24"/>
        </w:rPr>
        <w:fldChar w:fldCharType="end"/>
        <w:t>: Tesla Product Price Positioning</w:t>
      </w:r>
    </w:p>
    <w:p w14:paraId="59A172F2" w14:textId="1CB9FA44" w:rsidR="00A947D7" w:rsidRPr="00BC170E" w:rsidRDefault="00A947D7" w:rsidP="006904E4">
      <w:pPr>
        <w:spacing w:line="360" w:lineRule="auto"/>
        <w:jc w:val="center"/>
        <w:rPr>
          <w:b/>
          <w:bCs/>
          <w:i/>
          <w:iCs/>
          <w:szCs w:val="24"/>
        </w:rPr>
      </w:pPr>
      <w:r>
        <w:rPr>
          <w:b/>
          <w:bCs/>
          <w:i/>
          <w:iCs/>
          <w:szCs w:val="24"/>
        </w:rPr>
        <w:t>(Source: Xiao, 2024)</w:t>
      </w:r>
    </w:p>
    <w:p w14:paraId="2D9FC800" w14:textId="77835DEA" w:rsidR="00A22CDF" w:rsidRDefault="00A22CDF" w:rsidP="006904E4">
      <w:pPr>
        <w:spacing w:afterLines="120" w:after="288" w:line="360" w:lineRule="auto"/>
        <w:jc w:val="both"/>
      </w:pPr>
      <w:r>
        <w:t>Besides financial incentives, governments are also establishing stricter emission standards to cut greenhouse gas emissions caused by transportation (Sathiyan, et al., 2022). Such regulations promote the removal of petrol and diesel vehicles to electric mobility. The fact that Tesla manufactures solely electric cars puts it in a strong position to take advantage of these regulatory changes.</w:t>
      </w:r>
    </w:p>
    <w:p w14:paraId="54A62F41" w14:textId="35AF129D" w:rsidR="00A22CDF" w:rsidRDefault="00A22CDF" w:rsidP="006904E4">
      <w:pPr>
        <w:spacing w:afterLines="120" w:after="288" w:line="360" w:lineRule="auto"/>
        <w:jc w:val="both"/>
      </w:pPr>
      <w:r>
        <w:t>There has also been an increased awareness of the environment among consumers over the past few years. Numerous consumers are willing to use products that can be compared with sustainability values and help to protect the environment. The great brand name of Tesla, as an eco-friendly company, is what enables the company to attract environmentally conscious consumers and investors (Tesla, 2026). Consequently, political factors and environmental factors in turn enhance the competitive advantage of Tesla in the EV market.</w:t>
      </w:r>
    </w:p>
    <w:p w14:paraId="086EAD56" w14:textId="501931D3" w:rsidR="00A22CDF" w:rsidRDefault="002322D6" w:rsidP="006904E4">
      <w:pPr>
        <w:spacing w:afterLines="120" w:after="288" w:line="360" w:lineRule="auto"/>
        <w:jc w:val="both"/>
      </w:pPr>
      <w:r>
        <w:t>These aspects can be even more threatening, as depending on the political priorities and the state of the economy, government policies and financial incentives can change. In case of subsidy cuts or elimination of subsidies on electric cars, it can have a negative influence on EV demand. Trade policies and geopolitical conflicts can impact the availability of key raw materials that are used in battery production, such as lithium and cobalt.</w:t>
      </w:r>
    </w:p>
    <w:p w14:paraId="76C486FC" w14:textId="77777777" w:rsidR="003D23E2" w:rsidRDefault="003D23E2" w:rsidP="006904E4">
      <w:pPr>
        <w:keepNext/>
        <w:spacing w:afterLines="120" w:after="288" w:line="360" w:lineRule="auto"/>
        <w:jc w:val="center"/>
      </w:pPr>
      <w:r>
        <w:rPr>
          <w:noProof/>
        </w:rPr>
        <w:lastRenderedPageBreak/>
        <w:drawing>
          <wp:inline distT="0" distB="0" distL="0" distR="0" wp14:anchorId="1B7B3A8E" wp14:editId="583F40A6">
            <wp:extent cx="3363923" cy="1947553"/>
            <wp:effectExtent l="0" t="0" r="0" b="0"/>
            <wp:docPr id="1811796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96356" name=""/>
                    <pic:cNvPicPr/>
                  </pic:nvPicPr>
                  <pic:blipFill>
                    <a:blip r:embed="rId11"/>
                    <a:stretch>
                      <a:fillRect/>
                    </a:stretch>
                  </pic:blipFill>
                  <pic:spPr>
                    <a:xfrm>
                      <a:off x="0" y="0"/>
                      <a:ext cx="3376736" cy="1954971"/>
                    </a:xfrm>
                    <a:prstGeom prst="rect">
                      <a:avLst/>
                    </a:prstGeom>
                  </pic:spPr>
                </pic:pic>
              </a:graphicData>
            </a:graphic>
          </wp:inline>
        </w:drawing>
      </w:r>
    </w:p>
    <w:p w14:paraId="3FB7FC31" w14:textId="00D4E0E0" w:rsidR="003D23E2" w:rsidRPr="002F44A3" w:rsidRDefault="003D23E2"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5</w:t>
      </w:r>
      <w:r>
        <w:rPr>
          <w:b/>
          <w:bCs/>
          <w:color w:val="000000" w:themeColor="text1"/>
          <w:sz w:val="24"/>
          <w:szCs w:val="24"/>
        </w:rPr>
        <w:fldChar w:fldCharType="end"/>
        <w:t>: 2023 Car CO2 Emissions</w:t>
      </w:r>
    </w:p>
    <w:p w14:paraId="6EBD4E52" w14:textId="749B5B29" w:rsidR="003D23E2" w:rsidRPr="002F44A3" w:rsidRDefault="003D23E2" w:rsidP="006904E4">
      <w:pPr>
        <w:spacing w:line="360" w:lineRule="auto"/>
        <w:jc w:val="center"/>
        <w:rPr>
          <w:b/>
          <w:bCs/>
          <w:i/>
          <w:iCs/>
          <w:szCs w:val="24"/>
        </w:rPr>
      </w:pPr>
      <w:r>
        <w:rPr>
          <w:b/>
          <w:bCs/>
          <w:i/>
          <w:iCs/>
          <w:szCs w:val="24"/>
        </w:rPr>
        <w:t>(Source: Department of Transport, 2024)</w:t>
      </w:r>
    </w:p>
    <w:p w14:paraId="29703F55" w14:textId="718A3C3F" w:rsidR="00A22CDF" w:rsidRDefault="00A22CDF" w:rsidP="006904E4">
      <w:pPr>
        <w:spacing w:afterLines="120" w:after="288" w:line="360" w:lineRule="auto"/>
        <w:jc w:val="both"/>
      </w:pPr>
      <w:r>
        <w:t>In the case of Ford Motor Company, the pressure and opportunity created by the environmental regulations are a concern. Conventional automobile producers are under pressure to slow down the emission of carbon gases and move to the production of electric cars. Other governments have declared that they will prohibit the sale of new petrol and diesel cars by 2035, which compels manufacturers such as Ford to accelerate their inquiry into EV technology (Tayri and Ma, 2025).</w:t>
      </w:r>
    </w:p>
    <w:p w14:paraId="75928732" w14:textId="5884C512" w:rsidR="00A22CDF" w:rsidRDefault="00A22CDF" w:rsidP="006904E4">
      <w:pPr>
        <w:pStyle w:val="Heading2"/>
        <w:spacing w:before="0" w:afterLines="120" w:after="288" w:line="360" w:lineRule="auto"/>
      </w:pPr>
      <w:bookmarkStart w:id="4" w:name="_Toc224409306"/>
      <w:r>
        <w:t>1.3 The model influences the competitive position</w:t>
      </w:r>
      <w:bookmarkEnd w:id="4"/>
      <w:r>
        <w:t xml:space="preserve"> </w:t>
      </w:r>
    </w:p>
    <w:p w14:paraId="3B1F38B5" w14:textId="13C9C00E" w:rsidR="00A22CDF" w:rsidRDefault="00C71AF5" w:rsidP="006904E4">
      <w:pPr>
        <w:spacing w:afterLines="120" w:after="288" w:line="360" w:lineRule="auto"/>
        <w:jc w:val="both"/>
      </w:pPr>
      <w:r>
        <w:t>The macro-marketing environmental forces are essential in determining the level of competition in the EV industry. The innovation of technology, the regulation by politics, and the environment have provided a chance for innovative companies. Such as Tesla, to enhance their leadership positions by constantly innovating and brand differentiation. Simultaneously, these outside forces have made legacy car manufacturers such as Ford rush their move towards electric mobility to keep up in the game. Tesla has the advantage of technological leadership and a strong brand image based on sustainability, but Ford should count on mass investment and strategic adjustment to bridge the competitive gap.</w:t>
      </w:r>
    </w:p>
    <w:p w14:paraId="4F585AF7" w14:textId="77777777" w:rsidR="00BC0C8E" w:rsidRDefault="00645DD6" w:rsidP="006904E4">
      <w:pPr>
        <w:pStyle w:val="Heading1"/>
        <w:ind w:left="0"/>
      </w:pPr>
      <w:r>
        <w:br w:type="page"/>
      </w:r>
      <w:bookmarkStart w:id="5" w:name="_Toc224409307"/>
      <w:r>
        <w:lastRenderedPageBreak/>
        <w:t>Task 2: Macro-Environmental Factors Strategic Responses</w:t>
      </w:r>
      <w:bookmarkEnd w:id="5"/>
    </w:p>
    <w:p w14:paraId="39613C51" w14:textId="61D4CB81" w:rsidR="000A76A3" w:rsidRDefault="00653FA5" w:rsidP="006904E4">
      <w:pPr>
        <w:spacing w:afterLines="120" w:after="288" w:line="360" w:lineRule="auto"/>
        <w:jc w:val="both"/>
      </w:pPr>
      <w:r>
        <w:t>Organisations in the electric vehicle market should make efficient strategic reactions to continue growing and retain a competitive edge. The automotive market has undergone tremendous changes due to technological inventions and political and environmental policies that require companies to change their strategies to survive (Chen and Chen, 2023). Innovation and differentiation are the types of strategies that pioneering firms use to enhance their market leadership, whereas the following organisations emphasise the strategies of adaptation, competitive prices, and market expansion.</w:t>
      </w:r>
    </w:p>
    <w:p w14:paraId="7373223F" w14:textId="57FA8628" w:rsidR="000A76A3" w:rsidRDefault="00BC0C8E" w:rsidP="006904E4">
      <w:pPr>
        <w:pStyle w:val="Heading2"/>
        <w:spacing w:before="0" w:line="360" w:lineRule="auto"/>
      </w:pPr>
      <w:bookmarkStart w:id="6" w:name="_Toc224409308"/>
      <w:r>
        <w:t>2.1 Strategic Response depending on the generic strategies developed by Porter</w:t>
      </w:r>
      <w:bookmarkEnd w:id="6"/>
    </w:p>
    <w:p w14:paraId="54147ABA" w14:textId="77777777" w:rsidR="005F162A" w:rsidRDefault="005F162A" w:rsidP="006904E4">
      <w:pPr>
        <w:keepNext/>
        <w:spacing w:line="360" w:lineRule="auto"/>
        <w:jc w:val="center"/>
      </w:pPr>
      <w:r>
        <w:rPr>
          <w:noProof/>
        </w:rPr>
        <w:drawing>
          <wp:inline distT="0" distB="0" distL="0" distR="0" wp14:anchorId="006E1B6B" wp14:editId="2C0A925E">
            <wp:extent cx="3668395" cy="2690156"/>
            <wp:effectExtent l="0" t="0" r="0" b="0"/>
            <wp:docPr id="688924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924595" name=""/>
                    <pic:cNvPicPr/>
                  </pic:nvPicPr>
                  <pic:blipFill>
                    <a:blip r:embed="rId12"/>
                    <a:stretch>
                      <a:fillRect/>
                    </a:stretch>
                  </pic:blipFill>
                  <pic:spPr>
                    <a:xfrm>
                      <a:off x="0" y="0"/>
                      <a:ext cx="3712859" cy="2722763"/>
                    </a:xfrm>
                    <a:prstGeom prst="rect">
                      <a:avLst/>
                    </a:prstGeom>
                  </pic:spPr>
                </pic:pic>
              </a:graphicData>
            </a:graphic>
          </wp:inline>
        </w:drawing>
      </w:r>
    </w:p>
    <w:p w14:paraId="7E311665" w14:textId="4983117C" w:rsidR="005F7A83" w:rsidRPr="00AA2E7D" w:rsidRDefault="005F162A"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6</w:t>
      </w:r>
      <w:r>
        <w:rPr>
          <w:b/>
          <w:bCs/>
          <w:color w:val="000000" w:themeColor="text1"/>
          <w:sz w:val="24"/>
          <w:szCs w:val="24"/>
        </w:rPr>
        <w:fldChar w:fldCharType="end"/>
        <w:t>: Porter's Generic Strategies</w:t>
      </w:r>
    </w:p>
    <w:p w14:paraId="7982C7A2" w14:textId="33F1C182" w:rsidR="00AA2E7D" w:rsidRPr="00AA2E7D" w:rsidRDefault="00AA2E7D" w:rsidP="006904E4">
      <w:pPr>
        <w:spacing w:line="360" w:lineRule="auto"/>
        <w:jc w:val="center"/>
        <w:rPr>
          <w:b/>
          <w:bCs/>
          <w:i/>
          <w:iCs/>
          <w:szCs w:val="24"/>
        </w:rPr>
      </w:pPr>
      <w:r>
        <w:rPr>
          <w:b/>
          <w:bCs/>
          <w:i/>
          <w:iCs/>
          <w:szCs w:val="24"/>
        </w:rPr>
        <w:t>(Source: Jurevicius, 2025)</w:t>
      </w:r>
    </w:p>
    <w:p w14:paraId="364F443C" w14:textId="77777777" w:rsidR="007C3787" w:rsidRDefault="000A76A3" w:rsidP="006904E4">
      <w:pPr>
        <w:spacing w:afterLines="120" w:after="288" w:line="360" w:lineRule="auto"/>
        <w:jc w:val="both"/>
      </w:pPr>
      <w:r>
        <w:t xml:space="preserve">The General Strategies framework by Porter explains the way organisations attain competitive advantage using three broad strategic tools, namely, cost leadership, differentiation, and focus strategy. </w:t>
      </w:r>
    </w:p>
    <w:p w14:paraId="4AA6AE8E" w14:textId="081F5D69" w:rsidR="000A76A3" w:rsidRDefault="00502243" w:rsidP="006904E4">
      <w:pPr>
        <w:pStyle w:val="Heading3"/>
        <w:spacing w:before="0" w:line="360" w:lineRule="auto"/>
      </w:pPr>
      <w:bookmarkStart w:id="7" w:name="_Toc224409309"/>
      <w:r>
        <w:t>2.1.1 The Differentiation Strategy of Tesla</w:t>
      </w:r>
      <w:bookmarkEnd w:id="7"/>
    </w:p>
    <w:p w14:paraId="0350B2B3" w14:textId="467F2DE1" w:rsidR="000A76A3" w:rsidRDefault="000A76A3" w:rsidP="006904E4">
      <w:pPr>
        <w:spacing w:afterLines="120" w:after="288" w:line="360" w:lineRule="auto"/>
        <w:jc w:val="both"/>
      </w:pPr>
      <w:r>
        <w:t xml:space="preserve">Another key strategy that Tesla adheres to is a differentiation mix whereby it markets very innovative electric vehicles with technological features. This firm is oriented towards coming up with products that offer better performance, sustainability, and digital </w:t>
        <w:lastRenderedPageBreak/>
        <w:t>features than conventional cars. Tesla distinguishes its products with the help of such features as long-range battery technology, autonomous driving, and software updates through the air.</w:t>
      </w:r>
    </w:p>
    <w:p w14:paraId="50092EDA" w14:textId="2BEDD2B0" w:rsidR="000A76A3" w:rsidRDefault="000A76A3" w:rsidP="006904E4">
      <w:pPr>
        <w:spacing w:afterLines="120" w:after="288" w:line="360" w:lineRule="auto"/>
        <w:jc w:val="both"/>
      </w:pPr>
      <w:r>
        <w:t>Tesla has several models that have a battery capacity of more than 400 miles per charge, which greatly enhances their usability and removes range anxiety among EV users (Zentani, et al., 2024). Tesla has created a Supercharger Network of over 50,000 charging connectors around the world, which improves the overall customer experience and contributes to the wide adoption of EVs.</w:t>
      </w:r>
    </w:p>
    <w:p w14:paraId="2B41884C" w14:textId="7D7DB9CA" w:rsidR="000A76A3" w:rsidRDefault="00934421" w:rsidP="006904E4">
      <w:pPr>
        <w:spacing w:afterLines="120" w:after="288" w:line="360" w:lineRule="auto"/>
        <w:jc w:val="both"/>
      </w:pPr>
      <w:r>
        <w:t>Marketing-wise, differentiation is also the process of generating good perceived value for the customers. Tesla cars have been marketed as high-end and technologically enhanced products, and this is a factor that has contributed to the premium prices that the firm is able to set. The innovative nature of Tesla vehicles, their eco-friendliness, and technological domination often make customers feel that the product has a superior position in terms of branding.</w:t>
      </w:r>
    </w:p>
    <w:p w14:paraId="5B54A444" w14:textId="3F26F4E0" w:rsidR="000A76A3" w:rsidRDefault="000A76A3" w:rsidP="006904E4">
      <w:pPr>
        <w:spacing w:afterLines="120" w:after="288" w:line="360" w:lineRule="auto"/>
        <w:jc w:val="both"/>
      </w:pPr>
      <w:r>
        <w:t>Using technological breakthroughs and product differentiation, Tesla has managed to become a market leader in the EV industry (Pisano, et al., 2023). It is a strategy that helps the company to have a highly competitive advantage as competition continues to rise among traditional car manufacturers.</w:t>
      </w:r>
    </w:p>
    <w:p w14:paraId="20FCCAFB" w14:textId="496D937E" w:rsidR="000A76A3" w:rsidRDefault="00502243" w:rsidP="006904E4">
      <w:pPr>
        <w:pStyle w:val="Heading3"/>
        <w:spacing w:before="0" w:line="360" w:lineRule="auto"/>
      </w:pPr>
      <w:bookmarkStart w:id="8" w:name="_Toc224409310"/>
      <w:r>
        <w:t>2.1.2 Competitive and Market-Based Strategy of Ford</w:t>
      </w:r>
      <w:bookmarkEnd w:id="8"/>
    </w:p>
    <w:p w14:paraId="1D03D1D5" w14:textId="40DF5977" w:rsidR="000A76A3" w:rsidRDefault="000A76A3" w:rsidP="006904E4">
      <w:pPr>
        <w:spacing w:afterLines="120" w:after="288" w:line="360" w:lineRule="auto"/>
        <w:jc w:val="both"/>
      </w:pPr>
      <w:r>
        <w:t>Ford Motor Company follows an approach that is more aligned with cost competitiveness and differentiation. Being a follower organisation, Ford utilises its vast production resources, solid brand identity, and international distribution channels to compete successfully in the EV market.</w:t>
      </w:r>
    </w:p>
    <w:p w14:paraId="2425AB15" w14:textId="330D36A3" w:rsidR="000A76A3" w:rsidRDefault="000A76A3" w:rsidP="006904E4">
      <w:pPr>
        <w:spacing w:afterLines="120" w:after="288" w:line="360" w:lineRule="auto"/>
        <w:jc w:val="both"/>
      </w:pPr>
      <w:r>
        <w:t xml:space="preserve">The strategy of Ford is to manufacture electric vehicles with a combination of technological innovations, affordability, and reliability. The company launched EV models such as the Mustang Mach-E and the F-150 Lightning, which add electric technology to the popular models (Ford, 2026). Electrifying the current models, Ford will </w:t>
        <w:lastRenderedPageBreak/>
        <w:t>limit the risks inherent to the creation of new products but keep a high level of brand awareness.</w:t>
      </w:r>
    </w:p>
    <w:p w14:paraId="1439232D" w14:textId="4F560790" w:rsidR="000A76A3" w:rsidRDefault="000A76A3" w:rsidP="006904E4">
      <w:pPr>
        <w:spacing w:afterLines="120" w:after="288" w:line="360" w:lineRule="auto"/>
        <w:jc w:val="both"/>
      </w:pPr>
      <w:r>
        <w:t>Competitive pricing is also a strategy that is embraced by Ford to appeal to a larger number of consumers. As an example, the Mustang Mach-E was launched at an initial price of around 45,000 dollars, which is close to other Tesla vehicles and other EV options (Wayland, 2026). This pricing strategy is such as that of going-rate pricing, whereby organisations base their prices on the current conditions in the market and the prices that their competitors offer.</w:t>
      </w:r>
    </w:p>
    <w:p w14:paraId="01DE0B02" w14:textId="3D4729F9" w:rsidR="000A76A3" w:rsidRDefault="000A76A3" w:rsidP="006904E4">
      <w:pPr>
        <w:spacing w:afterLines="120" w:after="288" w:line="360" w:lineRule="auto"/>
        <w:jc w:val="both"/>
      </w:pPr>
      <w:r>
        <w:t>Ford has declared its intention to invest over 50 billion dollars in EV development by 2022-2026, and it demonstrates its intentions to enhance its technological potential and better its competitive advantage (Vechkinzova, et al., 2022). Ford intends to expand its share in the EV market and compete better with innovative companies such as Tesla through mass production and low pricing.</w:t>
      </w:r>
    </w:p>
    <w:p w14:paraId="76D6047A" w14:textId="65BA6A2B" w:rsidR="000A76A3" w:rsidRDefault="00BE5A76" w:rsidP="006904E4">
      <w:pPr>
        <w:pStyle w:val="Heading2"/>
        <w:spacing w:before="0" w:line="360" w:lineRule="auto"/>
      </w:pPr>
      <w:bookmarkStart w:id="9" w:name="_Toc224409311"/>
      <w:r>
        <w:t>2.2 Strategy Response based on the Growth Matrix of Ansoff</w:t>
      </w:r>
      <w:bookmarkEnd w:id="9"/>
    </w:p>
    <w:p w14:paraId="17E8C834" w14:textId="77777777" w:rsidR="007F69F3" w:rsidRPr="007F69F3" w:rsidRDefault="007F69F3" w:rsidP="006904E4">
      <w:pPr>
        <w:spacing w:line="360" w:lineRule="auto"/>
      </w:pPr>
    </w:p>
    <w:p w14:paraId="6345685B" w14:textId="670041E6" w:rsidR="000A76A3" w:rsidRDefault="000A76A3" w:rsidP="006904E4">
      <w:pPr>
        <w:spacing w:afterLines="120" w:after="288" w:line="360" w:lineRule="auto"/>
        <w:jc w:val="both"/>
      </w:pPr>
      <w:r>
        <w:t>Ansoff Growth Matrix is another strategic framework that is applied when assessing the strategies of organisational growth. The matrix has four key growth options that include market penetration, product development, market development, and diversification.</w:t>
      </w:r>
    </w:p>
    <w:p w14:paraId="2C657BBC" w14:textId="690C3E0C" w:rsidR="000A76A3" w:rsidRDefault="00F44151" w:rsidP="006904E4">
      <w:pPr>
        <w:pStyle w:val="Heading3"/>
        <w:spacing w:before="0" w:line="360" w:lineRule="auto"/>
      </w:pPr>
      <w:bookmarkStart w:id="10" w:name="_Toc224409312"/>
      <w:r>
        <w:lastRenderedPageBreak/>
        <w:t>2.2.1 Tesla's Growth Strategy</w:t>
      </w:r>
      <w:bookmarkEnd w:id="10"/>
    </w:p>
    <w:p w14:paraId="60E3E0B0" w14:textId="77777777" w:rsidR="001E78A1" w:rsidRDefault="0015607C" w:rsidP="006904E4">
      <w:pPr>
        <w:keepNext/>
        <w:spacing w:afterLines="120" w:after="288" w:line="360" w:lineRule="auto"/>
        <w:jc w:val="center"/>
      </w:pPr>
      <w:r>
        <w:rPr>
          <w:noProof/>
        </w:rPr>
        <w:drawing>
          <wp:inline distT="0" distB="0" distL="0" distR="0" wp14:anchorId="136856A8" wp14:editId="751CE8B6">
            <wp:extent cx="4869524" cy="2179320"/>
            <wp:effectExtent l="0" t="0" r="0" b="0"/>
            <wp:docPr id="15225548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1130" cy="2180039"/>
                    </a:xfrm>
                    <a:prstGeom prst="rect">
                      <a:avLst/>
                    </a:prstGeom>
                    <a:noFill/>
                    <a:ln>
                      <a:noFill/>
                    </a:ln>
                  </pic:spPr>
                </pic:pic>
              </a:graphicData>
            </a:graphic>
          </wp:inline>
        </w:drawing>
      </w:r>
    </w:p>
    <w:p w14:paraId="64B03043" w14:textId="58D427E6" w:rsidR="0015607C" w:rsidRDefault="001E78A1"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7</w:t>
      </w:r>
      <w:r>
        <w:rPr>
          <w:b/>
          <w:bCs/>
          <w:color w:val="000000" w:themeColor="text1"/>
          <w:sz w:val="24"/>
          <w:szCs w:val="24"/>
        </w:rPr>
        <w:fldChar w:fldCharType="end"/>
        <w:t>: Ansoff Matrix of Tesla</w:t>
      </w:r>
    </w:p>
    <w:p w14:paraId="57506637" w14:textId="0259919F" w:rsidR="00845BE1" w:rsidRPr="00845BE1" w:rsidRDefault="00845BE1" w:rsidP="006904E4">
      <w:pPr>
        <w:spacing w:line="360" w:lineRule="auto"/>
        <w:jc w:val="center"/>
        <w:rPr>
          <w:b/>
          <w:bCs/>
          <w:i/>
          <w:iCs/>
        </w:rPr>
      </w:pPr>
      <w:r>
        <w:rPr>
          <w:b/>
          <w:bCs/>
          <w:i/>
          <w:iCs/>
        </w:rPr>
        <w:t>(Source: Created by Author)</w:t>
      </w:r>
    </w:p>
    <w:p w14:paraId="13F7A6E9" w14:textId="77777777" w:rsidR="000A76A3" w:rsidRPr="00F44151" w:rsidRDefault="000A76A3" w:rsidP="006904E4">
      <w:pPr>
        <w:spacing w:afterLines="120" w:after="288" w:line="360" w:lineRule="auto"/>
        <w:jc w:val="both"/>
        <w:rPr>
          <w:b/>
          <w:bCs/>
        </w:rPr>
      </w:pPr>
      <w:r>
        <w:rPr>
          <w:b/>
          <w:bCs/>
        </w:rPr>
        <w:t>Market Penetration</w:t>
      </w:r>
    </w:p>
    <w:p w14:paraId="50371509" w14:textId="0340696B" w:rsidR="000A76A3" w:rsidRDefault="000A76A3" w:rsidP="006904E4">
      <w:pPr>
        <w:spacing w:afterLines="120" w:after="288" w:line="360" w:lineRule="auto"/>
        <w:jc w:val="both"/>
      </w:pPr>
      <w:r>
        <w:t>Tesla is also continuing to sell more in current markets through the addition of production capacity and the affordability of vehicles. The firm has developed massive manufacturing plants commonly known as Gigafactories in places such as the United States, China, and Germany. These factories enable Tesla to manufacture vehicles in increased quantities and cut manufacturing prices (Rangarajan, et al., 2022). This has seen Tesla drastically grow its number of vehicles worldwide, with a total of about 1.8 million vehicles shipped in 2023, which shows good market penetration in the expanding EV market.</w:t>
      </w:r>
    </w:p>
    <w:p w14:paraId="34671BD8" w14:textId="31043E18" w:rsidR="00DF3986" w:rsidRPr="00F44151" w:rsidRDefault="000A76A3" w:rsidP="006904E4">
      <w:pPr>
        <w:spacing w:afterLines="120" w:after="288" w:line="360" w:lineRule="auto"/>
        <w:jc w:val="both"/>
        <w:rPr>
          <w:b/>
          <w:bCs/>
        </w:rPr>
      </w:pPr>
      <w:r>
        <w:rPr>
          <w:b/>
          <w:bCs/>
        </w:rPr>
        <w:t>Product Development</w:t>
      </w:r>
    </w:p>
    <w:p w14:paraId="11EE0B93" w14:textId="1E9C4ED2" w:rsidR="000A76A3" w:rsidRDefault="000A76A3" w:rsidP="006904E4">
      <w:pPr>
        <w:spacing w:afterLines="120" w:after="288" w:line="360" w:lineRule="auto"/>
        <w:jc w:val="both"/>
      </w:pPr>
      <w:r>
        <w:t xml:space="preserve">The firm always launches new models of vehicles and technological advancements to make its product strong. As an illustration, Tesla has released models such as the Model 3, the Model Y, and the soon-to-be-launched Cybertruck, which are aimed at different customer groups. Tesla also develops its products in the form of software updates and technological additions that enable its vehicles to get new features on time. </w:t>
        <w:lastRenderedPageBreak/>
        <w:t>This enhances customer satisfaction and increases the life cycle of Tesla products.</w:t>
      </w:r>
    </w:p>
    <w:p w14:paraId="273C8997" w14:textId="77777777" w:rsidR="000A76A3" w:rsidRPr="00F44151" w:rsidRDefault="000A76A3" w:rsidP="006904E4">
      <w:pPr>
        <w:spacing w:afterLines="120" w:after="288" w:line="360" w:lineRule="auto"/>
        <w:jc w:val="both"/>
        <w:rPr>
          <w:b/>
          <w:bCs/>
        </w:rPr>
      </w:pPr>
      <w:r>
        <w:rPr>
          <w:b/>
          <w:bCs/>
        </w:rPr>
        <w:t>Market Development</w:t>
      </w:r>
    </w:p>
    <w:p w14:paraId="0F79AA86" w14:textId="5B214010" w:rsidR="000A76A3" w:rsidRDefault="000A76A3" w:rsidP="006904E4">
      <w:pPr>
        <w:spacing w:afterLines="120" w:after="288" w:line="360" w:lineRule="auto"/>
        <w:jc w:val="both"/>
      </w:pPr>
      <w:r>
        <w:t>Tesla has formed a new geographic market expansion to widen its presence globally. The firm has been able to penetrate the large market in North America, Europe, and Asia. Globalisation enables Tesla to attract new markets and take advantage of the situation of increasing EV demand in the whole world. With such synergies, Tesla remains a strong contender in the world EV market as a pioneer.</w:t>
      </w:r>
    </w:p>
    <w:p w14:paraId="57A8B2A2" w14:textId="2B56995A" w:rsidR="00333E75" w:rsidRDefault="00BE5A76" w:rsidP="006904E4">
      <w:pPr>
        <w:pStyle w:val="Heading3"/>
        <w:spacing w:before="0" w:line="360" w:lineRule="auto"/>
      </w:pPr>
      <w:bookmarkStart w:id="11" w:name="_Toc224409313"/>
      <w:r>
        <w:t>2.2.2 Ford's Growth Strategy</w:t>
      </w:r>
      <w:bookmarkEnd w:id="11"/>
    </w:p>
    <w:p w14:paraId="6FF52616" w14:textId="77777777" w:rsidR="00EB0303" w:rsidRDefault="00EB0303" w:rsidP="006904E4">
      <w:pPr>
        <w:keepNext/>
        <w:spacing w:line="360" w:lineRule="auto"/>
        <w:jc w:val="center"/>
      </w:pPr>
      <w:r>
        <w:rPr>
          <w:noProof/>
        </w:rPr>
        <w:drawing>
          <wp:inline distT="0" distB="0" distL="0" distR="0" wp14:anchorId="0EAAD6BA" wp14:editId="75AFE895">
            <wp:extent cx="4295775" cy="1922543"/>
            <wp:effectExtent l="0" t="0" r="0" b="0"/>
            <wp:docPr id="1921515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9402" cy="1924166"/>
                    </a:xfrm>
                    <a:prstGeom prst="rect">
                      <a:avLst/>
                    </a:prstGeom>
                    <a:noFill/>
                    <a:ln>
                      <a:noFill/>
                    </a:ln>
                  </pic:spPr>
                </pic:pic>
              </a:graphicData>
            </a:graphic>
          </wp:inline>
        </w:drawing>
      </w:r>
    </w:p>
    <w:p w14:paraId="4AFC64FA" w14:textId="3730A5DE" w:rsidR="00EB0303" w:rsidRPr="00EB0303" w:rsidRDefault="00EB0303" w:rsidP="006904E4">
      <w:pPr>
        <w:pStyle w:val="Caption"/>
        <w:spacing w:line="360" w:lineRule="auto"/>
        <w:jc w:val="center"/>
        <w:rPr>
          <w:b/>
          <w:bCs/>
          <w:color w:val="000000" w:themeColor="text1"/>
          <w:sz w:val="24"/>
          <w:szCs w:val="24"/>
        </w:rPr>
      </w:pPr>
      <w:r>
        <w:rPr>
          <w:b/>
          <w:bCs/>
          <w:color w:val="000000" w:themeColor="text1"/>
          <w:sz w:val="24"/>
          <w:szCs w:val="24"/>
        </w:rPr>
        <w:t xml:space="preserve">Figure </w:t>
        <w:fldChar w:fldCharType="begin"/>
        <w:instrText xml:space="preserve"> SEQ Figure \* ARABIC </w:instrText>
        <w:fldChar w:fldCharType="separate"/>
      </w:r>
      <w:r>
        <w:rPr>
          <w:b/>
          <w:bCs/>
          <w:noProof/>
          <w:color w:val="000000" w:themeColor="text1"/>
          <w:sz w:val="24"/>
          <w:szCs w:val="24"/>
        </w:rPr>
        <w:t>8</w:t>
      </w:r>
      <w:r>
        <w:rPr>
          <w:b/>
          <w:bCs/>
          <w:color w:val="000000" w:themeColor="text1"/>
          <w:sz w:val="24"/>
          <w:szCs w:val="24"/>
        </w:rPr>
        <w:fldChar w:fldCharType="end"/>
        <w:t>: Ansoff Matrix of Ford</w:t>
      </w:r>
    </w:p>
    <w:p w14:paraId="2E7F12C3" w14:textId="5CB8AF52" w:rsidR="00EB0303" w:rsidRPr="00EB0303" w:rsidRDefault="00EB0303" w:rsidP="006904E4">
      <w:pPr>
        <w:spacing w:line="360" w:lineRule="auto"/>
        <w:jc w:val="center"/>
        <w:rPr>
          <w:b/>
          <w:bCs/>
          <w:i/>
          <w:iCs/>
          <w:szCs w:val="24"/>
        </w:rPr>
      </w:pPr>
      <w:r>
        <w:rPr>
          <w:b/>
          <w:bCs/>
          <w:i/>
          <w:iCs/>
          <w:szCs w:val="24"/>
        </w:rPr>
        <w:t>(Source: Created by Author)</w:t>
      </w:r>
    </w:p>
    <w:p w14:paraId="27E76133" w14:textId="77777777" w:rsidR="00EB0303" w:rsidRPr="00EB0303" w:rsidRDefault="00EB0303" w:rsidP="006904E4">
      <w:pPr>
        <w:spacing w:line="360" w:lineRule="auto"/>
      </w:pPr>
    </w:p>
    <w:p w14:paraId="2805312E" w14:textId="77777777" w:rsidR="00333E75" w:rsidRPr="00982A8A" w:rsidRDefault="00333E75" w:rsidP="006904E4">
      <w:pPr>
        <w:spacing w:afterLines="120" w:after="288" w:line="360" w:lineRule="auto"/>
        <w:jc w:val="both"/>
        <w:rPr>
          <w:b/>
          <w:bCs/>
        </w:rPr>
      </w:pPr>
      <w:r>
        <w:rPr>
          <w:b/>
          <w:bCs/>
        </w:rPr>
        <w:t>Product Development</w:t>
      </w:r>
    </w:p>
    <w:p w14:paraId="47E6FCE9" w14:textId="70176905" w:rsidR="00333E75" w:rsidRDefault="00333E75" w:rsidP="006904E4">
      <w:pPr>
        <w:spacing w:afterLines="120" w:after="288" w:line="360" w:lineRule="auto"/>
        <w:jc w:val="both"/>
      </w:pPr>
      <w:r>
        <w:t xml:space="preserve">Product development is another growth strategy that Ford has focused on, and one of the ways of achieving this is through the introduction of electric versions of the most popular vehicles. The Mustang Mach-E and F-150 Lightning show how the company is changing its current product lines to address the changing consumer demand towards electric vehicles. This is a strategy through which Ford would be able to leverage its strong brand image and present new advanced technologies. Ford can eliminate any uncertainty in the market by electrifying the popular models and creating consumer </w:t>
        <w:lastRenderedPageBreak/>
        <w:t>confidence in the electric vehicles offered.</w:t>
      </w:r>
    </w:p>
    <w:p w14:paraId="14D0E183" w14:textId="77777777" w:rsidR="00333E75" w:rsidRPr="00982A8A" w:rsidRDefault="00333E75" w:rsidP="006904E4">
      <w:pPr>
        <w:spacing w:afterLines="120" w:after="288" w:line="360" w:lineRule="auto"/>
        <w:jc w:val="both"/>
        <w:rPr>
          <w:b/>
          <w:bCs/>
        </w:rPr>
      </w:pPr>
      <w:r>
        <w:rPr>
          <w:b/>
          <w:bCs/>
        </w:rPr>
        <w:t>Market Penetration</w:t>
      </w:r>
    </w:p>
    <w:p w14:paraId="24F96476" w14:textId="6B7FCAF1" w:rsidR="00333E75" w:rsidRDefault="00333E75" w:rsidP="006904E4">
      <w:pPr>
        <w:spacing w:afterLines="120" w:after="288" w:line="360" w:lineRule="auto"/>
        <w:jc w:val="both"/>
      </w:pPr>
      <w:r>
        <w:t>Another area that Ford aims to achieve is to sell more EVs to its current customers. The company leverages its large dealership system and solid brand presence to market its electric cars to its conventional Ford clients. To capitalise on future growth, Ford spends a lot of money on EV manufacturing capacity and battery production alliances. These investments aid in expanding the production base and competing with the top EV manufacturers.</w:t>
      </w:r>
    </w:p>
    <w:p w14:paraId="3B6CD2F8" w14:textId="77777777" w:rsidR="00333E75" w:rsidRPr="00982A8A" w:rsidRDefault="00333E75" w:rsidP="006904E4">
      <w:pPr>
        <w:spacing w:afterLines="120" w:after="288" w:line="360" w:lineRule="auto"/>
        <w:jc w:val="both"/>
        <w:rPr>
          <w:b/>
          <w:bCs/>
        </w:rPr>
      </w:pPr>
      <w:r>
        <w:rPr>
          <w:b/>
          <w:bCs/>
        </w:rPr>
        <w:t>Market Development</w:t>
      </w:r>
    </w:p>
    <w:p w14:paraId="132F3F31" w14:textId="45421E5F" w:rsidR="00333E75" w:rsidRDefault="00333E75" w:rsidP="006904E4">
      <w:pPr>
        <w:spacing w:afterLines="120" w:after="288" w:line="360" w:lineRule="auto"/>
        <w:jc w:val="both"/>
      </w:pPr>
      <w:r>
        <w:t>Ford is slowly gaining its EV network in foreign markets, especially in Europe and North America, where environmental policies are promoting the use of EVs. Ford enhances its competitiveness through the global process of sustainability by strategising its products to match the sustainability trends in the fast-changing automotive market.</w:t>
      </w:r>
    </w:p>
    <w:p w14:paraId="6146014E" w14:textId="02F121FC" w:rsidR="00333E75" w:rsidRDefault="00982A8A" w:rsidP="006904E4">
      <w:pPr>
        <w:pStyle w:val="Heading2"/>
        <w:spacing w:before="0" w:line="360" w:lineRule="auto"/>
      </w:pPr>
      <w:bookmarkStart w:id="12" w:name="_Toc224409314"/>
      <w:r>
        <w:t>2.3 Comparative Assessment of Strategic Responses</w:t>
      </w:r>
      <w:bookmarkEnd w:id="12"/>
    </w:p>
    <w:p w14:paraId="087AE43D" w14:textId="33F2889B" w:rsidR="00333E75" w:rsidRDefault="00333E75" w:rsidP="006904E4">
      <w:pPr>
        <w:spacing w:afterLines="120" w:after="288" w:line="360" w:lineRule="auto"/>
        <w:jc w:val="both"/>
      </w:pPr>
      <w:r>
        <w:t>An analysis of the two organisations shows that there are evident differences in the strategic response of the organisations to the macro-environmental forces. Tesla, as a groundbreaking organisation depends on innovation, product differentiation, and technological leadership as the main sources of its competitive advantage. It plans to create sophisticated products, increase its world-scale production, and empower its ecosystem of charging systems and software solutions. Instead, Ford uses a follower strategy, which focuses on adapting, mass production, and low-cost (Jana and Tiwari, 2021). Instead of developing brand new product categories, Ford develops on the already existing brands of vehicles and develops electric versions that are attractive to the current customers.</w:t>
      </w:r>
    </w:p>
    <w:p w14:paraId="5B8CF4DF" w14:textId="77777777" w:rsidR="003C2105" w:rsidRDefault="003C2105" w:rsidP="006904E4">
      <w:pPr>
        <w:spacing w:line="360" w:lineRule="auto"/>
        <w:rPr>
          <w:b/>
          <w:bCs/>
          <w:szCs w:val="24"/>
        </w:rPr>
      </w:pPr>
      <w:r>
        <w:br w:type="page"/>
      </w:r>
    </w:p>
    <w:p w14:paraId="42FD76F9" w14:textId="52D54A37" w:rsidR="00333E75" w:rsidRDefault="002C25F5" w:rsidP="006904E4">
      <w:pPr>
        <w:pStyle w:val="Heading1"/>
        <w:ind w:left="0"/>
      </w:pPr>
      <w:bookmarkStart w:id="13" w:name="_Toc224409315"/>
      <w:r>
        <w:lastRenderedPageBreak/>
        <w:t>Conclusion</w:t>
      </w:r>
      <w:bookmarkEnd w:id="13"/>
    </w:p>
    <w:p w14:paraId="6983BE8E" w14:textId="05ECD6DC" w:rsidR="00376B03" w:rsidRDefault="00376B03" w:rsidP="006904E4">
      <w:pPr>
        <w:spacing w:line="360" w:lineRule="auto"/>
        <w:jc w:val="both"/>
      </w:pPr>
      <w:r>
        <w:t>In this report, the impact of macro-environmental forces on strategic marketing decisions in the electric vehicle industry was analysed. The external forces that were found to influence the competitive dynamics were technological innovation and political-environmental regulations. The discussion indicated that Tesla, being an innovative organisation enjoys high levels of technology leadership, product differentiation, and high positioning, which enhances its competitiveness. On the contrary, as a follower firm, Ford Motor Company is reacting by investing heavily, coming up with new products, and offering competitive prices to deal with the transformation in the industry. Overall, both organisations need to be constantly innovative and to keep changing their approach to keep growing and staying within the competitive global market of electric vehicles that is rapidly developing.</w:t>
      </w:r>
    </w:p>
    <w:p w14:paraId="29954132" w14:textId="41B2D20F" w:rsidR="00E24A79" w:rsidRDefault="00E24A79" w:rsidP="006904E4">
      <w:pPr>
        <w:spacing w:afterLines="120" w:after="288" w:line="360" w:lineRule="auto"/>
        <w:jc w:val="both"/>
      </w:pPr>
    </w:p>
    <w:p w14:paraId="48D40565" w14:textId="77777777" w:rsidR="00E24A79" w:rsidRDefault="00E24A79" w:rsidP="006904E4">
      <w:pPr>
        <w:spacing w:afterLines="120" w:after="288" w:line="360" w:lineRule="auto"/>
        <w:jc w:val="both"/>
        <w:rPr>
          <w:b/>
          <w:bCs/>
          <w:szCs w:val="24"/>
        </w:rPr>
      </w:pPr>
      <w:r>
        <w:br w:type="page"/>
      </w:r>
    </w:p>
    <w:p w14:paraId="1F081300" w14:textId="5DF2DB4D" w:rsidR="007F0513" w:rsidRDefault="007D1814" w:rsidP="006904E4">
      <w:pPr>
        <w:pStyle w:val="Heading1"/>
        <w:spacing w:after="120"/>
        <w:ind w:left="0"/>
      </w:pPr>
      <w:bookmarkStart w:id="14" w:name="_Toc224409316"/>
      <w:r>
        <w:lastRenderedPageBreak/>
        <w:t>References</w:t>
      </w:r>
      <w:bookmarkEnd w:id="14"/>
    </w:p>
    <w:p w14:paraId="76F052CC" w14:textId="77777777" w:rsidR="00560B72" w:rsidRDefault="00560B72" w:rsidP="00640EE5">
      <w:pPr>
        <w:spacing w:after="120" w:line="360" w:lineRule="auto"/>
        <w:jc w:val="both"/>
      </w:pPr>
      <w:r>
        <w:t xml:space="preserve">Abbes, I. (2025) Strategic pathways for innovation and sustainability in digital transformation: Insights from leading global companies. [Online]. Available at: </w:t>
      </w:r>
      <w:hyperlink r:id="rId15" w:history="1">
        <w:r>
          <w:rPr>
            <w:rStyle w:val="Hyperlink"/>
          </w:rPr>
          <w:t>https://www.sciencedirect.com/science/article/pii/S2590291125006345</w:t>
        </w:r>
      </w:hyperlink>
      <w:r>
        <w:t xml:space="preserve"> [Accessed on: 14</w:t>
      </w:r>
      <w:r>
        <w:rPr>
          <w:vertAlign w:val="superscript"/>
        </w:rPr>
        <w:t>th</w:t>
      </w:r>
      <w:r>
        <w:t xml:space="preserve"> March 2026].</w:t>
      </w:r>
    </w:p>
    <w:p w14:paraId="7CA54F6C" w14:textId="77777777" w:rsidR="00560B72" w:rsidRDefault="00560B72" w:rsidP="00640EE5">
      <w:pPr>
        <w:spacing w:after="120" w:line="360" w:lineRule="auto"/>
        <w:jc w:val="both"/>
      </w:pPr>
      <w:r>
        <w:t>Abro, G.E.M., Zulkifli, S.A.B., Kumar, K., El Ouanjli, N., Asirvadam, V.S. and Mossa, M.A. (2023) Comprehensive review of recent advancements in battery technology, propulsion, power interfaces, and vehicle network systems for intelligent autonomous and connected electric vehicles. </w:t>
      </w:r>
      <w:r>
        <w:rPr>
          <w:i/>
          <w:iCs/>
        </w:rPr>
        <w:t>Energies</w:t>
      </w:r>
      <w:r>
        <w:t>, </w:t>
      </w:r>
      <w:r>
        <w:rPr>
          <w:i/>
          <w:iCs/>
        </w:rPr>
        <w:t>16</w:t>
      </w:r>
      <w:r>
        <w:t>(6), p.2925.</w:t>
      </w:r>
    </w:p>
    <w:p w14:paraId="6CE4D10D" w14:textId="77777777" w:rsidR="00560B72" w:rsidRDefault="00560B72" w:rsidP="00640EE5">
      <w:pPr>
        <w:spacing w:after="120" w:line="360" w:lineRule="auto"/>
        <w:jc w:val="both"/>
      </w:pPr>
      <w:r>
        <w:t>Chen, S.L. and Chen, K.L. (2023) Exploring the Impact of Technological Innovation on the Development of Electric Vehicles on the Bibliometric Perspective of Innovation Types. </w:t>
      </w:r>
      <w:r>
        <w:rPr>
          <w:i/>
          <w:iCs/>
        </w:rPr>
        <w:t>World Electric Vehicle Journal</w:t>
      </w:r>
      <w:r>
        <w:t>, </w:t>
      </w:r>
      <w:r>
        <w:rPr>
          <w:i/>
          <w:iCs/>
        </w:rPr>
        <w:t>14</w:t>
      </w:r>
      <w:r>
        <w:t>(7), p.191.</w:t>
      </w:r>
    </w:p>
    <w:p w14:paraId="2134D271" w14:textId="77777777" w:rsidR="00560B72" w:rsidRDefault="00560B72" w:rsidP="00640EE5">
      <w:pPr>
        <w:spacing w:after="120" w:line="360" w:lineRule="auto"/>
        <w:jc w:val="both"/>
      </w:pPr>
      <w:r>
        <w:t xml:space="preserve">Department of Transport (2024) Phasing out the sale of new petrol and diesel cars from 2030 and Support for the Zero Emission Transition. [Online]. Available at: </w:t>
      </w:r>
      <w:hyperlink r:id="rId16" w:history="1">
        <w:r>
          <w:rPr>
            <w:rStyle w:val="Hyperlink"/>
          </w:rPr>
          <w:t>https://assets.publishing.service.gov.uk/media/679382182de28ea2d392f37f/phasing-out-the-sale-of-new-petrol-and-diesel-cars-from-2030-and-support-for-the-zero-emission-transition.pdf</w:t>
        </w:r>
      </w:hyperlink>
      <w:r>
        <w:t xml:space="preserve"> [Accessed on: 14</w:t>
      </w:r>
      <w:r>
        <w:rPr>
          <w:vertAlign w:val="superscript"/>
        </w:rPr>
        <w:t>th</w:t>
      </w:r>
      <w:r>
        <w:t xml:space="preserve"> March 2026].</w:t>
      </w:r>
    </w:p>
    <w:p w14:paraId="0279F021" w14:textId="77777777" w:rsidR="00560B72" w:rsidRDefault="00560B72" w:rsidP="00640EE5">
      <w:pPr>
        <w:spacing w:after="120" w:line="360" w:lineRule="auto"/>
        <w:jc w:val="both"/>
      </w:pPr>
      <w:r>
        <w:t>Ferrer, A.L.C. and Thome, A.M.T. (2023) Carbon emissions in transportation: A synthesis framework. </w:t>
      </w:r>
      <w:r>
        <w:rPr>
          <w:i/>
          <w:iCs/>
        </w:rPr>
        <w:t>Sustainability</w:t>
      </w:r>
      <w:r>
        <w:t>, </w:t>
      </w:r>
      <w:r>
        <w:rPr>
          <w:i/>
          <w:iCs/>
        </w:rPr>
        <w:t>15</w:t>
      </w:r>
      <w:r>
        <w:t>(11), p.8475.</w:t>
      </w:r>
    </w:p>
    <w:p w14:paraId="1AFDC282" w14:textId="77777777" w:rsidR="00560B72" w:rsidRDefault="00560B72" w:rsidP="00640EE5">
      <w:pPr>
        <w:spacing w:after="120" w:line="360" w:lineRule="auto"/>
        <w:jc w:val="both"/>
      </w:pPr>
      <w:r>
        <w:t xml:space="preserve">Ford (2025) Ford Broadens Electrification Strategy to Reach More Customers. [Online]. Available at: </w:t>
      </w:r>
      <w:hyperlink r:id="rId17" w:anchor=":~:text=Electric%20commercial%20vehicles,an%20F%2D150%20Lightning%20Pro" w:history="1">
        <w:r>
          <w:rPr>
            <w:rStyle w:val="Hyperlink"/>
          </w:rPr>
          <w:t>https://www.fromtheroad.ford.com/us/en/articles/2024/ford-broadens-electrification-strategy-to-reach-more-customers-#:~:text=Electric%20commercial%20vehicles,an%20F%2D150%20Lightning%20Pro</w:t>
        </w:r>
      </w:hyperlink>
      <w:r>
        <w:t>.  [Accessed on: 14</w:t>
      </w:r>
      <w:r>
        <w:rPr>
          <w:vertAlign w:val="superscript"/>
        </w:rPr>
        <w:t>th</w:t>
      </w:r>
      <w:r>
        <w:t xml:space="preserve"> March 2026].</w:t>
      </w:r>
    </w:p>
    <w:p w14:paraId="141BC8A1" w14:textId="77777777" w:rsidR="00560B72" w:rsidRDefault="00560B72" w:rsidP="00640EE5">
      <w:pPr>
        <w:spacing w:after="120" w:line="360" w:lineRule="auto"/>
        <w:jc w:val="both"/>
      </w:pPr>
      <w:r>
        <w:t xml:space="preserve">Ford (2026) Make Your Next Electric Vehicle a Ford. [Online].Available at: </w:t>
      </w:r>
      <w:hyperlink r:id="rId18" w:history="1">
        <w:r>
          <w:rPr>
            <w:rStyle w:val="Hyperlink"/>
          </w:rPr>
          <w:t>https://www.ford.com/electric/ev-features/?srsltid=AfmBOopK9IvUsZPWFHZdFv71iV4bS7Hh7FhfvhGN2NOWRdz6YITI0uMe</w:t>
        </w:r>
      </w:hyperlink>
      <w:r>
        <w:t xml:space="preserve"> [Accessed on: 14</w:t>
      </w:r>
      <w:r>
        <w:rPr>
          <w:vertAlign w:val="superscript"/>
        </w:rPr>
        <w:t>th</w:t>
      </w:r>
      <w:r>
        <w:t xml:space="preserve"> March 2026].</w:t>
      </w:r>
    </w:p>
    <w:p w14:paraId="08EC72FA" w14:textId="77777777" w:rsidR="00560B72" w:rsidRDefault="00560B72" w:rsidP="00640EE5">
      <w:pPr>
        <w:spacing w:after="120" w:line="360" w:lineRule="auto"/>
        <w:jc w:val="both"/>
      </w:pPr>
      <w:r>
        <w:lastRenderedPageBreak/>
        <w:t xml:space="preserve">Ford (2026) Welcome to a new era for Ford. [Online]. Available at: </w:t>
      </w:r>
      <w:hyperlink r:id="rId19" w:history="1">
        <w:r>
          <w:rPr>
            <w:rStyle w:val="Hyperlink"/>
          </w:rPr>
          <w:t>https://corporate.ford.com/</w:t>
        </w:r>
      </w:hyperlink>
      <w:r>
        <w:t xml:space="preserve">  [Accessed on: 14</w:t>
      </w:r>
      <w:r>
        <w:rPr>
          <w:vertAlign w:val="superscript"/>
        </w:rPr>
        <w:t>th</w:t>
      </w:r>
      <w:r>
        <w:t xml:space="preserve"> March 2026].</w:t>
      </w:r>
    </w:p>
    <w:p w14:paraId="720393EB" w14:textId="77777777" w:rsidR="00560B72" w:rsidRDefault="00560B72" w:rsidP="00640EE5">
      <w:pPr>
        <w:spacing w:after="120" w:line="360" w:lineRule="auto"/>
        <w:jc w:val="both"/>
      </w:pPr>
      <w:r>
        <w:t xml:space="preserve">Internet Marketing (2026) Macro environment and marketing. [Online]. Available at: </w:t>
      </w:r>
      <w:hyperlink r:id="rId20" w:history="1">
        <w:r>
          <w:rPr>
            <w:rStyle w:val="Hyperlink"/>
          </w:rPr>
          <w:t>https://u3115157.wordpress.com/2016/09/16/macro-environment-and-marketing/</w:t>
        </w:r>
      </w:hyperlink>
      <w:r>
        <w:t xml:space="preserve"> [Accessed on: 14</w:t>
      </w:r>
      <w:r>
        <w:rPr>
          <w:vertAlign w:val="superscript"/>
        </w:rPr>
        <w:t>th</w:t>
      </w:r>
      <w:r>
        <w:t xml:space="preserve"> March 2026].</w:t>
      </w:r>
    </w:p>
    <w:p w14:paraId="0E4E99EE" w14:textId="77777777" w:rsidR="00560B72" w:rsidRDefault="00560B72" w:rsidP="00640EE5">
      <w:pPr>
        <w:spacing w:after="120" w:line="360" w:lineRule="auto"/>
        <w:jc w:val="both"/>
      </w:pPr>
      <w:r>
        <w:t>Jagani, S., Marsillac, E. and Hong, P. (2024) The electric vehicle supply chain ecosystem: changing roles of automotive suppliers. </w:t>
      </w:r>
      <w:r>
        <w:rPr>
          <w:i/>
          <w:iCs/>
        </w:rPr>
        <w:t>Sustainability</w:t>
      </w:r>
      <w:r>
        <w:t>, </w:t>
      </w:r>
      <w:r>
        <w:rPr>
          <w:i/>
          <w:iCs/>
        </w:rPr>
        <w:t>16</w:t>
      </w:r>
      <w:r>
        <w:t>(4), p.1570.</w:t>
      </w:r>
    </w:p>
    <w:p w14:paraId="7874072A" w14:textId="77777777" w:rsidR="00560B72" w:rsidRDefault="00560B72" w:rsidP="00640EE5">
      <w:pPr>
        <w:spacing w:after="120" w:line="360" w:lineRule="auto"/>
        <w:jc w:val="both"/>
      </w:pPr>
      <w:r>
        <w:t xml:space="preserve">Jana, P. and Tiwari, M. (2021) Fordism, Post-Fordism and flexible Specialization. [Online].Available at: </w:t>
      </w:r>
      <w:hyperlink r:id="rId21" w:history="1">
        <w:r>
          <w:rPr>
            <w:rStyle w:val="Hyperlink"/>
          </w:rPr>
          <w:t>https://www.sciencedirect.com/topics/earth-and-planetary-sciences/fordism</w:t>
        </w:r>
      </w:hyperlink>
      <w:r>
        <w:t xml:space="preserve"> [Accessed on: 14</w:t>
      </w:r>
      <w:r>
        <w:rPr>
          <w:vertAlign w:val="superscript"/>
        </w:rPr>
        <w:t>th</w:t>
      </w:r>
      <w:r>
        <w:t xml:space="preserve"> March 2026].</w:t>
      </w:r>
    </w:p>
    <w:p w14:paraId="1643CFF2" w14:textId="77777777" w:rsidR="00560B72" w:rsidRDefault="00560B72" w:rsidP="00640EE5">
      <w:pPr>
        <w:spacing w:after="120" w:line="360" w:lineRule="auto"/>
        <w:jc w:val="both"/>
      </w:pPr>
      <w:r>
        <w:t>Jelti, F., Allouhi, A. and Tabet Aoul, K.A. (2023) Transition paths towards a sustainable transportation system: a literature review. </w:t>
      </w:r>
      <w:r>
        <w:rPr>
          <w:i/>
          <w:iCs/>
        </w:rPr>
        <w:t>Sustainability</w:t>
      </w:r>
      <w:r>
        <w:t>, </w:t>
      </w:r>
      <w:r>
        <w:rPr>
          <w:i/>
          <w:iCs/>
        </w:rPr>
        <w:t>15</w:t>
      </w:r>
      <w:r>
        <w:t>(21), p.15457.</w:t>
      </w:r>
    </w:p>
    <w:p w14:paraId="428D29CA" w14:textId="77777777" w:rsidR="00560B72" w:rsidRDefault="00560B72" w:rsidP="00640EE5">
      <w:pPr>
        <w:spacing w:after="120" w:line="360" w:lineRule="auto"/>
        <w:jc w:val="both"/>
      </w:pPr>
      <w:r>
        <w:t xml:space="preserve">Jurevicius, O. (2025) Porter’s (Three) Generic Strategies Explained. [Online]. Available at: </w:t>
      </w:r>
      <w:hyperlink r:id="rId22" w:history="1">
        <w:r>
          <w:rPr>
            <w:rStyle w:val="Hyperlink"/>
          </w:rPr>
          <w:t>https://strategicmanagementinsight.com/tools/porters-three-generic-strategies/</w:t>
        </w:r>
      </w:hyperlink>
      <w:r>
        <w:t xml:space="preserve"> [Accessed on: 14</w:t>
      </w:r>
      <w:r>
        <w:rPr>
          <w:vertAlign w:val="superscript"/>
        </w:rPr>
        <w:t>th</w:t>
      </w:r>
      <w:r>
        <w:t xml:space="preserve"> March 2026].</w:t>
      </w:r>
    </w:p>
    <w:p w14:paraId="3C891109" w14:textId="77777777" w:rsidR="00560B72" w:rsidRDefault="00560B72" w:rsidP="00640EE5">
      <w:pPr>
        <w:spacing w:after="120" w:line="360" w:lineRule="auto"/>
        <w:jc w:val="both"/>
      </w:pPr>
      <w:r>
        <w:t>Mo, T., Li, Y., Lau, K.T., Poon, C.K., Wu, Y. and Luo, Y. (2022) Trends and emerging technologies for the development of electric vehicles. </w:t>
      </w:r>
      <w:r>
        <w:rPr>
          <w:i/>
          <w:iCs/>
        </w:rPr>
        <w:t>Energies</w:t>
      </w:r>
      <w:r>
        <w:t>, </w:t>
      </w:r>
      <w:r>
        <w:rPr>
          <w:i/>
          <w:iCs/>
        </w:rPr>
        <w:t>15</w:t>
      </w:r>
      <w:r>
        <w:t>(17), p.6271.</w:t>
      </w:r>
    </w:p>
    <w:p w14:paraId="715F5A43" w14:textId="77777777" w:rsidR="00560B72" w:rsidRDefault="00560B72" w:rsidP="00640EE5">
      <w:pPr>
        <w:spacing w:after="120" w:line="360" w:lineRule="auto"/>
        <w:jc w:val="both"/>
      </w:pPr>
      <w:r>
        <w:t>Mohammadi, F. and Saif, M. (2023) A comprehensive overview of electric vehicle batteries market. </w:t>
      </w:r>
      <w:r>
        <w:rPr>
          <w:i/>
          <w:iCs/>
        </w:rPr>
        <w:t>e-Prime-Advances in Electrical Engineering, Electronics and Energy</w:t>
      </w:r>
      <w:r>
        <w:t>, </w:t>
      </w:r>
      <w:r>
        <w:rPr>
          <w:i/>
          <w:iCs/>
        </w:rPr>
        <w:t>3</w:t>
      </w:r>
      <w:r>
        <w:t>, p.100127.</w:t>
      </w:r>
    </w:p>
    <w:p w14:paraId="7216ADEE" w14:textId="77777777" w:rsidR="00560B72" w:rsidRDefault="00560B72" w:rsidP="00640EE5">
      <w:pPr>
        <w:spacing w:after="120" w:line="360" w:lineRule="auto"/>
        <w:jc w:val="both"/>
      </w:pPr>
      <w:r>
        <w:t xml:space="preserve">Nair, A., Ganapavaram, A., and Lienert, P. (2022) Ford boosts EV spending to $50 billion, sets up new Model e unit. [Online]. Available at: </w:t>
      </w:r>
      <w:hyperlink r:id="rId23" w:history="1">
        <w:r>
          <w:rPr>
            <w:rStyle w:val="Hyperlink"/>
          </w:rPr>
          <w:t>https://www.reuters.com/business/autos-transportation/ford-run-ev-ice-businesses-separately-2022-03-02/</w:t>
        </w:r>
      </w:hyperlink>
      <w:r>
        <w:t xml:space="preserve"> [Accessed on: 14</w:t>
      </w:r>
      <w:r>
        <w:rPr>
          <w:vertAlign w:val="superscript"/>
        </w:rPr>
        <w:t>th</w:t>
      </w:r>
      <w:r>
        <w:t xml:space="preserve"> March 2026].</w:t>
      </w:r>
    </w:p>
    <w:p w14:paraId="6B1B6B62" w14:textId="77777777" w:rsidR="00560B72" w:rsidRDefault="00560B72" w:rsidP="00640EE5">
      <w:pPr>
        <w:spacing w:after="120" w:line="360" w:lineRule="auto"/>
        <w:jc w:val="both"/>
      </w:pPr>
      <w:r>
        <w:t>Patil, G., Pode, G., Diouf, B. and Pode, R. (2024) Sustainable decarbonization of road transport: policies, current status, and challenges of electric vehicles. </w:t>
      </w:r>
      <w:r>
        <w:rPr>
          <w:i/>
          <w:iCs/>
        </w:rPr>
        <w:t>Sustainability</w:t>
      </w:r>
      <w:r>
        <w:t>, </w:t>
      </w:r>
      <w:r>
        <w:rPr>
          <w:i/>
          <w:iCs/>
        </w:rPr>
        <w:t>16</w:t>
      </w:r>
      <w:r>
        <w:t>(18), p.8058.</w:t>
      </w:r>
    </w:p>
    <w:p w14:paraId="15F38C69" w14:textId="77777777" w:rsidR="00560B72" w:rsidRDefault="00560B72" w:rsidP="00640EE5">
      <w:pPr>
        <w:spacing w:after="120" w:line="360" w:lineRule="auto"/>
        <w:jc w:val="both"/>
      </w:pPr>
      <w:r>
        <w:lastRenderedPageBreak/>
        <w:t>Pisano, A., Saba, M. and Baldovino, J.A. (2023) A critical review of NIO’s business model. </w:t>
      </w:r>
      <w:r>
        <w:rPr>
          <w:i/>
          <w:iCs/>
        </w:rPr>
        <w:t>World Electric Vehicle Journal</w:t>
      </w:r>
      <w:r>
        <w:t>, </w:t>
      </w:r>
      <w:r>
        <w:rPr>
          <w:i/>
          <w:iCs/>
        </w:rPr>
        <w:t>14</w:t>
      </w:r>
      <w:r>
        <w:t>(9), p.251.</w:t>
      </w:r>
    </w:p>
    <w:p w14:paraId="3B5E4AB9" w14:textId="77777777" w:rsidR="00560B72" w:rsidRDefault="00560B72" w:rsidP="00640EE5">
      <w:pPr>
        <w:spacing w:after="120" w:line="360" w:lineRule="auto"/>
        <w:jc w:val="both"/>
      </w:pPr>
      <w:r>
        <w:t>Rimpas, D., Barkas, D.E., Orfanos, V.A. and Christakis, I. (2025) Decarbonizing the transportation sector: A review on the role of electric vehicles towards the European Green Deal for the new emission standards. </w:t>
      </w:r>
      <w:r>
        <w:rPr>
          <w:i/>
          <w:iCs/>
        </w:rPr>
        <w:t>Air</w:t>
      </w:r>
      <w:r>
        <w:t>, </w:t>
      </w:r>
      <w:r>
        <w:rPr>
          <w:i/>
          <w:iCs/>
        </w:rPr>
        <w:t>3</w:t>
      </w:r>
      <w:r>
        <w:t>(2), p.10.</w:t>
      </w:r>
    </w:p>
    <w:p w14:paraId="2B6565FD" w14:textId="77777777" w:rsidR="00560B72" w:rsidRDefault="00560B72" w:rsidP="00640EE5">
      <w:pPr>
        <w:spacing w:after="120" w:line="360" w:lineRule="auto"/>
        <w:jc w:val="both"/>
      </w:pPr>
      <w:r>
        <w:t>S. Rangarajan, S., Sunddararaj, S.P., Sudhakar, A.V.V., Shiva, C.K., Subramaniam, U., Collins, E.R. and Senjyu, T. (2022) Lithium-ion batteries—The crux of electric vehicles with opportunities and challenges. </w:t>
      </w:r>
      <w:r>
        <w:rPr>
          <w:i/>
          <w:iCs/>
        </w:rPr>
        <w:t>Clean Technologies</w:t>
      </w:r>
      <w:r>
        <w:t>, </w:t>
      </w:r>
      <w:r>
        <w:rPr>
          <w:i/>
          <w:iCs/>
        </w:rPr>
        <w:t>4</w:t>
      </w:r>
      <w:r>
        <w:t>(4), pp.908-930.</w:t>
      </w:r>
    </w:p>
    <w:p w14:paraId="6C065906" w14:textId="77777777" w:rsidR="00560B72" w:rsidRDefault="00560B72" w:rsidP="00640EE5">
      <w:pPr>
        <w:spacing w:after="120" w:line="360" w:lineRule="auto"/>
        <w:jc w:val="both"/>
      </w:pPr>
      <w:r>
        <w:t>Sathiyan, S.P., Pratap, C.B., Stonier, A.A., Peter, G., Sherine, A., Praghash, K. and Ganji, V. (2022) Comprehensive assessment of electric vehicle development, deployment, and policy initiatives to reduce GHG emissions: opportunities and challenges. </w:t>
      </w:r>
      <w:r>
        <w:rPr>
          <w:i/>
          <w:iCs/>
        </w:rPr>
        <w:t>IEEE Access</w:t>
      </w:r>
      <w:r>
        <w:t>, </w:t>
      </w:r>
      <w:r>
        <w:rPr>
          <w:i/>
          <w:iCs/>
        </w:rPr>
        <w:t>10</w:t>
      </w:r>
      <w:r>
        <w:t>, pp.53614-53639.</w:t>
      </w:r>
    </w:p>
    <w:p w14:paraId="4A922B46" w14:textId="77777777" w:rsidR="00560B72" w:rsidRDefault="00560B72" w:rsidP="00640EE5">
      <w:pPr>
        <w:spacing w:after="120" w:line="360" w:lineRule="auto"/>
        <w:jc w:val="both"/>
      </w:pPr>
      <w:r>
        <w:t>Tayri, A. and Ma, X. (2025) Grid impacts of electric vehicle charging: A review of challenges and mitigation strategies. </w:t>
      </w:r>
      <w:r>
        <w:rPr>
          <w:i/>
          <w:iCs/>
        </w:rPr>
        <w:t>Energies</w:t>
      </w:r>
      <w:r>
        <w:t>, </w:t>
      </w:r>
      <w:r>
        <w:rPr>
          <w:i/>
          <w:iCs/>
        </w:rPr>
        <w:t>18</w:t>
      </w:r>
      <w:r>
        <w:t>(14), p.3807.</w:t>
      </w:r>
    </w:p>
    <w:p w14:paraId="6492EC14" w14:textId="77777777" w:rsidR="00560B72" w:rsidRDefault="00560B72" w:rsidP="00640EE5">
      <w:pPr>
        <w:spacing w:after="120" w:line="360" w:lineRule="auto"/>
        <w:jc w:val="both"/>
      </w:pPr>
      <w:r>
        <w:t xml:space="preserve">Tesla (2026) The Future is Sustainable. [Online]. Available at: </w:t>
      </w:r>
      <w:hyperlink r:id="rId24" w:history="1">
        <w:r>
          <w:rPr>
            <w:rStyle w:val="Hyperlink"/>
          </w:rPr>
          <w:t>https://www.tesla.com/about</w:t>
        </w:r>
      </w:hyperlink>
      <w:r>
        <w:t xml:space="preserve">  [Accessed on: 14</w:t>
      </w:r>
      <w:r>
        <w:rPr>
          <w:vertAlign w:val="superscript"/>
        </w:rPr>
        <w:t>th</w:t>
      </w:r>
      <w:r>
        <w:t xml:space="preserve"> March 2026].</w:t>
      </w:r>
    </w:p>
    <w:p w14:paraId="73779853" w14:textId="77777777" w:rsidR="00560B72" w:rsidRDefault="00560B72" w:rsidP="00640EE5">
      <w:pPr>
        <w:spacing w:after="120" w:line="360" w:lineRule="auto"/>
        <w:jc w:val="both"/>
      </w:pPr>
      <w:r>
        <w:t>Vechkinzova, E., Steblyakova, L.P., Roslyakova, N. and Omarova, B. (2022) Prospects for the development of hydrogen energy: Overview of global trends and the Russian market state. </w:t>
      </w:r>
      <w:r>
        <w:rPr>
          <w:i/>
          <w:iCs/>
        </w:rPr>
        <w:t>Energies</w:t>
      </w:r>
      <w:r>
        <w:t>, </w:t>
      </w:r>
      <w:r>
        <w:rPr>
          <w:i/>
          <w:iCs/>
        </w:rPr>
        <w:t>15</w:t>
      </w:r>
      <w:r>
        <w:t>(22), p.8503.</w:t>
      </w:r>
    </w:p>
    <w:p w14:paraId="4E1B98EB" w14:textId="77777777" w:rsidR="00560B72" w:rsidRDefault="00560B72" w:rsidP="00640EE5">
      <w:pPr>
        <w:spacing w:after="120" w:line="360" w:lineRule="auto"/>
        <w:jc w:val="both"/>
      </w:pPr>
      <w:r>
        <w:t xml:space="preserve">Wayland, M. (2026) Ford unveils Mustang Mach-E starting at roughly $44,000. [Online].Available at: </w:t>
      </w:r>
      <w:hyperlink r:id="rId25" w:history="1">
        <w:r>
          <w:rPr>
            <w:rStyle w:val="Hyperlink"/>
          </w:rPr>
          <w:t>https://www.cnbc.com/2019/11/17/ford-unveils-mustang-mach-e-starting-at-roughly-44000.html</w:t>
        </w:r>
      </w:hyperlink>
      <w:r>
        <w:t xml:space="preserve"> [Accessed on: 14</w:t>
      </w:r>
      <w:r>
        <w:rPr>
          <w:vertAlign w:val="superscript"/>
        </w:rPr>
        <w:t>th</w:t>
      </w:r>
      <w:r>
        <w:t xml:space="preserve"> March 2026].</w:t>
      </w:r>
    </w:p>
    <w:p w14:paraId="13C65773" w14:textId="77777777" w:rsidR="00560B72" w:rsidRDefault="00560B72" w:rsidP="00640EE5">
      <w:pPr>
        <w:spacing w:after="120" w:line="360" w:lineRule="auto"/>
        <w:jc w:val="both"/>
      </w:pPr>
      <w:r>
        <w:t>Zentani, A., Almaktoof, A. and Kahn, M.T. (2024) A comprehensive review of developments in electric vehicles fast charging technology. </w:t>
      </w:r>
      <w:r>
        <w:rPr>
          <w:i/>
          <w:iCs/>
        </w:rPr>
        <w:t>Applied Sciences</w:t>
      </w:r>
      <w:r>
        <w:t>, </w:t>
      </w:r>
      <w:r>
        <w:rPr>
          <w:i/>
          <w:iCs/>
        </w:rPr>
        <w:t>14</w:t>
      </w:r>
      <w:r>
        <w:t>(11), p.4728.</w:t>
      </w:r>
    </w:p>
    <w:p w14:paraId="1107876B" w14:textId="79259871" w:rsidR="00027DF2" w:rsidRPr="00AE1E83" w:rsidRDefault="00027DF2" w:rsidP="006904E4">
      <w:pPr>
        <w:spacing w:after="120" w:line="360" w:lineRule="auto"/>
        <w:jc w:val="both"/>
      </w:pPr>
    </w:p>
    <w:sectPr w:rsidR="00027DF2" w:rsidRPr="00AE1E83" w:rsidSect="008D4BB4">
      <w:headerReference w:type="default" r:id="rId26"/>
      <w:footerReference w:type="default" r:id="rId27"/>
      <w:pgSz w:w="12240" w:h="15840"/>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FEFA0" w14:textId="77777777" w:rsidR="0091588A" w:rsidRDefault="0091588A" w:rsidP="008D4BB4">
      <w:r>
        <w:separator/>
      </w:r>
    </w:p>
  </w:endnote>
  <w:endnote w:type="continuationSeparator" w:id="0">
    <w:p w14:paraId="5C26DBF5" w14:textId="77777777" w:rsidR="0091588A" w:rsidRDefault="0091588A" w:rsidP="008D4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131391"/>
      <w:docPartObj>
        <w:docPartGallery w:val="Page Numbers (Bottom of Page)"/>
        <w:docPartUnique/>
      </w:docPartObj>
    </w:sdtPr>
    <w:sdtContent>
      <w:p w14:paraId="7211855D" w14:textId="77777777" w:rsidR="008D4BB4" w:rsidRDefault="00D753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636E0" w14:textId="77777777" w:rsidR="008D4BB4" w:rsidRDefault="008D4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5D62E" w14:textId="77777777" w:rsidR="0091588A" w:rsidRDefault="0091588A" w:rsidP="008D4BB4">
      <w:r>
        <w:separator/>
      </w:r>
    </w:p>
  </w:footnote>
  <w:footnote w:type="continuationSeparator" w:id="0">
    <w:p w14:paraId="7F32EC45" w14:textId="77777777" w:rsidR="0091588A" w:rsidRDefault="0091588A" w:rsidP="008D4B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7EA36" w14:textId="54427974" w:rsidR="00560B72" w:rsidRDefault="00560B72">
    <w:pPr>
      <w:pStyle w:val="Header"/>
    </w:pPr>
    <w:r w:rsidRPr="00560B72">
      <w:drawing>
        <wp:inline distT="0" distB="0" distL="0" distR="0" wp14:anchorId="153A4776" wp14:editId="26B0009C">
          <wp:extent cx="1682115" cy="717461"/>
          <wp:effectExtent l="0" t="0" r="0" b="0"/>
          <wp:docPr id="739083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83224" name=""/>
                  <pic:cNvPicPr/>
                </pic:nvPicPr>
                <pic:blipFill>
                  <a:blip r:embed="rId1"/>
                  <a:stretch>
                    <a:fillRect/>
                  </a:stretch>
                </pic:blipFill>
                <pic:spPr>
                  <a:xfrm>
                    <a:off x="0" y="0"/>
                    <a:ext cx="1692014" cy="72168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LSwsDQyNjIxMDe1MDVR0lEKTi0uzszPAymwrAUAW9LRUiwAAAA="/>
  </w:docVars>
  <w:rsids>
    <w:rsidRoot w:val="00314BA9"/>
    <w:rsid w:val="000047F6"/>
    <w:rsid w:val="00010EBC"/>
    <w:rsid w:val="000232ED"/>
    <w:rsid w:val="00024D37"/>
    <w:rsid w:val="00025655"/>
    <w:rsid w:val="00027DF2"/>
    <w:rsid w:val="000306B4"/>
    <w:rsid w:val="00041910"/>
    <w:rsid w:val="00050D05"/>
    <w:rsid w:val="0008440A"/>
    <w:rsid w:val="00086CD0"/>
    <w:rsid w:val="000A5C1A"/>
    <w:rsid w:val="000A76A3"/>
    <w:rsid w:val="000D0816"/>
    <w:rsid w:val="000E4CE5"/>
    <w:rsid w:val="001006D3"/>
    <w:rsid w:val="001111C5"/>
    <w:rsid w:val="00122A14"/>
    <w:rsid w:val="001257BC"/>
    <w:rsid w:val="00130C26"/>
    <w:rsid w:val="00150528"/>
    <w:rsid w:val="00152FF4"/>
    <w:rsid w:val="0015607C"/>
    <w:rsid w:val="00165A5F"/>
    <w:rsid w:val="00181666"/>
    <w:rsid w:val="00196AC6"/>
    <w:rsid w:val="001A0923"/>
    <w:rsid w:val="001B1B04"/>
    <w:rsid w:val="001B23E5"/>
    <w:rsid w:val="001B29BC"/>
    <w:rsid w:val="001D7092"/>
    <w:rsid w:val="001E3F18"/>
    <w:rsid w:val="001E4F9A"/>
    <w:rsid w:val="001E78A1"/>
    <w:rsid w:val="002047B2"/>
    <w:rsid w:val="00205CE5"/>
    <w:rsid w:val="00225A05"/>
    <w:rsid w:val="002322D6"/>
    <w:rsid w:val="00285650"/>
    <w:rsid w:val="0028697B"/>
    <w:rsid w:val="00287C4A"/>
    <w:rsid w:val="002954D4"/>
    <w:rsid w:val="00296EAF"/>
    <w:rsid w:val="002B4B53"/>
    <w:rsid w:val="002C25F5"/>
    <w:rsid w:val="002C5477"/>
    <w:rsid w:val="002E19A4"/>
    <w:rsid w:val="002E3A55"/>
    <w:rsid w:val="002E5E52"/>
    <w:rsid w:val="002F44A3"/>
    <w:rsid w:val="002F6E6F"/>
    <w:rsid w:val="00301CE8"/>
    <w:rsid w:val="003110CE"/>
    <w:rsid w:val="00314BA9"/>
    <w:rsid w:val="00317F7F"/>
    <w:rsid w:val="00323697"/>
    <w:rsid w:val="00325E2D"/>
    <w:rsid w:val="00333E75"/>
    <w:rsid w:val="0034341C"/>
    <w:rsid w:val="00375651"/>
    <w:rsid w:val="00376B03"/>
    <w:rsid w:val="003776A0"/>
    <w:rsid w:val="00394043"/>
    <w:rsid w:val="00396E23"/>
    <w:rsid w:val="003A0111"/>
    <w:rsid w:val="003A7CAA"/>
    <w:rsid w:val="003B4438"/>
    <w:rsid w:val="003B7E9E"/>
    <w:rsid w:val="003C04A0"/>
    <w:rsid w:val="003C0C9A"/>
    <w:rsid w:val="003C2105"/>
    <w:rsid w:val="003C3FD9"/>
    <w:rsid w:val="003D073C"/>
    <w:rsid w:val="003D23E2"/>
    <w:rsid w:val="003D623F"/>
    <w:rsid w:val="003D66A4"/>
    <w:rsid w:val="003E5F14"/>
    <w:rsid w:val="00404F76"/>
    <w:rsid w:val="004101C4"/>
    <w:rsid w:val="0043201C"/>
    <w:rsid w:val="004426F6"/>
    <w:rsid w:val="00454416"/>
    <w:rsid w:val="0046173B"/>
    <w:rsid w:val="004631F7"/>
    <w:rsid w:val="00483720"/>
    <w:rsid w:val="004A2FB7"/>
    <w:rsid w:val="004B2619"/>
    <w:rsid w:val="004B72BF"/>
    <w:rsid w:val="004C695E"/>
    <w:rsid w:val="004E6DAB"/>
    <w:rsid w:val="00502243"/>
    <w:rsid w:val="0051512D"/>
    <w:rsid w:val="00523F8A"/>
    <w:rsid w:val="00532BF8"/>
    <w:rsid w:val="00547CDD"/>
    <w:rsid w:val="00547FC2"/>
    <w:rsid w:val="005608A4"/>
    <w:rsid w:val="005609D1"/>
    <w:rsid w:val="00560B72"/>
    <w:rsid w:val="005756D7"/>
    <w:rsid w:val="0058057D"/>
    <w:rsid w:val="00584C92"/>
    <w:rsid w:val="005C0737"/>
    <w:rsid w:val="005C284A"/>
    <w:rsid w:val="005D5F4E"/>
    <w:rsid w:val="005F162A"/>
    <w:rsid w:val="005F7A83"/>
    <w:rsid w:val="00606C71"/>
    <w:rsid w:val="006345E9"/>
    <w:rsid w:val="006364AB"/>
    <w:rsid w:val="00640EE5"/>
    <w:rsid w:val="00645DD6"/>
    <w:rsid w:val="00653124"/>
    <w:rsid w:val="00653A6C"/>
    <w:rsid w:val="00653DB4"/>
    <w:rsid w:val="00653FA5"/>
    <w:rsid w:val="0066421A"/>
    <w:rsid w:val="00675D7C"/>
    <w:rsid w:val="006904E4"/>
    <w:rsid w:val="006A17E7"/>
    <w:rsid w:val="006A547C"/>
    <w:rsid w:val="006C13AB"/>
    <w:rsid w:val="006C1CD2"/>
    <w:rsid w:val="006E245A"/>
    <w:rsid w:val="006E2E68"/>
    <w:rsid w:val="006F5AAE"/>
    <w:rsid w:val="0070149E"/>
    <w:rsid w:val="00710C09"/>
    <w:rsid w:val="007265BE"/>
    <w:rsid w:val="00730D06"/>
    <w:rsid w:val="00741610"/>
    <w:rsid w:val="00751813"/>
    <w:rsid w:val="007529EC"/>
    <w:rsid w:val="00761045"/>
    <w:rsid w:val="00762820"/>
    <w:rsid w:val="00774305"/>
    <w:rsid w:val="007A5FEA"/>
    <w:rsid w:val="007B77D4"/>
    <w:rsid w:val="007C3787"/>
    <w:rsid w:val="007D1814"/>
    <w:rsid w:val="007D3268"/>
    <w:rsid w:val="007D4AAD"/>
    <w:rsid w:val="007D5FBA"/>
    <w:rsid w:val="007E044E"/>
    <w:rsid w:val="007E2958"/>
    <w:rsid w:val="007F0513"/>
    <w:rsid w:val="007F1409"/>
    <w:rsid w:val="007F69F3"/>
    <w:rsid w:val="0080692E"/>
    <w:rsid w:val="00837B6B"/>
    <w:rsid w:val="00842D45"/>
    <w:rsid w:val="00844032"/>
    <w:rsid w:val="00844391"/>
    <w:rsid w:val="00845BE1"/>
    <w:rsid w:val="00861A34"/>
    <w:rsid w:val="00866899"/>
    <w:rsid w:val="008706D2"/>
    <w:rsid w:val="00876392"/>
    <w:rsid w:val="008C069E"/>
    <w:rsid w:val="008D23AF"/>
    <w:rsid w:val="008D4BB4"/>
    <w:rsid w:val="008E15CE"/>
    <w:rsid w:val="008F4460"/>
    <w:rsid w:val="008F4D23"/>
    <w:rsid w:val="0090039E"/>
    <w:rsid w:val="009066F2"/>
    <w:rsid w:val="00906D56"/>
    <w:rsid w:val="00907FCF"/>
    <w:rsid w:val="00913FCA"/>
    <w:rsid w:val="0091588A"/>
    <w:rsid w:val="00920C71"/>
    <w:rsid w:val="00924E15"/>
    <w:rsid w:val="0092624B"/>
    <w:rsid w:val="00934229"/>
    <w:rsid w:val="00934421"/>
    <w:rsid w:val="009435C0"/>
    <w:rsid w:val="0094584D"/>
    <w:rsid w:val="00945C4D"/>
    <w:rsid w:val="009511CB"/>
    <w:rsid w:val="0096289A"/>
    <w:rsid w:val="00971276"/>
    <w:rsid w:val="00976AA2"/>
    <w:rsid w:val="00982A8A"/>
    <w:rsid w:val="00992956"/>
    <w:rsid w:val="0099686D"/>
    <w:rsid w:val="009A104A"/>
    <w:rsid w:val="009A70E4"/>
    <w:rsid w:val="009A7780"/>
    <w:rsid w:val="009D0811"/>
    <w:rsid w:val="009D1275"/>
    <w:rsid w:val="009D6A80"/>
    <w:rsid w:val="009E75E9"/>
    <w:rsid w:val="009F63EE"/>
    <w:rsid w:val="00A140BE"/>
    <w:rsid w:val="00A1727C"/>
    <w:rsid w:val="00A2269D"/>
    <w:rsid w:val="00A22CDF"/>
    <w:rsid w:val="00A24137"/>
    <w:rsid w:val="00A37B3D"/>
    <w:rsid w:val="00A447A2"/>
    <w:rsid w:val="00A51835"/>
    <w:rsid w:val="00A753F4"/>
    <w:rsid w:val="00A90787"/>
    <w:rsid w:val="00A947D7"/>
    <w:rsid w:val="00AA1DE8"/>
    <w:rsid w:val="00AA2E7D"/>
    <w:rsid w:val="00AB7BB5"/>
    <w:rsid w:val="00AE1E83"/>
    <w:rsid w:val="00AE2CB6"/>
    <w:rsid w:val="00AF6AE2"/>
    <w:rsid w:val="00AF7781"/>
    <w:rsid w:val="00B02ED9"/>
    <w:rsid w:val="00B172D1"/>
    <w:rsid w:val="00B24BE7"/>
    <w:rsid w:val="00B26EBB"/>
    <w:rsid w:val="00B27DDB"/>
    <w:rsid w:val="00B3556E"/>
    <w:rsid w:val="00B42236"/>
    <w:rsid w:val="00B5269F"/>
    <w:rsid w:val="00B54F08"/>
    <w:rsid w:val="00B6228A"/>
    <w:rsid w:val="00B647ED"/>
    <w:rsid w:val="00B73C31"/>
    <w:rsid w:val="00B92F17"/>
    <w:rsid w:val="00B95883"/>
    <w:rsid w:val="00BA5692"/>
    <w:rsid w:val="00BA6EA0"/>
    <w:rsid w:val="00BB1F11"/>
    <w:rsid w:val="00BC0C8E"/>
    <w:rsid w:val="00BC1090"/>
    <w:rsid w:val="00BC170E"/>
    <w:rsid w:val="00BC5086"/>
    <w:rsid w:val="00BD4849"/>
    <w:rsid w:val="00BE4FBF"/>
    <w:rsid w:val="00BE5A76"/>
    <w:rsid w:val="00BF4A99"/>
    <w:rsid w:val="00C00E5B"/>
    <w:rsid w:val="00C07D19"/>
    <w:rsid w:val="00C273D6"/>
    <w:rsid w:val="00C27B9C"/>
    <w:rsid w:val="00C60236"/>
    <w:rsid w:val="00C643E7"/>
    <w:rsid w:val="00C718A4"/>
    <w:rsid w:val="00C71AF5"/>
    <w:rsid w:val="00C72254"/>
    <w:rsid w:val="00C922E1"/>
    <w:rsid w:val="00C936F5"/>
    <w:rsid w:val="00C95D1E"/>
    <w:rsid w:val="00CA4690"/>
    <w:rsid w:val="00CA6033"/>
    <w:rsid w:val="00CB353B"/>
    <w:rsid w:val="00CC156A"/>
    <w:rsid w:val="00CD06C1"/>
    <w:rsid w:val="00CD0E92"/>
    <w:rsid w:val="00CD2C72"/>
    <w:rsid w:val="00CD3638"/>
    <w:rsid w:val="00CE65C3"/>
    <w:rsid w:val="00CF2076"/>
    <w:rsid w:val="00CF3751"/>
    <w:rsid w:val="00D17A0B"/>
    <w:rsid w:val="00D2768E"/>
    <w:rsid w:val="00D536BB"/>
    <w:rsid w:val="00D5719A"/>
    <w:rsid w:val="00D60DFF"/>
    <w:rsid w:val="00D617CD"/>
    <w:rsid w:val="00D71759"/>
    <w:rsid w:val="00D72D81"/>
    <w:rsid w:val="00D75377"/>
    <w:rsid w:val="00D75828"/>
    <w:rsid w:val="00D810B0"/>
    <w:rsid w:val="00D8165C"/>
    <w:rsid w:val="00DB117F"/>
    <w:rsid w:val="00DC6D3F"/>
    <w:rsid w:val="00DD3254"/>
    <w:rsid w:val="00DD5B6E"/>
    <w:rsid w:val="00DE3CAD"/>
    <w:rsid w:val="00DE5F92"/>
    <w:rsid w:val="00DF3986"/>
    <w:rsid w:val="00E24A79"/>
    <w:rsid w:val="00E50E62"/>
    <w:rsid w:val="00E5252C"/>
    <w:rsid w:val="00E53FDF"/>
    <w:rsid w:val="00E57D56"/>
    <w:rsid w:val="00E60777"/>
    <w:rsid w:val="00E73083"/>
    <w:rsid w:val="00E803D5"/>
    <w:rsid w:val="00E9470C"/>
    <w:rsid w:val="00E9559F"/>
    <w:rsid w:val="00EA3FFD"/>
    <w:rsid w:val="00EB0134"/>
    <w:rsid w:val="00EB0303"/>
    <w:rsid w:val="00EB0913"/>
    <w:rsid w:val="00EB4350"/>
    <w:rsid w:val="00EB4FB8"/>
    <w:rsid w:val="00ED016A"/>
    <w:rsid w:val="00EE3AB5"/>
    <w:rsid w:val="00F44151"/>
    <w:rsid w:val="00F4594A"/>
    <w:rsid w:val="00F479A5"/>
    <w:rsid w:val="00F73874"/>
    <w:rsid w:val="00F74E69"/>
    <w:rsid w:val="00F96C41"/>
    <w:rsid w:val="00FA72BF"/>
    <w:rsid w:val="00FC0BC6"/>
    <w:rsid w:val="00FC3427"/>
    <w:rsid w:val="00FC74F3"/>
    <w:rsid w:val="00FD3AD8"/>
    <w:rsid w:val="00FD3CE7"/>
    <w:rsid w:val="00FE1A5C"/>
    <w:rsid w:val="00FE6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39570"/>
  <w15:docId w15:val="{79BBABD7-FED8-42F3-8310-F2DB094D2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C3FD9"/>
    <w:rPr>
      <w:rFonts w:ascii="Arial" w:hAnsi="Arial" w:cs="Calibri"/>
      <w:color w:val="000000" w:themeColor="text1"/>
      <w:sz w:val="24"/>
    </w:rPr>
  </w:style>
  <w:style w:type="paragraph" w:styleId="Heading1">
    <w:name w:val="heading 1"/>
    <w:basedOn w:val="Normal"/>
    <w:link w:val="Heading1Char"/>
    <w:uiPriority w:val="1"/>
    <w:qFormat/>
    <w:rsid w:val="00DE3CAD"/>
    <w:pPr>
      <w:spacing w:line="360" w:lineRule="auto"/>
      <w:ind w:left="116"/>
      <w:jc w:val="both"/>
      <w:outlineLvl w:val="0"/>
    </w:pPr>
    <w:rPr>
      <w:b/>
      <w:bCs/>
      <w:szCs w:val="24"/>
    </w:rPr>
  </w:style>
  <w:style w:type="paragraph" w:styleId="Heading2">
    <w:name w:val="heading 2"/>
    <w:basedOn w:val="Normal"/>
    <w:next w:val="Normal"/>
    <w:link w:val="Heading2Char"/>
    <w:uiPriority w:val="9"/>
    <w:unhideWhenUsed/>
    <w:qFormat/>
    <w:rsid w:val="00DE3CAD"/>
    <w:pPr>
      <w:keepNext/>
      <w:keepLines/>
      <w:spacing w:before="200"/>
      <w:jc w:val="both"/>
      <w:outlineLvl w:val="1"/>
    </w:pPr>
    <w:rPr>
      <w:rFonts w:eastAsiaTheme="majorEastAsia" w:cstheme="majorBidi"/>
      <w:b/>
      <w:bCs/>
      <w:i/>
      <w:szCs w:val="26"/>
    </w:rPr>
  </w:style>
  <w:style w:type="paragraph" w:styleId="Heading3">
    <w:name w:val="heading 3"/>
    <w:basedOn w:val="Normal"/>
    <w:next w:val="Normal"/>
    <w:link w:val="Heading3Char"/>
    <w:uiPriority w:val="9"/>
    <w:unhideWhenUsed/>
    <w:qFormat/>
    <w:rsid w:val="00DE3CAD"/>
    <w:pPr>
      <w:keepNext/>
      <w:keepLines/>
      <w:spacing w:before="200"/>
      <w:jc w:val="both"/>
      <w:outlineLvl w:val="2"/>
    </w:pPr>
    <w:rPr>
      <w:rFonts w:eastAsiaTheme="majorEastAsia" w:cstheme="majorBidi"/>
      <w:b/>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E3CAD"/>
    <w:rPr>
      <w:rFonts w:ascii="Times New Roman" w:hAnsi="Times New Roman" w:cs="Calibri"/>
      <w:b/>
      <w:bCs/>
      <w:color w:val="000000" w:themeColor="text1"/>
      <w:sz w:val="24"/>
      <w:szCs w:val="24"/>
    </w:rPr>
  </w:style>
  <w:style w:type="character" w:customStyle="1" w:styleId="Heading2Char">
    <w:name w:val="Heading 2 Char"/>
    <w:basedOn w:val="DefaultParagraphFont"/>
    <w:link w:val="Heading2"/>
    <w:uiPriority w:val="9"/>
    <w:rsid w:val="00DE3CAD"/>
    <w:rPr>
      <w:rFonts w:ascii="Times New Roman" w:eastAsiaTheme="majorEastAsia" w:hAnsi="Times New Roman" w:cstheme="majorBidi"/>
      <w:b/>
      <w:bCs/>
      <w:i/>
      <w:color w:val="000000" w:themeColor="text1"/>
      <w:sz w:val="24"/>
      <w:szCs w:val="26"/>
    </w:rPr>
  </w:style>
  <w:style w:type="paragraph" w:styleId="Title">
    <w:name w:val="Title"/>
    <w:basedOn w:val="Normal"/>
    <w:link w:val="TitleChar"/>
    <w:uiPriority w:val="1"/>
    <w:qFormat/>
    <w:rsid w:val="00D5719A"/>
    <w:pPr>
      <w:spacing w:line="582" w:lineRule="exact"/>
      <w:ind w:right="12"/>
      <w:jc w:val="center"/>
    </w:pPr>
    <w:rPr>
      <w:sz w:val="49"/>
      <w:szCs w:val="49"/>
    </w:rPr>
  </w:style>
  <w:style w:type="character" w:customStyle="1" w:styleId="TitleChar">
    <w:name w:val="Title Char"/>
    <w:basedOn w:val="DefaultParagraphFont"/>
    <w:link w:val="Title"/>
    <w:uiPriority w:val="1"/>
    <w:rsid w:val="00D5719A"/>
    <w:rPr>
      <w:rFonts w:ascii="Calibri" w:eastAsia="Calibri" w:hAnsi="Calibri" w:cs="Calibri"/>
      <w:sz w:val="49"/>
      <w:szCs w:val="49"/>
    </w:rPr>
  </w:style>
  <w:style w:type="paragraph" w:styleId="BodyText">
    <w:name w:val="Body Text"/>
    <w:basedOn w:val="Normal"/>
    <w:link w:val="BodyTextChar"/>
    <w:uiPriority w:val="1"/>
    <w:qFormat/>
    <w:rsid w:val="00D5719A"/>
    <w:pPr>
      <w:spacing w:before="35"/>
      <w:ind w:left="595" w:hanging="185"/>
    </w:pPr>
    <w:rPr>
      <w:sz w:val="20"/>
      <w:szCs w:val="20"/>
    </w:rPr>
  </w:style>
  <w:style w:type="character" w:customStyle="1" w:styleId="BodyTextChar">
    <w:name w:val="Body Text Char"/>
    <w:basedOn w:val="DefaultParagraphFont"/>
    <w:link w:val="BodyText"/>
    <w:uiPriority w:val="1"/>
    <w:rsid w:val="00D5719A"/>
    <w:rPr>
      <w:rFonts w:ascii="Calibri" w:eastAsia="Calibri" w:hAnsi="Calibri" w:cs="Calibri"/>
      <w:sz w:val="20"/>
      <w:szCs w:val="20"/>
    </w:rPr>
  </w:style>
  <w:style w:type="character" w:styleId="Strong">
    <w:name w:val="Strong"/>
    <w:basedOn w:val="DefaultParagraphFont"/>
    <w:uiPriority w:val="22"/>
    <w:qFormat/>
    <w:rsid w:val="00D5719A"/>
    <w:rPr>
      <w:b/>
      <w:bCs/>
    </w:rPr>
  </w:style>
  <w:style w:type="paragraph" w:styleId="NoSpacing">
    <w:name w:val="No Spacing"/>
    <w:uiPriority w:val="1"/>
    <w:qFormat/>
    <w:rsid w:val="00D5719A"/>
    <w:rPr>
      <w:rFonts w:ascii="Calibri" w:hAnsi="Calibri" w:cs="Calibri"/>
    </w:rPr>
  </w:style>
  <w:style w:type="paragraph" w:styleId="ListParagraph">
    <w:name w:val="List Paragraph"/>
    <w:basedOn w:val="Normal"/>
    <w:uiPriority w:val="1"/>
    <w:qFormat/>
    <w:rsid w:val="00D5719A"/>
    <w:pPr>
      <w:spacing w:before="35"/>
      <w:ind w:left="595" w:hanging="185"/>
    </w:pPr>
  </w:style>
  <w:style w:type="paragraph" w:customStyle="1" w:styleId="TableParagraph">
    <w:name w:val="Table Paragraph"/>
    <w:basedOn w:val="Normal"/>
    <w:uiPriority w:val="1"/>
    <w:qFormat/>
    <w:rsid w:val="00D5719A"/>
  </w:style>
  <w:style w:type="paragraph" w:styleId="Header">
    <w:name w:val="header"/>
    <w:basedOn w:val="Normal"/>
    <w:link w:val="HeaderChar"/>
    <w:uiPriority w:val="99"/>
    <w:unhideWhenUsed/>
    <w:rsid w:val="008D4BB4"/>
    <w:pPr>
      <w:tabs>
        <w:tab w:val="center" w:pos="4680"/>
        <w:tab w:val="right" w:pos="9360"/>
      </w:tabs>
    </w:pPr>
  </w:style>
  <w:style w:type="character" w:customStyle="1" w:styleId="HeaderChar">
    <w:name w:val="Header Char"/>
    <w:basedOn w:val="DefaultParagraphFont"/>
    <w:link w:val="Header"/>
    <w:uiPriority w:val="99"/>
    <w:rsid w:val="008D4BB4"/>
    <w:rPr>
      <w:rFonts w:ascii="Calibri" w:hAnsi="Calibri" w:cs="Calibri"/>
    </w:rPr>
  </w:style>
  <w:style w:type="paragraph" w:styleId="Footer">
    <w:name w:val="footer"/>
    <w:basedOn w:val="Normal"/>
    <w:link w:val="FooterChar"/>
    <w:uiPriority w:val="99"/>
    <w:unhideWhenUsed/>
    <w:rsid w:val="008D4BB4"/>
    <w:pPr>
      <w:tabs>
        <w:tab w:val="center" w:pos="4680"/>
        <w:tab w:val="right" w:pos="9360"/>
      </w:tabs>
    </w:pPr>
  </w:style>
  <w:style w:type="character" w:customStyle="1" w:styleId="FooterChar">
    <w:name w:val="Footer Char"/>
    <w:basedOn w:val="DefaultParagraphFont"/>
    <w:link w:val="Footer"/>
    <w:uiPriority w:val="99"/>
    <w:rsid w:val="008D4BB4"/>
    <w:rPr>
      <w:rFonts w:ascii="Calibri" w:hAnsi="Calibri" w:cs="Calibri"/>
    </w:rPr>
  </w:style>
  <w:style w:type="character" w:customStyle="1" w:styleId="Heading3Char">
    <w:name w:val="Heading 3 Char"/>
    <w:basedOn w:val="DefaultParagraphFont"/>
    <w:link w:val="Heading3"/>
    <w:uiPriority w:val="9"/>
    <w:rsid w:val="00DE3CAD"/>
    <w:rPr>
      <w:rFonts w:ascii="Times New Roman" w:eastAsiaTheme="majorEastAsia" w:hAnsi="Times New Roman" w:cstheme="majorBidi"/>
      <w:b/>
      <w:bCs/>
      <w:i/>
      <w:color w:val="000000" w:themeColor="text1"/>
      <w:sz w:val="24"/>
      <w:u w:val="single"/>
    </w:rPr>
  </w:style>
  <w:style w:type="paragraph" w:styleId="TOCHeading">
    <w:name w:val="TOC Heading"/>
    <w:basedOn w:val="Heading1"/>
    <w:next w:val="Normal"/>
    <w:uiPriority w:val="39"/>
    <w:semiHidden/>
    <w:unhideWhenUsed/>
    <w:qFormat/>
    <w:rsid w:val="007F0513"/>
    <w:pPr>
      <w:keepNext/>
      <w:keepLines/>
      <w:widowControl/>
      <w:autoSpaceDE/>
      <w:autoSpaceDN/>
      <w:spacing w:before="480" w:line="276" w:lineRule="auto"/>
      <w:ind w:left="0"/>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7F0513"/>
    <w:pPr>
      <w:spacing w:after="100"/>
    </w:pPr>
  </w:style>
  <w:style w:type="paragraph" w:styleId="TOC2">
    <w:name w:val="toc 2"/>
    <w:basedOn w:val="Normal"/>
    <w:next w:val="Normal"/>
    <w:autoRedefine/>
    <w:uiPriority w:val="39"/>
    <w:unhideWhenUsed/>
    <w:rsid w:val="007F0513"/>
    <w:pPr>
      <w:spacing w:after="100"/>
      <w:ind w:left="240"/>
    </w:pPr>
  </w:style>
  <w:style w:type="character" w:styleId="Hyperlink">
    <w:name w:val="Hyperlink"/>
    <w:basedOn w:val="DefaultParagraphFont"/>
    <w:uiPriority w:val="99"/>
    <w:unhideWhenUsed/>
    <w:rsid w:val="007F0513"/>
    <w:rPr>
      <w:color w:val="0000FF" w:themeColor="hyperlink"/>
      <w:u w:val="single"/>
    </w:rPr>
  </w:style>
  <w:style w:type="paragraph" w:styleId="BalloonText">
    <w:name w:val="Balloon Text"/>
    <w:basedOn w:val="Normal"/>
    <w:link w:val="BalloonTextChar"/>
    <w:uiPriority w:val="99"/>
    <w:semiHidden/>
    <w:unhideWhenUsed/>
    <w:rsid w:val="007F0513"/>
    <w:rPr>
      <w:rFonts w:ascii="Tahoma" w:hAnsi="Tahoma" w:cs="Tahoma"/>
      <w:sz w:val="16"/>
      <w:szCs w:val="16"/>
    </w:rPr>
  </w:style>
  <w:style w:type="character" w:customStyle="1" w:styleId="BalloonTextChar">
    <w:name w:val="Balloon Text Char"/>
    <w:basedOn w:val="DefaultParagraphFont"/>
    <w:link w:val="BalloonText"/>
    <w:uiPriority w:val="99"/>
    <w:semiHidden/>
    <w:rsid w:val="007F0513"/>
    <w:rPr>
      <w:rFonts w:ascii="Tahoma" w:hAnsi="Tahoma" w:cs="Tahoma"/>
      <w:color w:val="000000" w:themeColor="text1"/>
      <w:sz w:val="16"/>
      <w:szCs w:val="16"/>
    </w:rPr>
  </w:style>
  <w:style w:type="paragraph" w:styleId="NormalWeb">
    <w:name w:val="Normal (Web)"/>
    <w:basedOn w:val="Normal"/>
    <w:uiPriority w:val="99"/>
    <w:unhideWhenUsed/>
    <w:rsid w:val="00E50E62"/>
    <w:pPr>
      <w:widowControl/>
      <w:autoSpaceDE/>
      <w:autoSpaceDN/>
      <w:spacing w:before="100" w:beforeAutospacing="1" w:after="100" w:afterAutospacing="1"/>
    </w:pPr>
    <w:rPr>
      <w:rFonts w:eastAsia="Times New Roman" w:cs="Times New Roman"/>
      <w:color w:val="auto"/>
      <w:szCs w:val="24"/>
    </w:rPr>
  </w:style>
  <w:style w:type="paragraph" w:styleId="Caption">
    <w:name w:val="caption"/>
    <w:basedOn w:val="Normal"/>
    <w:next w:val="Normal"/>
    <w:uiPriority w:val="35"/>
    <w:unhideWhenUsed/>
    <w:qFormat/>
    <w:rsid w:val="006C13AB"/>
    <w:pPr>
      <w:spacing w:after="200"/>
    </w:pPr>
    <w:rPr>
      <w:i/>
      <w:iCs/>
      <w:color w:val="1F497D" w:themeColor="text2"/>
      <w:sz w:val="18"/>
      <w:szCs w:val="18"/>
    </w:rPr>
  </w:style>
  <w:style w:type="character" w:styleId="UnresolvedMention">
    <w:name w:val="Unresolved Mention"/>
    <w:basedOn w:val="DefaultParagraphFont"/>
    <w:uiPriority w:val="99"/>
    <w:semiHidden/>
    <w:unhideWhenUsed/>
    <w:rsid w:val="008706D2"/>
    <w:rPr>
      <w:color w:val="605E5C"/>
      <w:shd w:val="clear" w:color="auto" w:fill="E1DFDD"/>
    </w:rPr>
  </w:style>
  <w:style w:type="paragraph" w:styleId="TOC3">
    <w:name w:val="toc 3"/>
    <w:basedOn w:val="Normal"/>
    <w:next w:val="Normal"/>
    <w:autoRedefine/>
    <w:uiPriority w:val="39"/>
    <w:unhideWhenUsed/>
    <w:rsid w:val="00376B03"/>
    <w:pPr>
      <w:spacing w:after="100"/>
      <w:ind w:left="480"/>
    </w:pPr>
  </w:style>
  <w:style w:type="table" w:customStyle="1" w:styleId="TableGrid">
    <w:name w:val="TableGrid"/>
    <w:rsid w:val="00E60777"/>
    <w:pPr>
      <w:widowControl/>
      <w:autoSpaceDE/>
      <w:autoSpaceDN/>
    </w:pPr>
    <w:rPr>
      <w:rFonts w:eastAsia="Times New Roman"/>
      <w:kern w:val="2"/>
      <w:sz w:val="24"/>
      <w:szCs w:val="24"/>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ford.com/electric/ev-features/?srsltid=AfmBOopK9IvUsZPWFHZdFv71iV4bS7Hh7FhfvhGN2NOWRdz6YITI0uM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ciencedirect.com/topics/earth-and-planetary-sciences/fordis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romtheroad.ford.com/us/en/articles/2024/ford-broadens-electrification-strategy-to-reach-more-customers-" TargetMode="External"/><Relationship Id="rId25" Type="http://schemas.openxmlformats.org/officeDocument/2006/relationships/hyperlink" Target="https://www.cnbc.com/2019/11/17/ford-unveils-mustang-mach-e-starting-at-roughly-44000.html" TargetMode="External"/><Relationship Id="rId2" Type="http://schemas.openxmlformats.org/officeDocument/2006/relationships/styles" Target="styles.xml"/><Relationship Id="rId16" Type="http://schemas.openxmlformats.org/officeDocument/2006/relationships/hyperlink" Target="https://assets.publishing.service.gov.uk/media/679382182de28ea2d392f37f/phasing-out-the-sale-of-new-petrol-and-diesel-cars-from-2030-and-support-for-the-zero-emission-transition.pdf" TargetMode="External"/><Relationship Id="rId20" Type="http://schemas.openxmlformats.org/officeDocument/2006/relationships/hyperlink" Target="https://u3115157.wordpress.com/2016/09/16/macro-environment-and-market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esla.com/about" TargetMode="External"/><Relationship Id="rId5" Type="http://schemas.openxmlformats.org/officeDocument/2006/relationships/footnotes" Target="footnotes.xml"/><Relationship Id="rId15" Type="http://schemas.openxmlformats.org/officeDocument/2006/relationships/hyperlink" Target="https://www.sciencedirect.com/science/article/pii/S2590291125006345" TargetMode="External"/><Relationship Id="rId23" Type="http://schemas.openxmlformats.org/officeDocument/2006/relationships/hyperlink" Target="https://www.reuters.com/business/autos-transportation/ford-run-ev-ice-businesses-separately-2022-03-02/"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corporate.ford.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trategicmanagementinsight.com/tools/porters-three-generic-strategies/" TargetMode="External"/><Relationship Id="rId27" Type="http://schemas.openxmlformats.org/officeDocument/2006/relationships/footer" Target="footer1.xml"/></Relationships>
</file>

<file path=word/_rels/header1.xml.rels><?xml version="1.0" encoding="UTF-8"?><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BDD54D-E750-4F27-BE15-B40EF57FC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18</Pages>
  <Words>4081</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233</cp:revision>
  <dcterms:created xsi:type="dcterms:W3CDTF">2025-12-19T06:11:00Z</dcterms:created>
  <dcterms:modified xsi:type="dcterms:W3CDTF">2026-03-14T14:06:00Z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36a3f0f0-029c-47e3-ad1b-73e47548c7e8</vt:lpwstr>
  </property>
</Properties>
</file>