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pPr>
      <w:r>
        <w:rPr>
          <w:b w:val="1"/>
          <w:bCs w:val="1"/>
          <w:i w:val="1"/>
          <w:iCs w:val="1"/>
          <w:u w:val="single"/>
          <w:rtl w:val="0"/>
          <w:lang w:val="en-US"/>
        </w:rPr>
        <w:t>What were</w:t>
      </w:r>
      <w:r>
        <w:rPr>
          <w:b w:val="1"/>
          <w:bCs w:val="1"/>
          <w:i w:val="1"/>
          <w:iCs w:val="1"/>
          <w:u w:val="single"/>
          <w:rtl w:val="0"/>
        </w:rPr>
        <w:t> </w:t>
      </w:r>
      <w:r>
        <w:rPr>
          <w:b w:val="1"/>
          <w:bCs w:val="1"/>
          <w:i w:val="1"/>
          <w:iCs w:val="1"/>
          <w:u w:val="single"/>
          <w:rtl w:val="0"/>
          <w:lang w:val="en-US"/>
        </w:rPr>
        <w:t>the relative effects on</w:t>
      </w:r>
      <w:r>
        <w:rPr>
          <w:b w:val="1"/>
          <w:bCs w:val="1"/>
          <w:i w:val="1"/>
          <w:iCs w:val="1"/>
          <w:u w:val="single"/>
          <w:rtl w:val="0"/>
        </w:rPr>
        <w:t> </w:t>
      </w:r>
      <w:r>
        <w:rPr>
          <w:b w:val="1"/>
          <w:bCs w:val="1"/>
          <w:i w:val="1"/>
          <w:iCs w:val="1"/>
          <w:u w:val="single"/>
          <w:rtl w:val="0"/>
          <w:lang w:val="en-US"/>
        </w:rPr>
        <w:t>social boundaries and strength of</w:t>
      </w:r>
      <w:r>
        <w:rPr>
          <w:b w:val="1"/>
          <w:bCs w:val="1"/>
          <w:i w:val="1"/>
          <w:iCs w:val="1"/>
          <w:u w:val="single"/>
          <w:rtl w:val="0"/>
        </w:rPr>
        <w:t> </w:t>
      </w:r>
      <w:r>
        <w:rPr>
          <w:b w:val="1"/>
          <w:bCs w:val="1"/>
          <w:i w:val="1"/>
          <w:iCs w:val="1"/>
          <w:u w:val="single"/>
          <w:rtl w:val="0"/>
          <w:lang w:val="en-US"/>
        </w:rPr>
        <w:t>religious belief caused by</w:t>
      </w:r>
      <w:r>
        <w:rPr>
          <w:b w:val="1"/>
          <w:bCs w:val="1"/>
          <w:i w:val="1"/>
          <w:iCs w:val="1"/>
          <w:u w:val="single"/>
          <w:rtl w:val="0"/>
        </w:rPr>
        <w:t> </w:t>
      </w:r>
      <w:r>
        <w:rPr>
          <w:b w:val="1"/>
          <w:bCs w:val="1"/>
          <w:i w:val="1"/>
          <w:iCs w:val="1"/>
          <w:u w:val="single"/>
          <w:rtl w:val="0"/>
          <w:lang w:val="en-US"/>
        </w:rPr>
        <w:t>the Black Death in Europe between 1346 and 1450?</w:t>
      </w:r>
    </w:p>
    <w:p>
      <w:pPr>
        <w:pStyle w:val="Body"/>
        <w:spacing w:line="360" w:lineRule="auto"/>
        <w:jc w:val="center"/>
      </w:pPr>
    </w:p>
    <w:p>
      <w:pPr>
        <w:pStyle w:val="Body"/>
        <w:spacing w:line="360" w:lineRule="auto"/>
        <w:jc w:val="left"/>
      </w:pPr>
      <w:r>
        <w:rPr>
          <w:rtl w:val="0"/>
          <w:lang w:val="fr-FR"/>
        </w:rPr>
        <w:tab/>
        <w:t>According to a Canadian geographer, The Black Death ranks second on the Foster Scale, just behind the Second World War and ahead of the First World War. This scale has been designed to rank disasters taking into account their physical damage and emotional stress as well as the number of lives lost</w:t>
      </w:r>
      <w:r>
        <w:rPr>
          <w:vertAlign w:val="superscript"/>
          <w:rtl w:val="0"/>
          <w:lang w:val="fr-FR"/>
        </w:rPr>
        <w:t>1</w:t>
      </w:r>
      <w:r>
        <w:rPr>
          <w:rtl w:val="0"/>
          <w:lang w:val="fr-FR"/>
        </w:rPr>
        <w:t>. The Black Death of 1349 has been considered one of the worst epidemics ever to hit the world and caused a high mortality rate wherever it hit, with an estimated mortality rate of 60 to 70% of those who were affected</w:t>
      </w:r>
      <w:r>
        <w:rPr>
          <w:vertAlign w:val="superscript"/>
          <w:rtl w:val="0"/>
          <w:lang w:val="fr-FR"/>
        </w:rPr>
        <w:t>2</w:t>
      </w:r>
      <w:r>
        <w:rPr>
          <w:rtl w:val="0"/>
          <w:lang w:val="fr-FR"/>
        </w:rPr>
        <w:t>. In this essay I will aim to show that the Black Death caused a hiatus in regards to social norms, such as gender roles and the blurring of the classes, as well as showing that Christianity and the Church remained a constant during this time of grief throughout Europe. In order to do this I will look at how populations changed and how this affected class mobility and the church order.</w:t>
      </w:r>
    </w:p>
    <w:p>
      <w:pPr>
        <w:pStyle w:val="Body"/>
        <w:spacing w:line="360" w:lineRule="auto"/>
        <w:jc w:val="left"/>
      </w:pPr>
    </w:p>
    <w:p>
      <w:pPr>
        <w:pStyle w:val="Body"/>
        <w:spacing w:line="360" w:lineRule="auto"/>
        <w:jc w:val="left"/>
      </w:pPr>
      <w:r>
        <w:tab/>
      </w:r>
      <w:r>
        <w:rPr>
          <w:rtl w:val="0"/>
          <w:lang w:val="en-US"/>
        </w:rPr>
        <w:t>Before the plague hit, especially in England, we have to take into consideration that there had been a large famine just a few years previously</w:t>
      </w:r>
      <w:r>
        <w:rPr>
          <w:vertAlign w:val="superscript"/>
          <w:rtl w:val="0"/>
        </w:rPr>
        <w:t>3</w:t>
      </w:r>
      <w:r>
        <w:rPr>
          <w:rtl w:val="0"/>
          <w:lang w:val="en-US"/>
        </w:rPr>
        <w:t xml:space="preserve"> which devastated crops and therefore the populations would have been weaker from lack of food before the plague travelled down from Asia</w:t>
      </w:r>
      <w:r>
        <w:rPr>
          <w:vertAlign w:val="superscript"/>
          <w:rtl w:val="0"/>
        </w:rPr>
        <w:t>4</w:t>
      </w:r>
      <w:r>
        <w:rPr>
          <w:rtl w:val="0"/>
          <w:lang w:val="en-US"/>
        </w:rPr>
        <w:t>. Even in the rest of the world, evidence from tree rings has shown that the whole world suffered from unusual climate conditions</w:t>
      </w:r>
      <w:r>
        <w:rPr>
          <w:vertAlign w:val="superscript"/>
          <w:rtl w:val="0"/>
        </w:rPr>
        <w:t>5</w:t>
      </w:r>
      <w:r>
        <w:rPr>
          <w:rtl w:val="0"/>
          <w:lang w:val="en-US"/>
        </w:rPr>
        <w:t>. It has been estimated that over one third of the population in Europe alone died during the years 1346-50</w:t>
      </w:r>
      <w:r>
        <w:rPr>
          <w:vertAlign w:val="superscript"/>
          <w:rtl w:val="0"/>
        </w:rPr>
        <w:t>6</w:t>
      </w:r>
      <w:r>
        <w:rPr>
          <w:rtl w:val="0"/>
          <w:lang w:val="en-US"/>
        </w:rPr>
        <w:t xml:space="preserve">. Because of this high mortality rate, it is safe to assume that a lot of previously occupied jobs were now open for the taking as more and more people died. A lot of people took advantage of this, especially women and those of a lower class. </w:t>
      </w:r>
      <w:r>
        <w:rPr>
          <w:rtl w:val="0"/>
          <w:lang w:val="fr-FR"/>
        </w:rPr>
        <w:t xml:space="preserve"> </w:t>
      </w:r>
    </w:p>
    <w:p>
      <w:pPr>
        <w:pStyle w:val="Body"/>
        <w:spacing w:line="360" w:lineRule="auto"/>
        <w:jc w:val="left"/>
      </w:pPr>
      <w:r>
        <w:tab/>
      </w:r>
    </w:p>
    <w:p>
      <w:pPr>
        <w:pStyle w:val="Body"/>
        <w:spacing w:line="360" w:lineRule="auto"/>
        <w:jc w:val="left"/>
        <w:sectPr>
          <w:headerReference w:type="default" r:id="rId4"/>
          <w:footerReference w:type="default" r:id="rId5"/>
          <w:pgSz w:w="11906" w:h="16838" w:orient="portrait"/>
          <w:pgMar w:top="1134" w:right="1134" w:bottom="1134" w:left="1134" w:header="709" w:footer="850"/>
          <w:bidi w:val="0"/>
        </w:sectPr>
      </w:pPr>
      <w:r>
        <w:tab/>
      </w:r>
      <w:r>
        <w:rPr>
          <w:rtl w:val="0"/>
          <w:lang w:val="en-US"/>
        </w:rPr>
        <w:t>Firstly, regarding women, it is wrong to assume that they did not already have jobs alongside men. They too worked in the fields and looked after farm animals, as well as brewing most, if not all the ale drunk in their communities</w:t>
      </w:r>
      <w:r>
        <w:rPr>
          <w:vertAlign w:val="superscript"/>
          <w:rtl w:val="0"/>
        </w:rPr>
        <w:t>7</w:t>
      </w:r>
      <w:r>
        <w:rPr>
          <w:rtl w:val="0"/>
          <w:lang w:val="en-US"/>
        </w:rPr>
        <w:t>. However, not all of the affects from the plague were good for women in the long-run. One of the short term effects was that it was not uncommon for the age of marriage to have increased. The first reason for this is because after the plague it was becoming more common for women to go off on their own and travel to different villages to seek better prospects than the ones afforded to them in their home towns</w:t>
      </w:r>
      <w:r>
        <w:rPr>
          <w:vertAlign w:val="superscript"/>
          <w:rtl w:val="0"/>
        </w:rPr>
        <w:t>8</w:t>
      </w:r>
      <w:r>
        <w:rPr>
          <w:rtl w:val="0"/>
          <w:lang w:val="en-US"/>
        </w:rPr>
        <w:t>. This meant that marriage prospects were pushed back and more often, women refused the arrangements made by their parents. In the long term this meant that there would have been less children, which would not have helped the already depleted workforce as an ageing population was more and</w:t>
      </w:r>
    </w:p>
    <w:p>
      <w:pPr>
        <w:pStyle w:val="Body"/>
        <w:spacing w:line="360" w:lineRule="auto"/>
      </w:pPr>
      <w:r>
        <w:rPr>
          <w:rtl w:val="0"/>
          <w:lang w:val="en-US"/>
        </w:rPr>
        <w:t xml:space="preserve">more common. John of Reading in his chronicle states that </w:t>
      </w:r>
      <w:r>
        <w:rPr>
          <w:rtl w:val="0"/>
        </w:rPr>
        <w:t>“</w:t>
      </w:r>
      <w:r>
        <w:rPr>
          <w:rtl w:val="0"/>
          <w:lang w:val="en-US"/>
        </w:rPr>
        <w:t>the greatest cause of grief was provided by the behaviour of women</w:t>
      </w:r>
      <w:r>
        <w:rPr>
          <w:rtl w:val="0"/>
        </w:rPr>
        <w:t>”</w:t>
      </w:r>
      <w:r>
        <w:rPr>
          <w:vertAlign w:val="superscript"/>
          <w:rtl w:val="0"/>
        </w:rPr>
        <w:t>9</w:t>
      </w:r>
      <w:r>
        <w:rPr>
          <w:rtl w:val="0"/>
          <w:lang w:val="en-US"/>
        </w:rPr>
        <w:t xml:space="preserve">. Here he is talking about the marriage issue and the sudden freedom that seemed to have been bestowed on women. Furthermore, women were given better jobs, that the men would normally have had, which can also be seen as to have happened in </w:t>
      </w:r>
      <w:r>
        <w:rPr>
          <w:rtl w:val="0"/>
          <w:lang w:val="fr-FR"/>
        </w:rPr>
        <w:t>both World Wars</w:t>
      </w:r>
      <w:r>
        <w:rPr>
          <w:rtl w:val="0"/>
          <w:lang w:val="en-US"/>
        </w:rPr>
        <w:t xml:space="preserve">. This however was the last of the positive short-term effects. After this, in the long-term, as Jim Bolton states, </w:t>
      </w:r>
      <w:r>
        <w:rPr>
          <w:rtl w:val="0"/>
        </w:rPr>
        <w:t>“</w:t>
      </w:r>
      <w:r>
        <w:rPr>
          <w:rtl w:val="0"/>
          <w:lang w:val="en-US"/>
        </w:rPr>
        <w:t>men, fearful for their position in an increasingly precarious labour market, forced women into marginal and exclusively female trades</w:t>
      </w:r>
      <w:r>
        <w:rPr>
          <w:rtl w:val="0"/>
        </w:rPr>
        <w:t>”</w:t>
      </w:r>
      <w:r>
        <w:rPr>
          <w:sz w:val="20"/>
          <w:szCs w:val="20"/>
          <w:vertAlign w:val="superscript"/>
          <w:rtl w:val="0"/>
          <w:lang w:val="fr-FR"/>
        </w:rPr>
        <w:t>10</w:t>
      </w:r>
      <w:r>
        <w:rPr>
          <w:rtl w:val="0"/>
          <w:lang w:val="en-US"/>
        </w:rPr>
        <w:t>. This could meant that the large gap between men and women in the workforce that is still seen today could have stemmed from the Black Death.</w:t>
      </w:r>
      <w:r>
        <w:br w:type="textWrapping"/>
      </w:r>
    </w:p>
    <w:p>
      <w:pPr>
        <w:pStyle w:val="Body"/>
        <w:spacing w:line="360" w:lineRule="auto"/>
      </w:pPr>
      <w:r>
        <w:tab/>
      </w:r>
      <w:r>
        <w:rPr>
          <w:rtl w:val="0"/>
          <w:lang w:val="en-US"/>
        </w:rPr>
        <w:t>Women were not the only social group to benefit from the Black Death. A lot of working class people took advantage of the death of tenants and lords and worked their way up the social ladder. It was not uncommon for servants to rise through the ranks and become land owners</w:t>
      </w:r>
      <w:r>
        <w:rPr>
          <w:vertAlign w:val="superscript"/>
          <w:rtl w:val="0"/>
        </w:rPr>
        <w:t>11</w:t>
      </w:r>
      <w:r>
        <w:rPr>
          <w:rtl w:val="0"/>
          <w:lang w:val="en-US"/>
        </w:rPr>
        <w:t>. This would have meant that if a lot of the workers did this, not only did this leave more jobs open but also it would have increased the security of the family as they became wealthier. With such a high mortality rate, it was also fairly commonplace for</w:t>
      </w:r>
      <w:r>
        <w:rPr>
          <w:rtl w:val="0"/>
          <w:lang w:val="fr-FR"/>
        </w:rPr>
        <w:t xml:space="preserve"> young men </w:t>
      </w:r>
      <w:r>
        <w:rPr>
          <w:rtl w:val="0"/>
          <w:lang w:val="en-US"/>
        </w:rPr>
        <w:t>to come into their inheritance earlier, as the Black Death affected everyone, be they rich or poor. This was important because the plague once it struck did not go away and there were two more major pestilences in 1361 and 1369</w:t>
      </w:r>
      <w:r>
        <w:rPr>
          <w:vertAlign w:val="superscript"/>
          <w:rtl w:val="0"/>
        </w:rPr>
        <w:t>12</w:t>
      </w:r>
      <w:r>
        <w:rPr>
          <w:rtl w:val="0"/>
          <w:lang w:val="en-US"/>
        </w:rPr>
        <w:t xml:space="preserve">. These plagues however, caused a shortage in young men as they seemed to have affected the young children and males more than females. This we can see from Thomas Walsingham who wrote about this in his </w:t>
      </w:r>
      <w:r>
        <w:rPr>
          <w:i w:val="1"/>
          <w:iCs w:val="1"/>
          <w:rtl w:val="0"/>
          <w:lang w:val="it-IT"/>
        </w:rPr>
        <w:t>Historia Angelicana.</w:t>
      </w:r>
      <w:r>
        <w:rPr>
          <w:rtl w:val="0"/>
          <w:lang w:val="en-US"/>
        </w:rPr>
        <w:t xml:space="preserve"> It this he wrote </w:t>
      </w:r>
      <w:r>
        <w:rPr>
          <w:rtl w:val="0"/>
        </w:rPr>
        <w:t>“</w:t>
      </w:r>
      <w:r>
        <w:rPr>
          <w:rtl w:val="0"/>
          <w:lang w:val="en-US"/>
        </w:rPr>
        <w:t>Also in 1361 there was a great pestilence, which devoured men rather than women</w:t>
      </w:r>
      <w:r>
        <w:rPr>
          <w:rtl w:val="0"/>
        </w:rPr>
        <w:t>”</w:t>
      </w:r>
      <w:r>
        <w:rPr>
          <w:vertAlign w:val="superscript"/>
          <w:rtl w:val="0"/>
        </w:rPr>
        <w:t>13</w:t>
      </w:r>
      <w:r>
        <w:rPr>
          <w:rtl w:val="0"/>
          <w:lang w:val="en-US"/>
        </w:rPr>
        <w:t>. However it does need to be taken into account that he was not alive during the outbreaks and wrote around a century after these events. This second outbreak however was not as disastrous as the first, as the death rate was only seven times the average rate in Europe whereas during the Black Death, the rates were as high as ten times the normal death rates expected in that time period</w:t>
      </w:r>
      <w:r>
        <w:rPr>
          <w:vertAlign w:val="superscript"/>
          <w:rtl w:val="0"/>
        </w:rPr>
        <w:t>14</w:t>
      </w:r>
      <w:r>
        <w:rPr>
          <w:rtl w:val="0"/>
          <w:lang w:val="en-US"/>
        </w:rPr>
        <w:t>. Even with this sudden increase in death, communities seemed to have stuck together and all continued to work as one, which would have helped the countries move on from the disaster into a time of prosperity, no matter how long it took</w:t>
      </w:r>
      <w:r>
        <w:rPr>
          <w:vertAlign w:val="superscript"/>
          <w:rtl w:val="0"/>
        </w:rPr>
        <w:t>15</w:t>
      </w:r>
      <w:r>
        <w:rPr>
          <w:rtl w:val="0"/>
          <w:lang w:val="en-US"/>
        </w:rPr>
        <w:t>. Furthermore, communities ended up better off in the long run as the government provided better housing and clean water to rural areas as well as the start of rubbish collection to try and stop any more diseases from starting</w:t>
      </w:r>
      <w:r>
        <w:rPr>
          <w:vertAlign w:val="superscript"/>
          <w:rtl w:val="0"/>
          <w:lang w:val="fr-FR"/>
        </w:rPr>
        <w:t>16</w:t>
      </w:r>
      <w:r>
        <w:rPr>
          <w:rtl w:val="0"/>
          <w:lang w:val="fr-FR"/>
        </w:rPr>
        <w:t>.</w:t>
      </w:r>
    </w:p>
    <w:p>
      <w:pPr>
        <w:pStyle w:val="Body"/>
        <w:spacing w:line="360" w:lineRule="auto"/>
      </w:pPr>
    </w:p>
    <w:p>
      <w:pPr>
        <w:pStyle w:val="Body"/>
        <w:spacing w:line="360" w:lineRule="auto"/>
        <w:sectPr>
          <w:headerReference w:type="default" r:id="rId6"/>
          <w:footerReference w:type="default" r:id="rId7"/>
          <w:pgSz w:w="11906" w:h="16838" w:orient="portrait"/>
          <w:pgMar w:top="1134" w:right="1134" w:bottom="1134" w:left="1134" w:header="709" w:footer="850"/>
          <w:bidi w:val="0"/>
        </w:sectPr>
      </w:pPr>
      <w:r>
        <w:rPr>
          <w:rtl w:val="0"/>
          <w:lang w:val="en-US"/>
        </w:rPr>
        <w:t>Moving on from the social impacts that the Black Death had in Europe, the next big aspect of everyday life that was affected was religion. Many believed the cause of these pestilences was sin. More often than not avarice and usury were the two sins normally linked as the main</w:t>
      </w:r>
    </w:p>
    <w:p>
      <w:pPr>
        <w:pStyle w:val="Body"/>
        <w:spacing w:line="360" w:lineRule="auto"/>
      </w:pPr>
      <w:r>
        <w:rPr>
          <w:rtl w:val="0"/>
          <w:lang w:val="en-US"/>
        </w:rPr>
        <w:t>causes</w:t>
      </w:r>
      <w:r>
        <w:rPr>
          <w:vertAlign w:val="superscript"/>
          <w:rtl w:val="0"/>
        </w:rPr>
        <w:t>17</w:t>
      </w:r>
      <w:r>
        <w:rPr>
          <w:rtl w:val="0"/>
          <w:lang w:val="en-US"/>
        </w:rPr>
        <w:t>. Sins were not all that the people blamed the Black death on. It was not uncommon for people to turn to scapegoats as a way of explaining the unexplainable</w:t>
      </w:r>
      <w:r>
        <w:rPr>
          <w:vertAlign w:val="superscript"/>
          <w:rtl w:val="0"/>
        </w:rPr>
        <w:t>18</w:t>
      </w:r>
      <w:r>
        <w:rPr>
          <w:rtl w:val="0"/>
          <w:lang w:val="en-US"/>
        </w:rPr>
        <w:t>. The two most common were the lepers and the Jews. The number of people who suffered from leprosy actually diminished during this time period as, due to their already weak bodies, the plague struck their numbers down and it was not uncommon from then onwards to find less people suffering from leprosy</w:t>
      </w:r>
      <w:r>
        <w:rPr>
          <w:vertAlign w:val="superscript"/>
          <w:rtl w:val="0"/>
        </w:rPr>
        <w:t>19</w:t>
      </w:r>
      <w:r>
        <w:rPr>
          <w:rtl w:val="0"/>
        </w:rPr>
        <w:t>.</w:t>
      </w:r>
    </w:p>
    <w:p>
      <w:pPr>
        <w:pStyle w:val="Body"/>
        <w:spacing w:line="360" w:lineRule="auto"/>
      </w:pPr>
    </w:p>
    <w:p>
      <w:pPr>
        <w:pStyle w:val="Body"/>
        <w:spacing w:line="360" w:lineRule="auto"/>
      </w:pPr>
      <w:r>
        <w:rPr>
          <w:rtl w:val="0"/>
          <w:lang w:val="fr-FR"/>
        </w:rPr>
        <w:tab/>
        <w:t>The Jews however were prosecuted throughout Europe, however not so much in England. The reason for this was that they were prosecuted by Edward I in 1290, and were therefore not around to be blamed</w:t>
      </w:r>
      <w:r>
        <w:rPr>
          <w:vertAlign w:val="superscript"/>
          <w:rtl w:val="0"/>
          <w:lang w:val="fr-FR"/>
        </w:rPr>
        <w:t>20</w:t>
      </w:r>
      <w:r>
        <w:rPr>
          <w:rtl w:val="0"/>
          <w:lang w:val="fr-FR"/>
        </w:rPr>
        <w:t xml:space="preserve">. </w:t>
      </w:r>
      <w:r>
        <w:rPr>
          <w:rtl w:val="0"/>
          <w:lang w:val="en-US"/>
        </w:rPr>
        <w:t xml:space="preserve">In the rest of Europe, Jews were prosecuted in their thousands. We have accounts from all across Europe of the horrible treatment from torture to burnings, including this account from Lausanne in Switzerland, </w:t>
      </w:r>
      <w:r>
        <w:rPr>
          <w:rtl w:val="0"/>
        </w:rPr>
        <w:t>“</w:t>
      </w:r>
      <w:r>
        <w:rPr>
          <w:rtl w:val="0"/>
          <w:lang w:val="en-US"/>
        </w:rPr>
        <w:t>Accordingly they were condemned to punishment by burning and impalement</w:t>
      </w:r>
      <w:r>
        <w:rPr>
          <w:rtl w:val="0"/>
        </w:rPr>
        <w:t>”</w:t>
      </w:r>
      <w:r>
        <w:rPr>
          <w:vertAlign w:val="superscript"/>
          <w:rtl w:val="0"/>
        </w:rPr>
        <w:t>21</w:t>
      </w:r>
      <w:r>
        <w:rPr>
          <w:rtl w:val="0"/>
          <w:lang w:val="en-US"/>
        </w:rPr>
        <w:t>. Another place where the Jews were heavily prosecuted is T</w:t>
      </w:r>
      <w:r>
        <w:rPr>
          <w:rtl w:val="0"/>
          <w:lang w:val="fr-FR"/>
        </w:rPr>
        <w:t>à</w:t>
      </w:r>
      <w:r>
        <w:rPr>
          <w:rtl w:val="0"/>
          <w:lang w:val="en-US"/>
        </w:rPr>
        <w:t>rrega in Catalonia, Spain. In fact from documents and archaeological evidence an uprising from July 1348 makes it one of the first places to rise up against the Jewish community</w:t>
      </w:r>
      <w:r>
        <w:rPr>
          <w:vertAlign w:val="superscript"/>
          <w:rtl w:val="0"/>
        </w:rPr>
        <w:t>22</w:t>
      </w:r>
      <w:r>
        <w:rPr>
          <w:rtl w:val="0"/>
          <w:lang w:val="en-US"/>
        </w:rPr>
        <w:t>. However something interesting happened in this country that did not happen in most other communities in Europe. Pere III, king of Spain at this time, ordered his men to capture the people responsible for a major attack on a Jewish Call in Barcelona in 1348. He also doubled the security around the Jewish communities</w:t>
      </w:r>
      <w:r>
        <w:rPr>
          <w:vertAlign w:val="superscript"/>
          <w:rtl w:val="0"/>
        </w:rPr>
        <w:t>23</w:t>
      </w:r>
      <w:r>
        <w:rPr>
          <w:rtl w:val="0"/>
          <w:lang w:val="en-US"/>
        </w:rPr>
        <w:t>. This is important because it shows that a Christian country supported the Jews and did not blame them for this uprising. However this did little as uprisings against the Jewish communities also reached T</w:t>
      </w:r>
      <w:r>
        <w:rPr>
          <w:rtl w:val="0"/>
          <w:lang w:val="fr-FR"/>
        </w:rPr>
        <w:t>à</w:t>
      </w:r>
      <w:r>
        <w:rPr>
          <w:rtl w:val="0"/>
          <w:lang w:val="en-US"/>
        </w:rPr>
        <w:t>rrega a few months later. This had a huge impact on the economy of the country and there is evidence of Jewish citizens having filling in claims to recover their losses</w:t>
      </w:r>
      <w:r>
        <w:rPr>
          <w:vertAlign w:val="superscript"/>
          <w:rtl w:val="0"/>
        </w:rPr>
        <w:t>24</w:t>
      </w:r>
      <w:r>
        <w:rPr>
          <w:rtl w:val="0"/>
        </w:rPr>
        <w:t>.</w:t>
      </w:r>
    </w:p>
    <w:p>
      <w:pPr>
        <w:pStyle w:val="Body"/>
        <w:spacing w:line="360" w:lineRule="auto"/>
      </w:pPr>
    </w:p>
    <w:p>
      <w:pPr>
        <w:pStyle w:val="Body"/>
        <w:spacing w:line="360" w:lineRule="auto"/>
        <w:sectPr>
          <w:headerReference w:type="default" r:id="rId8"/>
          <w:footerReference w:type="default" r:id="rId9"/>
          <w:pgSz w:w="11906" w:h="16838" w:orient="portrait"/>
          <w:pgMar w:top="1134" w:right="1134" w:bottom="1134" w:left="1134" w:header="709" w:footer="850"/>
          <w:bidi w:val="0"/>
        </w:sectPr>
      </w:pPr>
      <w:r>
        <w:tab/>
      </w:r>
      <w:r>
        <w:rPr>
          <w:rtl w:val="0"/>
          <w:lang w:val="en-US"/>
        </w:rPr>
        <w:t>Many Christians had different ways of coping with the disease. Cults soon developed, including Satanism and St. Vitus</w:t>
      </w:r>
      <w:r>
        <w:rPr>
          <w:rtl w:val="0"/>
        </w:rPr>
        <w:t>’</w:t>
      </w:r>
      <w:r>
        <w:rPr>
          <w:rtl w:val="0"/>
          <w:lang w:val="en-US"/>
        </w:rPr>
        <w:t>s dance, in which large groups of people got together and danced manically</w:t>
      </w:r>
      <w:r>
        <w:rPr>
          <w:vertAlign w:val="superscript"/>
          <w:rtl w:val="0"/>
        </w:rPr>
        <w:t>25</w:t>
      </w:r>
      <w:r>
        <w:rPr>
          <w:rtl w:val="0"/>
          <w:lang w:val="en-US"/>
        </w:rPr>
        <w:t xml:space="preserve">. The most famous of the bizarre practises is that of the Flagellants. According to C. Harper-Bill in </w:t>
      </w:r>
      <w:r>
        <w:rPr>
          <w:rtl w:val="0"/>
          <w:lang w:val="fr-FR"/>
        </w:rPr>
        <w:t xml:space="preserve">his </w:t>
      </w:r>
      <w:r>
        <w:rPr>
          <w:rtl w:val="0"/>
          <w:lang w:val="en-US"/>
        </w:rPr>
        <w:t>talk on English religion, England did not witness large numbers of Flagellants when compared to other major countries in Europe</w:t>
      </w:r>
      <w:r>
        <w:rPr>
          <w:vertAlign w:val="superscript"/>
          <w:rtl w:val="0"/>
        </w:rPr>
        <w:t>26</w:t>
      </w:r>
      <w:r>
        <w:rPr>
          <w:rtl w:val="0"/>
          <w:lang w:val="en-US"/>
        </w:rPr>
        <w:t>. The main reason for this, according to C. Harper-Bill is that there was not much hysteria, in regards to Religion in Britain as far as evidence can tell us</w:t>
      </w:r>
      <w:r>
        <w:rPr>
          <w:vertAlign w:val="superscript"/>
          <w:rtl w:val="0"/>
        </w:rPr>
        <w:t>27</w:t>
      </w:r>
      <w:r>
        <w:rPr>
          <w:rtl w:val="0"/>
          <w:lang w:val="en-US"/>
        </w:rPr>
        <w:t>. This is not to say that it did not happen as accounts, such as Robert</w:t>
      </w:r>
    </w:p>
    <w:p>
      <w:pPr>
        <w:pStyle w:val="Body"/>
        <w:spacing w:line="360" w:lineRule="auto"/>
      </w:pPr>
      <w:r>
        <w:rPr>
          <w:rtl w:val="0"/>
          <w:lang w:val="en-US"/>
        </w:rPr>
        <w:t>of Avesbury, tell us about how the flagellants arrived in England in the year 1349 and flogged themselves, but as argued above, it was foreigners who did this not Englishmen</w:t>
      </w:r>
      <w:r>
        <w:rPr>
          <w:vertAlign w:val="superscript"/>
          <w:rtl w:val="0"/>
        </w:rPr>
        <w:t>28</w:t>
      </w:r>
      <w:r>
        <w:rPr>
          <w:rtl w:val="0"/>
        </w:rPr>
        <w:t>.</w:t>
      </w:r>
    </w:p>
    <w:p>
      <w:pPr>
        <w:pStyle w:val="Body"/>
        <w:spacing w:line="360" w:lineRule="auto"/>
      </w:pPr>
    </w:p>
    <w:p>
      <w:pPr>
        <w:pStyle w:val="Body"/>
        <w:spacing w:line="360" w:lineRule="auto"/>
      </w:pPr>
      <w:r>
        <w:tab/>
      </w:r>
      <w:r>
        <w:rPr>
          <w:rtl w:val="0"/>
          <w:lang w:val="en-US"/>
        </w:rPr>
        <w:t>Normal people however, were not the only ones who had to cope with this epidemic. It was not uncommon for priests and clergymen to have second thoughts. It has been believed that almost 40% of the clergy was killed in England during the year 1348-49</w:t>
      </w:r>
      <w:r>
        <w:rPr>
          <w:vertAlign w:val="superscript"/>
          <w:rtl w:val="0"/>
        </w:rPr>
        <w:t>29</w:t>
      </w:r>
      <w:r>
        <w:rPr>
          <w:rtl w:val="0"/>
          <w:lang w:val="en-US"/>
        </w:rPr>
        <w:t>. We know that a lot of clergymen could not continue their job and fled, but according to Ferngren, at least half of them continued to care for the ill, even when death was the end result for both the patient and themselves</w:t>
      </w:r>
      <w:r>
        <w:rPr>
          <w:vertAlign w:val="superscript"/>
          <w:rtl w:val="0"/>
        </w:rPr>
        <w:t>30</w:t>
      </w:r>
      <w:r>
        <w:rPr>
          <w:rtl w:val="0"/>
          <w:lang w:val="en-US"/>
        </w:rPr>
        <w:t xml:space="preserve">. Because of this the clergy were constantly in need of men, of which, surprisingly, they could find, but not in the conventional way. One Bishop, the Bishop of Bath and Wells, soon observed that due to the lack of priests, either from running or death, a lot of the people were not able to confess before their death. He stated that </w:t>
      </w:r>
      <w:r>
        <w:rPr>
          <w:rtl w:val="0"/>
        </w:rPr>
        <w:t>“</w:t>
      </w:r>
      <w:r>
        <w:rPr>
          <w:rtl w:val="0"/>
          <w:lang w:val="en-US"/>
        </w:rPr>
        <w:t>Because priests cannot be found for love or money to take on responsibility</w:t>
      </w:r>
      <w:r>
        <w:rPr>
          <w:rtl w:val="0"/>
        </w:rPr>
        <w:t xml:space="preserve">… </w:t>
      </w:r>
      <w:r>
        <w:rPr>
          <w:rtl w:val="0"/>
          <w:lang w:val="en-US"/>
        </w:rPr>
        <w:t>perhaps because they fear that they will catch the disease themselves- we understand that many people are dying without sacrament or penance</w:t>
      </w:r>
      <w:r>
        <w:rPr>
          <w:rtl w:val="0"/>
        </w:rPr>
        <w:t>”</w:t>
      </w:r>
      <w:r>
        <w:rPr>
          <w:vertAlign w:val="superscript"/>
          <w:rtl w:val="0"/>
        </w:rPr>
        <w:t>31</w:t>
      </w:r>
      <w:r>
        <w:rPr>
          <w:rtl w:val="0"/>
          <w:lang w:val="en-US"/>
        </w:rPr>
        <w:t>. This quote also gives us evidence of priests leaving their duties because of their fear of death. This event is important because in response, laymen were given the right to hold confessions, sworn to secrecy, but also giving those who were to die an ease of mind that they had been saved from their sins</w:t>
      </w:r>
      <w:r>
        <w:rPr>
          <w:vertAlign w:val="superscript"/>
          <w:rtl w:val="0"/>
        </w:rPr>
        <w:t>32</w:t>
      </w:r>
      <w:r>
        <w:rPr>
          <w:rtl w:val="0"/>
          <w:lang w:val="en-US"/>
        </w:rPr>
        <w:t>. It indicates that the church was not against changing to suit the needs of the people. This can also be seen when they started to allow people who would not normally be allowed to work in the church too, such as illegitimate sons or men who had previously been married</w:t>
      </w:r>
      <w:r>
        <w:rPr>
          <w:vertAlign w:val="superscript"/>
          <w:rtl w:val="0"/>
        </w:rPr>
        <w:t>33</w:t>
      </w:r>
      <w:r>
        <w:rPr>
          <w:rtl w:val="0"/>
        </w:rPr>
        <w:t xml:space="preserve">. </w:t>
      </w:r>
      <w:r>
        <w:rPr>
          <w:rtl w:val="0"/>
          <w:lang w:val="fr-FR"/>
        </w:rPr>
        <w:t xml:space="preserve"> </w:t>
      </w:r>
    </w:p>
    <w:p>
      <w:pPr>
        <w:pStyle w:val="Body"/>
        <w:spacing w:line="360" w:lineRule="auto"/>
      </w:pPr>
    </w:p>
    <w:p>
      <w:pPr>
        <w:pStyle w:val="Body"/>
        <w:spacing w:line="360" w:lineRule="auto"/>
      </w:pPr>
      <w:r>
        <w:tab/>
      </w:r>
      <w:r>
        <w:rPr>
          <w:rtl w:val="0"/>
          <w:lang w:val="en-US"/>
        </w:rPr>
        <w:t>The reason such new laws were allowed in the church is because of the need for work. During the Black Death, it has been estimated that around 50% of all religious houses in England were destroyed due to the death of the population</w:t>
      </w:r>
      <w:r>
        <w:rPr>
          <w:vertAlign w:val="superscript"/>
          <w:rtl w:val="0"/>
          <w:lang w:val="ru-RU"/>
        </w:rPr>
        <w:t>34</w:t>
      </w:r>
      <w:r>
        <w:rPr>
          <w:rtl w:val="0"/>
          <w:lang w:val="en-US"/>
        </w:rPr>
        <w:t>. Cathedrals also suffered, an example being Exeter Cathedral, where plans for construction were stopped and it took another 25 years before things started to return to normal</w:t>
      </w:r>
      <w:r>
        <w:rPr>
          <w:vertAlign w:val="superscript"/>
          <w:rtl w:val="0"/>
        </w:rPr>
        <w:t>35</w:t>
      </w:r>
      <w:r>
        <w:rPr>
          <w:rtl w:val="0"/>
          <w:lang w:val="en-US"/>
        </w:rPr>
        <w:t>. The main reason these disruptions happened is because although, as mentioned above, men continued to devote their life to God and the church, the lower jobs that kept the cathedral running did not get as much interest as other parishes were willing to pay more for vicars or rectors</w:t>
      </w:r>
      <w:r>
        <w:rPr>
          <w:vertAlign w:val="superscript"/>
          <w:rtl w:val="0"/>
        </w:rPr>
        <w:t>36</w:t>
      </w:r>
      <w:r>
        <w:rPr>
          <w:rtl w:val="0"/>
        </w:rPr>
        <w:t xml:space="preserve">. </w:t>
      </w:r>
      <w:r>
        <w:rPr>
          <w:rtl w:val="0"/>
          <w:lang w:val="fr-FR"/>
        </w:rPr>
        <w:t xml:space="preserve"> </w:t>
      </w:r>
    </w:p>
    <w:p>
      <w:pPr>
        <w:pStyle w:val="Body"/>
        <w:spacing w:line="360" w:lineRule="auto"/>
      </w:pPr>
    </w:p>
    <w:p>
      <w:pPr>
        <w:pStyle w:val="Body"/>
        <w:spacing w:line="360" w:lineRule="auto"/>
        <w:sectPr>
          <w:headerReference w:type="default" r:id="rId10"/>
          <w:footerReference w:type="default" r:id="rId11"/>
          <w:pgSz w:w="11906" w:h="16838" w:orient="portrait"/>
          <w:pgMar w:top="1134" w:right="1134" w:bottom="1134" w:left="1134" w:header="709" w:footer="850"/>
          <w:bidi w:val="0"/>
        </w:sectPr>
      </w:pPr>
      <w:r>
        <w:tab/>
      </w:r>
      <w:r>
        <w:rPr>
          <w:rtl w:val="0"/>
          <w:lang w:val="en-US"/>
        </w:rPr>
        <w:t xml:space="preserve">A popular misconception is that the mass graves, or </w:t>
      </w:r>
      <w:r>
        <w:rPr>
          <w:rtl w:val="0"/>
        </w:rPr>
        <w:t>‘</w:t>
      </w:r>
      <w:r>
        <w:rPr>
          <w:rtl w:val="0"/>
          <w:lang w:val="es-ES_tradnl"/>
        </w:rPr>
        <w:t>Plague Pits</w:t>
      </w:r>
      <w:r>
        <w:rPr>
          <w:rtl w:val="0"/>
        </w:rPr>
        <w:t xml:space="preserve">’ </w:t>
      </w:r>
      <w:r>
        <w:rPr>
          <w:rtl w:val="0"/>
          <w:lang w:val="en-US"/>
        </w:rPr>
        <w:t xml:space="preserve">were just a mass of bodies. However, from evidence found in London, we can see that the church did not always give up on the dead as both bodies and coffins were laid side by side and not just in a pile. This shows that they still took the time to dig proper holes and respect the dead even though </w:t>
      </w:r>
      <w:r>
        <w:rPr>
          <w:rtl w:val="0"/>
          <w:lang w:val="fr-FR"/>
        </w:rPr>
        <w:t>i</w:t>
      </w:r>
      <w:r>
        <w:rPr>
          <w:rtl w:val="0"/>
          <w:lang w:val="en-US"/>
        </w:rPr>
        <w:t>t would have</w:t>
      </w:r>
    </w:p>
    <w:p>
      <w:pPr>
        <w:pStyle w:val="Body"/>
        <w:spacing w:line="360" w:lineRule="auto"/>
      </w:pPr>
      <w:r>
        <w:rPr>
          <w:rtl w:val="0"/>
          <w:lang w:val="en-US"/>
        </w:rPr>
        <w:t>have increased the risk of them catching the disease. Whether they knew this or not is another matter</w:t>
      </w:r>
      <w:r>
        <w:rPr>
          <w:vertAlign w:val="superscript"/>
          <w:rtl w:val="0"/>
        </w:rPr>
        <w:t>37</w:t>
      </w:r>
      <w:r>
        <w:rPr>
          <w:rtl w:val="0"/>
          <w:lang w:val="fr-FR"/>
        </w:rPr>
        <w:t xml:space="preserve">. </w:t>
      </w:r>
    </w:p>
    <w:p>
      <w:pPr>
        <w:pStyle w:val="Body"/>
        <w:spacing w:line="360" w:lineRule="auto"/>
      </w:pPr>
      <w:r>
        <w:tab/>
      </w:r>
    </w:p>
    <w:p>
      <w:pPr>
        <w:pStyle w:val="Body"/>
        <w:spacing w:line="360" w:lineRule="auto"/>
      </w:pPr>
      <w:r>
        <w:tab/>
      </w:r>
      <w:r>
        <w:rPr>
          <w:rtl w:val="0"/>
          <w:lang w:val="en-US"/>
        </w:rPr>
        <w:t>Everything that has been mentioned, in regards to both social and religious sectors, disproves Ferngren</w:t>
      </w:r>
      <w:r>
        <w:rPr>
          <w:rtl w:val="0"/>
        </w:rPr>
        <w:t>’</w:t>
      </w:r>
      <w:r>
        <w:rPr>
          <w:rtl w:val="0"/>
          <w:lang w:val="en-US"/>
        </w:rPr>
        <w:t xml:space="preserve">s argument that </w:t>
      </w:r>
      <w:r>
        <w:rPr>
          <w:rtl w:val="0"/>
        </w:rPr>
        <w:t>“</w:t>
      </w:r>
      <w:r>
        <w:rPr>
          <w:rtl w:val="0"/>
          <w:lang w:val="en-US"/>
        </w:rPr>
        <w:t>the plague was so devastating that it did not inspire in people the desire to help those who had contracted it. This is a common reaction in time of plague</w:t>
      </w:r>
      <w:r>
        <w:rPr>
          <w:rtl w:val="0"/>
        </w:rPr>
        <w:t>”</w:t>
      </w:r>
      <w:r>
        <w:rPr>
          <w:vertAlign w:val="superscript"/>
          <w:rtl w:val="0"/>
        </w:rPr>
        <w:t>38</w:t>
      </w:r>
      <w:r>
        <w:rPr>
          <w:rtl w:val="0"/>
          <w:lang w:val="en-US"/>
        </w:rPr>
        <w:t xml:space="preserve">. Although a lot of people did abandon their families and neighbours, it is wrong to assume that this was the case everywhere. We have seen evidence of Christians protecting Jews in Barcelona as well as men continuing to devote their lives to the church even though it would most likely end in their death due to their contact with the sick. In regards to social factors we have seen that communities stuck together to ride through the multiple waves of the pestilence. </w:t>
      </w:r>
    </w:p>
    <w:p>
      <w:pPr>
        <w:pStyle w:val="Body"/>
        <w:spacing w:line="360" w:lineRule="auto"/>
      </w:pPr>
    </w:p>
    <w:p>
      <w:pPr>
        <w:pStyle w:val="Body"/>
        <w:spacing w:line="360" w:lineRule="auto"/>
      </w:pPr>
      <w:r>
        <w:tab/>
      </w:r>
      <w:r>
        <w:rPr>
          <w:rtl w:val="0"/>
          <w:lang w:val="en-US"/>
        </w:rPr>
        <w:t>In conclusion we can see that the Black Death had many short and long term effects on social and religious structures in Europe.</w:t>
      </w:r>
      <w:r>
        <w:rPr>
          <w:rtl w:val="0"/>
          <w:lang w:val="fr-FR"/>
        </w:rPr>
        <w:t xml:space="preserve"> </w:t>
      </w:r>
      <w:r>
        <w:rPr>
          <w:rtl w:val="0"/>
          <w:lang w:val="en-US"/>
        </w:rPr>
        <w:t>The great famine, that we know hit England and quite possibly other parts of Europe, heavily weakened the population, resulting, in what we can assume, a higher mortality rate when the Black Death struck compared to what it could have been like if there had been no famine at all.</w:t>
      </w:r>
      <w:r>
        <w:rPr>
          <w:rtl w:val="0"/>
          <w:lang w:val="fr-FR"/>
        </w:rPr>
        <w:t xml:space="preserve"> </w:t>
      </w:r>
      <w:r>
        <w:rPr>
          <w:rtl w:val="0"/>
          <w:lang w:val="en-US"/>
        </w:rPr>
        <w:t xml:space="preserve">Due to this high mortality rate we can also see that women were given more opportunities in jobs that men filled previously but were now open for the taking, such as those in the fields. They also tended to move towns and villages to try and obtain a better lifestyle- something that was unheard of before the Black Death. This resulted in the age of marriage rising which would have had a negative impact on the population as it meant that less children were typically born in a household due to them being older. </w:t>
      </w:r>
      <w:r>
        <w:rPr>
          <w:rtl w:val="0"/>
          <w:lang w:val="fr-FR"/>
        </w:rPr>
        <w:t>Lower classes of m</w:t>
      </w:r>
      <w:r>
        <w:rPr>
          <w:rtl w:val="0"/>
          <w:lang w:val="en-US"/>
        </w:rPr>
        <w:t xml:space="preserve">en also benefited from the Black Death as lands were left unclaimed after a family was wiped out which could be claimed by them. It did not happen as frequently as one might think as money was still an issue, but a lot of lower class families ended up better off as they were able to reach better paying jobs. Communities also became closer and continued to support one another. </w:t>
      </w:r>
      <w:r>
        <w:rPr>
          <w:rtl w:val="0"/>
          <w:lang w:val="fr-FR"/>
        </w:rPr>
        <w:t xml:space="preserve"> </w:t>
      </w:r>
    </w:p>
    <w:p>
      <w:pPr>
        <w:pStyle w:val="Body"/>
        <w:spacing w:line="360" w:lineRule="auto"/>
      </w:pPr>
    </w:p>
    <w:p>
      <w:pPr>
        <w:pStyle w:val="Body"/>
        <w:spacing w:line="360" w:lineRule="auto"/>
        <w:sectPr>
          <w:headerReference w:type="default" r:id="rId12"/>
          <w:footerReference w:type="default" r:id="rId13"/>
          <w:pgSz w:w="11906" w:h="16838" w:orient="portrait"/>
          <w:pgMar w:top="1134" w:right="1134" w:bottom="1134" w:left="1134" w:header="709" w:footer="850"/>
          <w:bidi w:val="0"/>
        </w:sectPr>
      </w:pPr>
      <w:r>
        <w:tab/>
      </w:r>
      <w:r>
        <w:rPr>
          <w:rtl w:val="0"/>
          <w:lang w:val="en-US"/>
        </w:rPr>
        <w:t>In regards to religion, scapegoats, such as Jews, had a negative impact on a lot of people but we have seen evidence of Christians trying to protect the Jewish communities in their countries such as Spain. Cults, such as flagellants and satanism appeared as people tried to find a way to cope, even if it meant dancing in a group. We can also see that priests did abandon their posts but more men were willing to take their places. Furthermore, the church bent a lot of rules in order to cope with the circumstances, such as initiating those who would normally have been turned away, and gave power to laymen so that people could confess to them before they died. All of the above proves that although a horrible chain of events, the Black Death ended up benefiting a lot of people in the long run</w:t>
      </w:r>
      <w:r>
        <w:rPr>
          <w:rFonts w:ascii="Times New Roman" w:hAnsi="Times New Roman"/>
          <w:rtl w:val="0"/>
        </w:rPr>
        <w:t>.</w:t>
      </w:r>
    </w:p>
    <w:p>
      <w:pPr>
        <w:pStyle w:val="Body"/>
        <w:spacing w:line="360" w:lineRule="auto"/>
        <w:jc w:val="center"/>
      </w:pPr>
      <w:r>
        <w:rPr>
          <w:b w:val="1"/>
          <w:bCs w:val="1"/>
          <w:i w:val="1"/>
          <w:iCs w:val="1"/>
          <w:u w:val="single"/>
          <w:rtl w:val="0"/>
          <w:lang w:val="fr-FR"/>
        </w:rPr>
        <w:t>Bibliography</w:t>
      </w:r>
    </w:p>
    <w:p>
      <w:pPr>
        <w:pStyle w:val="Body"/>
        <w:spacing w:line="360" w:lineRule="auto"/>
        <w:jc w:val="center"/>
      </w:pPr>
    </w:p>
    <w:p>
      <w:pPr>
        <w:pStyle w:val="Body"/>
        <w:spacing w:line="360" w:lineRule="auto"/>
        <w:jc w:val="left"/>
      </w:pPr>
      <w:r>
        <w:rPr>
          <w:i w:val="1"/>
          <w:iCs w:val="1"/>
          <w:u w:val="single"/>
          <w:rtl w:val="0"/>
          <w:lang w:val="fr-FR"/>
        </w:rPr>
        <w:t>Primary Sources</w:t>
      </w:r>
    </w:p>
    <w:p>
      <w:pPr>
        <w:pStyle w:val="Body"/>
        <w:numPr>
          <w:ilvl w:val="0"/>
          <w:numId w:val="2"/>
        </w:numPr>
        <w:spacing w:line="360" w:lineRule="auto"/>
        <w:rPr>
          <w:lang w:val="fr-FR"/>
        </w:rPr>
      </w:pPr>
      <w:r>
        <w:rPr>
          <w:rtl w:val="0"/>
          <w:lang w:val="fr-FR"/>
        </w:rPr>
        <w:t xml:space="preserve">Bishop of Baths and Wells 1349 in Horrox, R. (trans). 1994. </w:t>
      </w:r>
      <w:r>
        <w:rPr>
          <w:i w:val="1"/>
          <w:iCs w:val="1"/>
          <w:rtl w:val="0"/>
          <w:lang w:val="fr-FR"/>
        </w:rPr>
        <w:t>The Black Death.</w:t>
      </w:r>
      <w:r>
        <w:rPr>
          <w:rtl w:val="0"/>
          <w:lang w:val="fr-FR"/>
        </w:rPr>
        <w:t xml:space="preserve"> Manchester: Manchester University Press.</w:t>
      </w:r>
    </w:p>
    <w:p>
      <w:pPr>
        <w:pStyle w:val="Body"/>
        <w:numPr>
          <w:ilvl w:val="0"/>
          <w:numId w:val="2"/>
        </w:numPr>
        <w:spacing w:line="360" w:lineRule="auto"/>
        <w:rPr>
          <w:lang w:val="fr-FR"/>
        </w:rPr>
      </w:pPr>
      <w:r>
        <w:rPr>
          <w:rtl w:val="0"/>
          <w:lang w:val="fr-FR"/>
        </w:rPr>
        <w:t xml:space="preserve">John of Reaching in Horrox, R. (trans). 1994. </w:t>
      </w:r>
      <w:r>
        <w:rPr>
          <w:i w:val="1"/>
          <w:iCs w:val="1"/>
          <w:rtl w:val="0"/>
          <w:lang w:val="fr-FR"/>
        </w:rPr>
        <w:t>The Black Death.</w:t>
      </w:r>
      <w:r>
        <w:rPr>
          <w:rtl w:val="0"/>
          <w:lang w:val="fr-FR"/>
        </w:rPr>
        <w:t xml:space="preserve"> Manchester: Manchester University Press.</w:t>
      </w:r>
    </w:p>
    <w:p>
      <w:pPr>
        <w:pStyle w:val="Body"/>
        <w:numPr>
          <w:ilvl w:val="0"/>
          <w:numId w:val="2"/>
        </w:numPr>
        <w:spacing w:line="360" w:lineRule="auto"/>
        <w:rPr>
          <w:lang w:val="fr-FR"/>
        </w:rPr>
      </w:pPr>
      <w:r>
        <w:rPr>
          <w:rtl w:val="0"/>
          <w:lang w:val="fr-FR"/>
        </w:rPr>
        <w:t xml:space="preserve">Robert of Avesbury in Horrox, R. (trans). 1994. </w:t>
      </w:r>
      <w:r>
        <w:rPr>
          <w:i w:val="1"/>
          <w:iCs w:val="1"/>
          <w:rtl w:val="0"/>
          <w:lang w:val="fr-FR"/>
        </w:rPr>
        <w:t>The Black Death</w:t>
      </w:r>
      <w:r>
        <w:rPr>
          <w:rtl w:val="0"/>
          <w:lang w:val="fr-FR"/>
        </w:rPr>
        <w:t>. Manchester: Manchester University Press.</w:t>
      </w:r>
    </w:p>
    <w:p>
      <w:pPr>
        <w:pStyle w:val="Body"/>
        <w:numPr>
          <w:ilvl w:val="0"/>
          <w:numId w:val="2"/>
        </w:numPr>
        <w:spacing w:line="360" w:lineRule="auto"/>
        <w:rPr>
          <w:lang w:val="fr-FR"/>
        </w:rPr>
      </w:pPr>
      <w:r>
        <w:rPr>
          <w:rtl w:val="0"/>
          <w:lang w:val="fr-FR"/>
        </w:rPr>
        <w:t xml:space="preserve">Strassberg archives in Horrox, R. (trans). 1994. </w:t>
      </w:r>
      <w:r>
        <w:rPr>
          <w:i w:val="1"/>
          <w:iCs w:val="1"/>
          <w:rtl w:val="0"/>
          <w:lang w:val="fr-FR"/>
        </w:rPr>
        <w:t>The Black Death</w:t>
      </w:r>
      <w:r>
        <w:rPr>
          <w:rtl w:val="0"/>
          <w:lang w:val="fr-FR"/>
        </w:rPr>
        <w:t>. Manchester: Manchester University Press.</w:t>
      </w:r>
    </w:p>
    <w:p>
      <w:pPr>
        <w:pStyle w:val="Body"/>
        <w:numPr>
          <w:ilvl w:val="0"/>
          <w:numId w:val="2"/>
        </w:numPr>
        <w:spacing w:line="360" w:lineRule="auto"/>
        <w:rPr>
          <w:lang w:val="fr-FR"/>
        </w:rPr>
      </w:pPr>
      <w:r>
        <w:rPr>
          <w:rtl w:val="0"/>
          <w:lang w:val="fr-FR"/>
        </w:rPr>
        <w:t xml:space="preserve">Thomas Walsingham. Historia Angelicana 1272-142, in Horrox, R. (trans). 1994. </w:t>
      </w:r>
      <w:r>
        <w:rPr>
          <w:i w:val="1"/>
          <w:iCs w:val="1"/>
          <w:rtl w:val="0"/>
          <w:lang w:val="fr-FR"/>
        </w:rPr>
        <w:t>The Black Death</w:t>
      </w:r>
      <w:r>
        <w:rPr>
          <w:rtl w:val="0"/>
          <w:lang w:val="fr-FR"/>
        </w:rPr>
        <w:t>. Manchester: Manchester University Press.</w:t>
      </w:r>
    </w:p>
    <w:p>
      <w:pPr>
        <w:pStyle w:val="Body"/>
        <w:spacing w:line="360" w:lineRule="auto"/>
      </w:pPr>
    </w:p>
    <w:p>
      <w:pPr>
        <w:pStyle w:val="Body"/>
        <w:spacing w:line="360" w:lineRule="auto"/>
        <w:jc w:val="left"/>
      </w:pPr>
      <w:r>
        <w:rPr>
          <w:i w:val="1"/>
          <w:iCs w:val="1"/>
          <w:u w:val="single"/>
          <w:rtl w:val="0"/>
          <w:lang w:val="fr-FR"/>
        </w:rPr>
        <w:t>Secondary Sources</w:t>
      </w:r>
    </w:p>
    <w:p>
      <w:pPr>
        <w:pStyle w:val="Body"/>
        <w:numPr>
          <w:ilvl w:val="0"/>
          <w:numId w:val="3"/>
        </w:numPr>
        <w:spacing w:line="360" w:lineRule="auto"/>
        <w:rPr>
          <w:lang w:val="fr-FR"/>
        </w:rPr>
      </w:pPr>
      <w:r>
        <w:rPr>
          <w:rtl w:val="0"/>
          <w:lang w:val="fr-FR"/>
        </w:rPr>
        <w:t xml:space="preserve">Bean. J.M.W. 1982. </w:t>
      </w:r>
      <w:r>
        <w:rPr>
          <w:rtl w:val="0"/>
          <w:lang w:val="fr-FR"/>
        </w:rPr>
        <w:t>‘</w:t>
      </w:r>
      <w:r>
        <w:rPr>
          <w:rtl w:val="0"/>
          <w:lang w:val="fr-FR"/>
        </w:rPr>
        <w:t>The Black Death and its Social and Economic Consequences.</w:t>
      </w:r>
      <w:r>
        <w:rPr>
          <w:rtl w:val="0"/>
          <w:lang w:val="fr-FR"/>
        </w:rPr>
        <w:t xml:space="preserve">’ </w:t>
      </w:r>
      <w:r>
        <w:rPr>
          <w:rtl w:val="0"/>
          <w:lang w:val="fr-FR"/>
        </w:rPr>
        <w:t xml:space="preserve">in Williman, D (ed). </w:t>
      </w:r>
      <w:r>
        <w:rPr>
          <w:i w:val="1"/>
          <w:iCs w:val="1"/>
          <w:rtl w:val="0"/>
          <w:lang w:val="fr-FR"/>
        </w:rPr>
        <w:t xml:space="preserve">The Black Death: The Impact of the Fourteenth-Century Plague; </w:t>
      </w:r>
      <w:r>
        <w:rPr>
          <w:i w:val="1"/>
          <w:iCs w:val="1"/>
          <w:rtl w:val="0"/>
          <w:lang w:val="en-US"/>
        </w:rPr>
        <w:t>papers of</w:t>
      </w:r>
      <w:r>
        <w:rPr>
          <w:i w:val="1"/>
          <w:iCs w:val="1"/>
          <w:rtl w:val="0"/>
        </w:rPr>
        <w:t> </w:t>
      </w:r>
      <w:r>
        <w:rPr>
          <w:i w:val="1"/>
          <w:iCs w:val="1"/>
          <w:rtl w:val="0"/>
          <w:lang w:val="en-US"/>
        </w:rPr>
        <w:t>the</w:t>
      </w:r>
      <w:r>
        <w:rPr>
          <w:i w:val="1"/>
          <w:iCs w:val="1"/>
          <w:rtl w:val="0"/>
        </w:rPr>
        <w:t> </w:t>
      </w:r>
      <w:r>
        <w:rPr>
          <w:i w:val="1"/>
          <w:iCs w:val="1"/>
          <w:rtl w:val="0"/>
          <w:lang w:val="en-US"/>
        </w:rPr>
        <w:t>Eleventh Annual Conference of</w:t>
      </w:r>
      <w:r>
        <w:rPr>
          <w:i w:val="1"/>
          <w:iCs w:val="1"/>
          <w:rtl w:val="0"/>
        </w:rPr>
        <w:t> </w:t>
      </w:r>
      <w:r>
        <w:rPr>
          <w:i w:val="1"/>
          <w:iCs w:val="1"/>
          <w:rtl w:val="0"/>
          <w:lang w:val="en-US"/>
        </w:rPr>
        <w:t>the</w:t>
      </w:r>
      <w:r>
        <w:rPr>
          <w:i w:val="1"/>
          <w:iCs w:val="1"/>
          <w:rtl w:val="0"/>
          <w:lang w:val="fr-FR"/>
        </w:rPr>
        <w:t xml:space="preserve"> </w:t>
      </w:r>
      <w:r>
        <w:rPr>
          <w:i w:val="1"/>
          <w:iCs w:val="1"/>
          <w:rtl w:val="0"/>
        </w:rPr>
        <w:t>Cent</w:t>
      </w:r>
      <w:r>
        <w:rPr>
          <w:i w:val="1"/>
          <w:iCs w:val="1"/>
          <w:rtl w:val="0"/>
          <w:lang w:val="fr-FR"/>
        </w:rPr>
        <w:t>re</w:t>
      </w:r>
      <w:r>
        <w:rPr>
          <w:i w:val="1"/>
          <w:iCs w:val="1"/>
          <w:rtl w:val="0"/>
          <w:lang w:val="en-US"/>
        </w:rPr>
        <w:t xml:space="preserve"> for Medieval &amp; Early Renaissance Studies</w:t>
      </w:r>
      <w:r>
        <w:rPr>
          <w:rtl w:val="0"/>
          <w:lang w:val="fr-FR"/>
        </w:rPr>
        <w:t xml:space="preserve">. New York: </w:t>
      </w:r>
      <w:r>
        <w:rPr>
          <w:rtl w:val="0"/>
        </w:rPr>
        <w:t>Cent</w:t>
      </w:r>
      <w:r>
        <w:rPr>
          <w:rtl w:val="0"/>
          <w:lang w:val="fr-FR"/>
        </w:rPr>
        <w:t>re</w:t>
      </w:r>
      <w:r>
        <w:rPr>
          <w:rtl w:val="0"/>
          <w:lang w:val="en-US"/>
        </w:rPr>
        <w:t xml:space="preserve"> for Medieval &amp; Early Renaissance Studies</w:t>
      </w:r>
      <w:r>
        <w:rPr>
          <w:rtl w:val="0"/>
          <w:lang w:val="fr-FR"/>
        </w:rPr>
        <w:t>. 23-38.</w:t>
      </w:r>
      <w:r>
        <w:rPr>
          <w:rtl w:val="0"/>
        </w:rPr>
        <w:t xml:space="preserve"> </w:t>
      </w:r>
    </w:p>
    <w:p>
      <w:pPr>
        <w:pStyle w:val="Body"/>
        <w:numPr>
          <w:ilvl w:val="0"/>
          <w:numId w:val="3"/>
        </w:numPr>
        <w:spacing w:line="360" w:lineRule="auto"/>
        <w:rPr>
          <w:lang w:val="fr-FR"/>
        </w:rPr>
      </w:pPr>
      <w:r>
        <w:rPr>
          <w:rtl w:val="0"/>
          <w:lang w:val="fr-FR"/>
        </w:rPr>
        <w:t xml:space="preserve">Bolton, J. 2003. </w:t>
      </w:r>
      <w:r>
        <w:rPr>
          <w:rtl w:val="0"/>
          <w:lang w:val="fr-FR"/>
        </w:rPr>
        <w:t>‘ ‘</w:t>
      </w:r>
      <w:r>
        <w:rPr>
          <w:rtl w:val="0"/>
          <w:lang w:val="fr-FR"/>
        </w:rPr>
        <w:t>The World Upside Down</w:t>
      </w:r>
      <w:r>
        <w:rPr>
          <w:rtl w:val="0"/>
          <w:lang w:val="fr-FR"/>
        </w:rPr>
        <w:t xml:space="preserve">’ </w:t>
      </w:r>
      <w:r>
        <w:rPr>
          <w:rtl w:val="0"/>
          <w:lang w:val="fr-FR"/>
        </w:rPr>
        <w:t>Plague as an Agent of Economic and Social Change.</w:t>
      </w:r>
      <w:r>
        <w:rPr>
          <w:rtl w:val="0"/>
          <w:lang w:val="fr-FR"/>
        </w:rPr>
        <w:t xml:space="preserve">’ </w:t>
      </w:r>
      <w:r>
        <w:rPr>
          <w:rtl w:val="0"/>
          <w:lang w:val="fr-FR"/>
        </w:rPr>
        <w:t xml:space="preserve">in Ormond, M., and Lindley P. (eds). </w:t>
      </w:r>
      <w:r>
        <w:rPr>
          <w:i w:val="1"/>
          <w:iCs w:val="1"/>
          <w:rtl w:val="0"/>
          <w:lang w:val="fr-FR"/>
        </w:rPr>
        <w:t>The Black Death in England.</w:t>
      </w:r>
      <w:r>
        <w:rPr>
          <w:rtl w:val="0"/>
          <w:lang w:val="fr-FR"/>
        </w:rPr>
        <w:t xml:space="preserve"> Lincolnshire: Shaun Tyas. 17-78. </w:t>
      </w:r>
    </w:p>
    <w:p>
      <w:pPr>
        <w:pStyle w:val="Body"/>
        <w:numPr>
          <w:ilvl w:val="0"/>
          <w:numId w:val="3"/>
        </w:numPr>
        <w:spacing w:line="360" w:lineRule="auto"/>
        <w:rPr>
          <w:lang w:val="fr-FR"/>
        </w:rPr>
      </w:pPr>
      <w:r>
        <w:rPr>
          <w:rtl w:val="0"/>
          <w:lang w:val="fr-FR"/>
        </w:rPr>
        <w:t>Colet, A., Santiveri, J.X.M.I., Ventura, J.R., Saula, O., De Gald</w:t>
      </w:r>
      <w:r>
        <w:rPr>
          <w:rtl w:val="0"/>
          <w:lang w:val="fr-FR"/>
        </w:rPr>
        <w:t>à</w:t>
      </w:r>
      <w:r>
        <w:rPr>
          <w:rtl w:val="0"/>
          <w:lang w:val="fr-FR"/>
        </w:rPr>
        <w:t>cano, S., and J</w:t>
      </w:r>
      <w:r>
        <w:rPr>
          <w:rtl w:val="0"/>
          <w:lang w:val="fr-FR"/>
        </w:rPr>
        <w:t>á</w:t>
      </w:r>
      <w:r>
        <w:rPr>
          <w:rtl w:val="0"/>
          <w:lang w:val="fr-FR"/>
        </w:rPr>
        <w:t xml:space="preserve">uregui, C.  2015. </w:t>
      </w:r>
      <w:r>
        <w:rPr>
          <w:rtl w:val="0"/>
          <w:lang w:val="fr-FR"/>
        </w:rPr>
        <w:t>‘</w:t>
      </w:r>
      <w:r>
        <w:rPr>
          <w:rtl w:val="0"/>
          <w:lang w:val="fr-FR"/>
        </w:rPr>
        <w:t>The Black Death and its Consequences for the Jewish Community in T</w:t>
      </w:r>
      <w:r>
        <w:rPr>
          <w:rtl w:val="0"/>
          <w:lang w:val="fr-FR"/>
        </w:rPr>
        <w:t>à</w:t>
      </w:r>
      <w:r>
        <w:rPr>
          <w:rtl w:val="0"/>
          <w:lang w:val="fr-FR"/>
        </w:rPr>
        <w:t>rrega: Lessons from History and Archaeology.</w:t>
      </w:r>
      <w:r>
        <w:rPr>
          <w:rtl w:val="0"/>
          <w:lang w:val="fr-FR"/>
        </w:rPr>
        <w:t xml:space="preserve">’ </w:t>
      </w:r>
      <w:r>
        <w:rPr>
          <w:rtl w:val="0"/>
          <w:lang w:val="fr-FR"/>
        </w:rPr>
        <w:t xml:space="preserve">in </w:t>
      </w:r>
      <w:r>
        <w:rPr>
          <w:rtl w:val="0"/>
          <w:lang w:val="en-US"/>
        </w:rPr>
        <w:t xml:space="preserve">Green, M.H (ed). </w:t>
      </w:r>
      <w:r>
        <w:rPr>
          <w:i w:val="1"/>
          <w:iCs w:val="1"/>
          <w:rtl w:val="0"/>
          <w:lang w:val="fr-FR"/>
        </w:rPr>
        <w:t>Pandemic Disease in the Medieval World: Rethinking the Black Death</w:t>
      </w:r>
      <w:r>
        <w:rPr>
          <w:rtl w:val="0"/>
          <w:lang w:val="fr-FR"/>
        </w:rPr>
        <w:t>. Croyden: Arc Medieval Press. 63- 95.</w:t>
      </w:r>
      <w:r>
        <w:rPr>
          <w:rtl w:val="0"/>
        </w:rPr>
        <w:t xml:space="preserve"> </w:t>
      </w:r>
    </w:p>
    <w:p>
      <w:pPr>
        <w:pStyle w:val="Body"/>
        <w:numPr>
          <w:ilvl w:val="0"/>
          <w:numId w:val="3"/>
        </w:numPr>
        <w:spacing w:line="360" w:lineRule="auto"/>
        <w:rPr>
          <w:lang w:val="fr-FR"/>
        </w:rPr>
      </w:pPr>
      <w:r>
        <w:rPr>
          <w:rtl w:val="0"/>
          <w:lang w:val="fr-FR"/>
        </w:rPr>
        <w:t xml:space="preserve">Dyer, C. 2003. </w:t>
      </w:r>
      <w:r>
        <w:rPr>
          <w:i w:val="1"/>
          <w:iCs w:val="1"/>
          <w:rtl w:val="0"/>
          <w:lang w:val="fr-FR"/>
        </w:rPr>
        <w:t>Making a Living in the Middle Ages: The People of Britain 850-1520</w:t>
      </w:r>
      <w:r>
        <w:rPr>
          <w:rtl w:val="0"/>
          <w:lang w:val="fr-FR"/>
        </w:rPr>
        <w:t>. London: Penguin Books.</w:t>
      </w:r>
    </w:p>
    <w:p>
      <w:pPr>
        <w:pStyle w:val="Body"/>
        <w:numPr>
          <w:ilvl w:val="0"/>
          <w:numId w:val="3"/>
        </w:numPr>
        <w:spacing w:line="360" w:lineRule="auto"/>
        <w:rPr>
          <w:lang w:val="fr-FR"/>
        </w:rPr>
      </w:pPr>
      <w:r>
        <w:rPr>
          <w:rtl w:val="0"/>
          <w:lang w:val="fr-FR"/>
        </w:rPr>
        <w:t xml:space="preserve">Ferngren, G.B. 2014. </w:t>
      </w:r>
      <w:r>
        <w:rPr>
          <w:i w:val="1"/>
          <w:iCs w:val="1"/>
          <w:rtl w:val="0"/>
          <w:lang w:val="fr-FR"/>
        </w:rPr>
        <w:t>Medicine and Religion: A Historical Introduction</w:t>
      </w:r>
      <w:r>
        <w:rPr>
          <w:rtl w:val="0"/>
          <w:lang w:val="fr-FR"/>
        </w:rPr>
        <w:t>. Maryland: Johns Hopkins University Press.</w:t>
      </w:r>
      <w:r>
        <w:rPr>
          <w:rtl w:val="0"/>
        </w:rPr>
        <w:t xml:space="preserve"> </w:t>
      </w:r>
    </w:p>
    <w:p>
      <w:pPr>
        <w:pStyle w:val="Body"/>
        <w:numPr>
          <w:ilvl w:val="0"/>
          <w:numId w:val="3"/>
        </w:numPr>
        <w:spacing w:line="360" w:lineRule="auto"/>
        <w:rPr>
          <w:lang w:val="fr-FR"/>
        </w:rPr>
      </w:pPr>
      <w:r>
        <w:rPr>
          <w:rtl w:val="0"/>
          <w:lang w:val="fr-FR"/>
        </w:rPr>
        <w:t xml:space="preserve">Harper-Bill, C. 2003. </w:t>
      </w:r>
      <w:r>
        <w:rPr>
          <w:rtl w:val="0"/>
          <w:lang w:val="fr-FR"/>
        </w:rPr>
        <w:t>‘</w:t>
      </w:r>
      <w:r>
        <w:rPr>
          <w:rtl w:val="0"/>
          <w:lang w:val="fr-FR"/>
        </w:rPr>
        <w:t>The English Church and English Religion after the Black Death.</w:t>
      </w:r>
      <w:r>
        <w:rPr>
          <w:rtl w:val="0"/>
          <w:lang w:val="fr-FR"/>
        </w:rPr>
        <w:t xml:space="preserve">’ </w:t>
      </w:r>
      <w:r>
        <w:rPr>
          <w:rtl w:val="0"/>
          <w:lang w:val="fr-FR"/>
        </w:rPr>
        <w:t xml:space="preserve">in Ormond, M., and Lindley P. (eds). </w:t>
      </w:r>
      <w:r>
        <w:rPr>
          <w:i w:val="1"/>
          <w:iCs w:val="1"/>
          <w:rtl w:val="0"/>
          <w:lang w:val="fr-FR"/>
        </w:rPr>
        <w:t>The Black Death in England</w:t>
      </w:r>
      <w:r>
        <w:rPr>
          <w:rtl w:val="0"/>
          <w:lang w:val="fr-FR"/>
        </w:rPr>
        <w:t>. Lincolnshire: Shaun Tyas. 79-124.</w:t>
      </w:r>
      <w:r>
        <w:rPr>
          <w:rtl w:val="0"/>
        </w:rPr>
        <w:t xml:space="preserve"> </w:t>
      </w:r>
    </w:p>
    <w:p>
      <w:pPr>
        <w:pStyle w:val="Body"/>
        <w:numPr>
          <w:ilvl w:val="0"/>
          <w:numId w:val="3"/>
        </w:numPr>
        <w:spacing w:line="360" w:lineRule="auto"/>
        <w:rPr>
          <w:lang w:val="fr-FR"/>
        </w:rPr>
      </w:pPr>
      <w:r>
        <w:rPr>
          <w:rtl w:val="0"/>
          <w:lang w:val="fr-FR"/>
        </w:rPr>
        <w:t xml:space="preserve">Lerner, R.E. 1982. </w:t>
      </w:r>
      <w:r>
        <w:rPr>
          <w:rtl w:val="0"/>
          <w:lang w:val="fr-FR"/>
        </w:rPr>
        <w:t>‘</w:t>
      </w:r>
      <w:r>
        <w:rPr>
          <w:rtl w:val="0"/>
          <w:lang w:val="fr-FR"/>
        </w:rPr>
        <w:t>The Black Death and Western European Eschatological Mentalities.</w:t>
      </w:r>
      <w:r>
        <w:rPr>
          <w:rtl w:val="0"/>
          <w:lang w:val="fr-FR"/>
        </w:rPr>
        <w:t xml:space="preserve">’ </w:t>
      </w:r>
      <w:r>
        <w:rPr>
          <w:rtl w:val="0"/>
          <w:lang w:val="fr-FR"/>
        </w:rPr>
        <w:t xml:space="preserve">in Williman, D (ed). </w:t>
      </w:r>
      <w:r>
        <w:rPr>
          <w:i w:val="1"/>
          <w:iCs w:val="1"/>
          <w:rtl w:val="0"/>
          <w:lang w:val="fr-FR"/>
        </w:rPr>
        <w:t xml:space="preserve">The Black Death: The Impact of the Fourteenth-Century Plague; </w:t>
      </w:r>
      <w:r>
        <w:rPr>
          <w:i w:val="1"/>
          <w:iCs w:val="1"/>
          <w:rtl w:val="0"/>
          <w:lang w:val="en-US"/>
        </w:rPr>
        <w:t>papers of</w:t>
      </w:r>
      <w:r>
        <w:rPr>
          <w:i w:val="1"/>
          <w:iCs w:val="1"/>
          <w:rtl w:val="0"/>
        </w:rPr>
        <w:t> </w:t>
      </w:r>
      <w:r>
        <w:rPr>
          <w:i w:val="1"/>
          <w:iCs w:val="1"/>
          <w:rtl w:val="0"/>
          <w:lang w:val="en-US"/>
        </w:rPr>
        <w:t>the</w:t>
      </w:r>
      <w:r>
        <w:rPr>
          <w:i w:val="1"/>
          <w:iCs w:val="1"/>
          <w:rtl w:val="0"/>
        </w:rPr>
        <w:t> </w:t>
      </w:r>
      <w:r>
        <w:rPr>
          <w:i w:val="1"/>
          <w:iCs w:val="1"/>
          <w:rtl w:val="0"/>
          <w:lang w:val="en-US"/>
        </w:rPr>
        <w:t>Eleventh Annual Conference of</w:t>
      </w:r>
      <w:r>
        <w:rPr>
          <w:i w:val="1"/>
          <w:iCs w:val="1"/>
          <w:rtl w:val="0"/>
        </w:rPr>
        <w:t> </w:t>
      </w:r>
      <w:r>
        <w:rPr>
          <w:i w:val="1"/>
          <w:iCs w:val="1"/>
          <w:rtl w:val="0"/>
          <w:lang w:val="en-US"/>
        </w:rPr>
        <w:t>the</w:t>
      </w:r>
      <w:r>
        <w:rPr>
          <w:i w:val="1"/>
          <w:iCs w:val="1"/>
          <w:rtl w:val="0"/>
          <w:lang w:val="fr-FR"/>
        </w:rPr>
        <w:t xml:space="preserve"> </w:t>
      </w:r>
      <w:r>
        <w:rPr>
          <w:i w:val="1"/>
          <w:iCs w:val="1"/>
          <w:rtl w:val="0"/>
        </w:rPr>
        <w:t>Cent</w:t>
      </w:r>
      <w:r>
        <w:rPr>
          <w:i w:val="1"/>
          <w:iCs w:val="1"/>
          <w:rtl w:val="0"/>
          <w:lang w:val="fr-FR"/>
        </w:rPr>
        <w:t>re</w:t>
      </w:r>
      <w:r>
        <w:rPr>
          <w:i w:val="1"/>
          <w:iCs w:val="1"/>
          <w:rtl w:val="0"/>
          <w:lang w:val="en-US"/>
        </w:rPr>
        <w:t xml:space="preserve"> for Medieval &amp; Early Renaissance Studies</w:t>
      </w:r>
      <w:r>
        <w:rPr>
          <w:i w:val="1"/>
          <w:iCs w:val="1"/>
          <w:rtl w:val="0"/>
          <w:lang w:val="fr-FR"/>
        </w:rPr>
        <w:t>.</w:t>
      </w:r>
      <w:r>
        <w:rPr>
          <w:rtl w:val="0"/>
          <w:lang w:val="fr-FR"/>
        </w:rPr>
        <w:t xml:space="preserve"> New York: </w:t>
      </w:r>
      <w:r>
        <w:rPr>
          <w:rtl w:val="0"/>
        </w:rPr>
        <w:t>Cent</w:t>
      </w:r>
      <w:r>
        <w:rPr>
          <w:rtl w:val="0"/>
          <w:lang w:val="fr-FR"/>
        </w:rPr>
        <w:t>re</w:t>
      </w:r>
      <w:r>
        <w:rPr>
          <w:rtl w:val="0"/>
          <w:lang w:val="en-US"/>
        </w:rPr>
        <w:t xml:space="preserve"> for Medieval &amp; Early Renaissance Studies</w:t>
      </w:r>
      <w:r>
        <w:rPr>
          <w:rtl w:val="0"/>
          <w:lang w:val="fr-FR"/>
        </w:rPr>
        <w:t>. 77-108.</w:t>
      </w:r>
      <w:r>
        <w:rPr>
          <w:rtl w:val="0"/>
        </w:rPr>
        <w:t xml:space="preserve"> </w:t>
      </w:r>
    </w:p>
    <w:p>
      <w:pPr>
        <w:pStyle w:val="Body"/>
        <w:numPr>
          <w:ilvl w:val="0"/>
          <w:numId w:val="3"/>
        </w:numPr>
        <w:spacing w:line="360" w:lineRule="auto"/>
        <w:rPr>
          <w:lang w:val="fr-FR"/>
        </w:rPr>
      </w:pPr>
      <w:r>
        <w:rPr>
          <w:rtl w:val="0"/>
          <w:lang w:val="fr-FR"/>
        </w:rPr>
        <w:t xml:space="preserve">McNeil. W,H. 1977. </w:t>
      </w:r>
      <w:r>
        <w:rPr>
          <w:i w:val="1"/>
          <w:iCs w:val="1"/>
          <w:rtl w:val="0"/>
          <w:lang w:val="fr-FR"/>
        </w:rPr>
        <w:t>Plagues and Peoples.</w:t>
      </w:r>
      <w:r>
        <w:rPr>
          <w:rtl w:val="0"/>
          <w:lang w:val="fr-FR"/>
        </w:rPr>
        <w:t xml:space="preserve"> Oxford: Basil Blackwell.</w:t>
      </w:r>
    </w:p>
    <w:sectPr>
      <w:headerReference w:type="default" r:id="rId14"/>
      <w:footerReference w:type="default" r:id="rId1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1. Lerner 1982: 77</w:t>
    </w:r>
  </w:p>
  <w:p>
    <w:pPr>
      <w:pStyle w:val="Header &amp; Footer"/>
      <w:tabs>
        <w:tab w:val="center" w:pos="4819"/>
        <w:tab w:val="right" w:pos="9638"/>
        <w:tab w:val="clear" w:pos="9020"/>
      </w:tabs>
      <w:jc w:val="left"/>
    </w:pPr>
    <w:r>
      <w:rPr>
        <w:rtl w:val="0"/>
        <w:lang w:val="fr-FR"/>
      </w:rPr>
      <w:t>2. McNeil 1977: 168</w:t>
    </w:r>
  </w:p>
  <w:p>
    <w:pPr>
      <w:pStyle w:val="Header &amp; Footer"/>
      <w:tabs>
        <w:tab w:val="center" w:pos="4819"/>
        <w:tab w:val="right" w:pos="9638"/>
        <w:tab w:val="clear" w:pos="9020"/>
      </w:tabs>
      <w:jc w:val="left"/>
    </w:pPr>
    <w:r>
      <w:rPr>
        <w:rtl w:val="0"/>
        <w:lang w:val="fr-FR"/>
      </w:rPr>
      <w:t>3. Dyer 2003: 228</w:t>
    </w:r>
  </w:p>
  <w:p>
    <w:pPr>
      <w:pStyle w:val="Header &amp; Footer"/>
      <w:tabs>
        <w:tab w:val="center" w:pos="4819"/>
        <w:tab w:val="right" w:pos="9638"/>
        <w:tab w:val="clear" w:pos="9020"/>
      </w:tabs>
      <w:jc w:val="left"/>
    </w:pPr>
    <w:r>
      <w:rPr>
        <w:rtl w:val="0"/>
        <w:lang w:val="fr-FR"/>
      </w:rPr>
      <w:t>4. McNeil 1977: 163</w:t>
    </w:r>
  </w:p>
  <w:p>
    <w:pPr>
      <w:pStyle w:val="Header &amp; Footer"/>
      <w:tabs>
        <w:tab w:val="center" w:pos="4819"/>
        <w:tab w:val="right" w:pos="9638"/>
        <w:tab w:val="clear" w:pos="9020"/>
      </w:tabs>
      <w:jc w:val="left"/>
    </w:pPr>
    <w:r>
      <w:rPr>
        <w:rtl w:val="0"/>
        <w:lang w:val="fr-FR"/>
      </w:rPr>
      <w:t>5. Dyer 2003: 233</w:t>
    </w:r>
  </w:p>
  <w:p>
    <w:pPr>
      <w:pStyle w:val="Header &amp; Footer"/>
      <w:tabs>
        <w:tab w:val="center" w:pos="4819"/>
        <w:tab w:val="right" w:pos="9638"/>
        <w:tab w:val="clear" w:pos="9020"/>
      </w:tabs>
      <w:jc w:val="left"/>
    </w:pPr>
    <w:r>
      <w:rPr>
        <w:rtl w:val="0"/>
        <w:lang w:val="fr-FR"/>
      </w:rPr>
      <w:t>6. McNeil 1977: 168</w:t>
    </w:r>
  </w:p>
  <w:p>
    <w:pPr>
      <w:pStyle w:val="Header &amp; Footer"/>
      <w:tabs>
        <w:tab w:val="center" w:pos="4819"/>
        <w:tab w:val="right" w:pos="9638"/>
        <w:tab w:val="clear" w:pos="9020"/>
      </w:tabs>
      <w:jc w:val="left"/>
    </w:pPr>
    <w:r>
      <w:rPr>
        <w:rtl w:val="0"/>
        <w:lang w:val="fr-FR"/>
      </w:rPr>
      <w:t>7. Bolton 2003: 71</w:t>
    </w:r>
  </w:p>
  <w:p>
    <w:pPr>
      <w:pStyle w:val="Header &amp; Footer"/>
      <w:tabs>
        <w:tab w:val="center" w:pos="4819"/>
        <w:tab w:val="right" w:pos="9638"/>
        <w:tab w:val="clear" w:pos="9020"/>
      </w:tabs>
      <w:jc w:val="left"/>
    </w:pPr>
    <w:r>
      <w:rPr>
        <w:rtl w:val="0"/>
        <w:lang w:val="fr-FR"/>
      </w:rPr>
      <w:t>8. Bolton 2003: 37-38</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9. John of Reading, Horrox (trans): 87</w:t>
    </w:r>
  </w:p>
  <w:p>
    <w:pPr>
      <w:pStyle w:val="Header &amp; Footer"/>
      <w:tabs>
        <w:tab w:val="center" w:pos="4819"/>
        <w:tab w:val="right" w:pos="9638"/>
        <w:tab w:val="clear" w:pos="9020"/>
      </w:tabs>
      <w:jc w:val="left"/>
    </w:pPr>
    <w:r>
      <w:rPr>
        <w:rtl w:val="0"/>
        <w:lang w:val="fr-FR"/>
      </w:rPr>
      <w:t>10. Bolton 2003: 76</w:t>
    </w:r>
  </w:p>
  <w:p>
    <w:pPr>
      <w:pStyle w:val="Header &amp; Footer"/>
      <w:tabs>
        <w:tab w:val="center" w:pos="4819"/>
        <w:tab w:val="right" w:pos="9638"/>
        <w:tab w:val="clear" w:pos="9020"/>
      </w:tabs>
      <w:jc w:val="left"/>
    </w:pPr>
    <w:r>
      <w:rPr>
        <w:rtl w:val="0"/>
        <w:lang w:val="fr-FR"/>
      </w:rPr>
      <w:t>11. Dyer 2003: 273</w:t>
    </w:r>
  </w:p>
  <w:p>
    <w:pPr>
      <w:pStyle w:val="Header &amp; Footer"/>
      <w:tabs>
        <w:tab w:val="center" w:pos="4819"/>
        <w:tab w:val="right" w:pos="9638"/>
        <w:tab w:val="clear" w:pos="9020"/>
      </w:tabs>
      <w:jc w:val="left"/>
    </w:pPr>
    <w:r>
      <w:rPr>
        <w:rtl w:val="0"/>
        <w:lang w:val="fr-FR"/>
      </w:rPr>
      <w:t>12. Bolton 2003: 27</w:t>
    </w:r>
  </w:p>
  <w:p>
    <w:pPr>
      <w:pStyle w:val="Header &amp; Footer"/>
      <w:tabs>
        <w:tab w:val="center" w:pos="4819"/>
        <w:tab w:val="right" w:pos="9638"/>
        <w:tab w:val="clear" w:pos="9020"/>
      </w:tabs>
      <w:jc w:val="left"/>
    </w:pPr>
    <w:r>
      <w:rPr>
        <w:rtl w:val="0"/>
        <w:lang w:val="fr-FR"/>
      </w:rPr>
      <w:t xml:space="preserve">13. Thomas Walsingham </w:t>
    </w:r>
    <w:r>
      <w:rPr>
        <w:i w:val="1"/>
        <w:iCs w:val="1"/>
        <w:rtl w:val="0"/>
        <w:lang w:val="fr-FR"/>
      </w:rPr>
      <w:t xml:space="preserve">Historia Angelicana 1272-1422, </w:t>
    </w:r>
    <w:r>
      <w:rPr>
        <w:rtl w:val="0"/>
        <w:lang w:val="fr-FR"/>
      </w:rPr>
      <w:t>Horror (trans): 85</w:t>
    </w:r>
  </w:p>
  <w:p>
    <w:pPr>
      <w:pStyle w:val="Header &amp; Footer"/>
      <w:tabs>
        <w:tab w:val="center" w:pos="4819"/>
        <w:tab w:val="right" w:pos="9638"/>
        <w:tab w:val="clear" w:pos="9020"/>
      </w:tabs>
      <w:jc w:val="left"/>
    </w:pPr>
    <w:r>
      <w:rPr>
        <w:rtl w:val="0"/>
        <w:lang w:val="fr-FR"/>
      </w:rPr>
      <w:t>14. Bean 1982: 31</w:t>
    </w:r>
  </w:p>
  <w:p>
    <w:pPr>
      <w:pStyle w:val="Header &amp; Footer"/>
      <w:tabs>
        <w:tab w:val="center" w:pos="4819"/>
        <w:tab w:val="right" w:pos="9638"/>
        <w:tab w:val="clear" w:pos="9020"/>
      </w:tabs>
      <w:jc w:val="left"/>
    </w:pPr>
    <w:r>
      <w:rPr>
        <w:rtl w:val="0"/>
        <w:lang w:val="fr-FR"/>
      </w:rPr>
      <w:t xml:space="preserve">15. </w:t>
    </w:r>
    <w:r>
      <w:rPr>
        <w:rtl w:val="0"/>
        <w:lang w:val="en-US"/>
      </w:rPr>
      <w:t>Bolton 2003</w:t>
    </w:r>
    <w:r>
      <w:rPr>
        <w:rtl w:val="0"/>
        <w:lang w:val="fr-FR"/>
      </w:rPr>
      <w:t>: 55</w:t>
    </w:r>
  </w:p>
  <w:p>
    <w:pPr>
      <w:pStyle w:val="Header &amp; Footer"/>
      <w:tabs>
        <w:tab w:val="center" w:pos="4819"/>
        <w:tab w:val="right" w:pos="9638"/>
        <w:tab w:val="clear" w:pos="9020"/>
      </w:tabs>
      <w:jc w:val="left"/>
    </w:pPr>
    <w:r>
      <w:rPr>
        <w:rtl w:val="0"/>
        <w:lang w:val="fr-FR"/>
      </w:rPr>
      <w:t>16. Dyer 2003: 276</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 xml:space="preserve">17. </w:t>
    </w:r>
    <w:r>
      <w:rPr>
        <w:rtl w:val="0"/>
        <w:lang w:val="de-DE"/>
      </w:rPr>
      <w:t>Ferngren</w:t>
    </w:r>
    <w:r>
      <w:rPr>
        <w:rtl w:val="0"/>
        <w:lang w:val="fr-FR"/>
      </w:rPr>
      <w:t xml:space="preserve"> 2014: 109</w:t>
    </w:r>
  </w:p>
  <w:p>
    <w:pPr>
      <w:pStyle w:val="Header &amp; Footer"/>
      <w:tabs>
        <w:tab w:val="center" w:pos="4819"/>
        <w:tab w:val="right" w:pos="9638"/>
        <w:tab w:val="clear" w:pos="9020"/>
      </w:tabs>
      <w:jc w:val="left"/>
    </w:pPr>
    <w:r>
      <w:rPr>
        <w:rtl w:val="0"/>
        <w:lang w:val="fr-FR"/>
      </w:rPr>
      <w:t>18. Colet 2015: 64</w:t>
    </w:r>
  </w:p>
  <w:p>
    <w:pPr>
      <w:pStyle w:val="Header &amp; Footer"/>
      <w:tabs>
        <w:tab w:val="center" w:pos="4819"/>
        <w:tab w:val="right" w:pos="9638"/>
        <w:tab w:val="clear" w:pos="9020"/>
      </w:tabs>
      <w:jc w:val="left"/>
    </w:pPr>
    <w:r>
      <w:rPr>
        <w:rtl w:val="0"/>
        <w:lang w:val="fr-FR"/>
      </w:rPr>
      <w:t>19. McNeil 1977: 175</w:t>
    </w:r>
  </w:p>
  <w:p>
    <w:pPr>
      <w:pStyle w:val="Header &amp; Footer"/>
      <w:tabs>
        <w:tab w:val="center" w:pos="4819"/>
        <w:tab w:val="right" w:pos="9638"/>
        <w:tab w:val="clear" w:pos="9020"/>
      </w:tabs>
      <w:jc w:val="left"/>
    </w:pPr>
    <w:r>
      <w:rPr>
        <w:rtl w:val="0"/>
        <w:lang w:val="fr-FR"/>
      </w:rPr>
      <w:t xml:space="preserve">20. </w:t>
    </w:r>
    <w:r>
      <w:rPr>
        <w:rtl w:val="0"/>
      </w:rPr>
      <w:t>Harper-Bill</w:t>
    </w:r>
    <w:r>
      <w:rPr>
        <w:rtl w:val="0"/>
        <w:lang w:val="fr-FR"/>
      </w:rPr>
      <w:t xml:space="preserve"> 2003: 107</w:t>
    </w:r>
  </w:p>
  <w:p>
    <w:pPr>
      <w:pStyle w:val="Header &amp; Footer"/>
      <w:tabs>
        <w:tab w:val="center" w:pos="4819"/>
        <w:tab w:val="right" w:pos="9638"/>
        <w:tab w:val="clear" w:pos="9020"/>
      </w:tabs>
      <w:jc w:val="left"/>
    </w:pPr>
    <w:r>
      <w:rPr>
        <w:rtl w:val="0"/>
        <w:lang w:val="fr-FR"/>
      </w:rPr>
      <w:t xml:space="preserve">21. </w:t>
    </w:r>
    <w:r>
      <w:rPr>
        <w:rtl w:val="0"/>
        <w:lang w:val="de-DE"/>
      </w:rPr>
      <w:t>Strassb</w:t>
    </w:r>
    <w:r>
      <w:rPr>
        <w:rtl w:val="0"/>
        <w:lang w:val="fr-FR"/>
      </w:rPr>
      <w:t>u</w:t>
    </w:r>
    <w:r>
      <w:rPr>
        <w:rtl w:val="0"/>
        <w:lang w:val="en-US"/>
      </w:rPr>
      <w:t>rg archives</w:t>
    </w:r>
    <w:r>
      <w:rPr>
        <w:rtl w:val="0"/>
        <w:lang w:val="fr-FR"/>
      </w:rPr>
      <w:t xml:space="preserve"> Horrox (trans): 210</w:t>
    </w:r>
  </w:p>
  <w:p>
    <w:pPr>
      <w:pStyle w:val="Header &amp; Footer"/>
      <w:tabs>
        <w:tab w:val="center" w:pos="4819"/>
        <w:tab w:val="right" w:pos="9638"/>
        <w:tab w:val="clear" w:pos="9020"/>
      </w:tabs>
      <w:jc w:val="left"/>
    </w:pPr>
    <w:r>
      <w:rPr>
        <w:rtl w:val="0"/>
        <w:lang w:val="fr-FR"/>
      </w:rPr>
      <w:t>22. Colet et al. 2015: 64</w:t>
    </w:r>
  </w:p>
  <w:p>
    <w:pPr>
      <w:pStyle w:val="Header &amp; Footer"/>
      <w:tabs>
        <w:tab w:val="center" w:pos="4819"/>
        <w:tab w:val="right" w:pos="9638"/>
        <w:tab w:val="clear" w:pos="9020"/>
      </w:tabs>
      <w:jc w:val="left"/>
    </w:pPr>
    <w:r>
      <w:rPr>
        <w:rtl w:val="0"/>
        <w:lang w:val="fr-FR"/>
      </w:rPr>
      <w:t xml:space="preserve">23. </w:t>
    </w:r>
    <w:r>
      <w:rPr>
        <w:rtl w:val="0"/>
      </w:rPr>
      <w:t>Colet et al. 2015: 6</w:t>
    </w:r>
    <w:r>
      <w:rPr>
        <w:rtl w:val="0"/>
        <w:lang w:val="fr-FR"/>
      </w:rPr>
      <w:t>6</w:t>
    </w:r>
  </w:p>
  <w:p>
    <w:pPr>
      <w:pStyle w:val="Header &amp; Footer"/>
      <w:tabs>
        <w:tab w:val="center" w:pos="4819"/>
        <w:tab w:val="right" w:pos="9638"/>
        <w:tab w:val="clear" w:pos="9020"/>
      </w:tabs>
      <w:jc w:val="left"/>
    </w:pPr>
    <w:r>
      <w:rPr>
        <w:rtl w:val="0"/>
        <w:lang w:val="fr-FR"/>
      </w:rPr>
      <w:t xml:space="preserve">24. </w:t>
    </w:r>
    <w:r>
      <w:rPr>
        <w:rtl w:val="0"/>
      </w:rPr>
      <w:t>Colet et al. 2015: 6</w:t>
    </w:r>
    <w:r>
      <w:rPr>
        <w:rtl w:val="0"/>
        <w:lang w:val="fr-FR"/>
      </w:rPr>
      <w:t>9</w:t>
    </w:r>
  </w:p>
  <w:p>
    <w:pPr>
      <w:pStyle w:val="Header &amp; Footer"/>
      <w:tabs>
        <w:tab w:val="center" w:pos="4819"/>
        <w:tab w:val="right" w:pos="9638"/>
        <w:tab w:val="clear" w:pos="9020"/>
      </w:tabs>
      <w:jc w:val="left"/>
    </w:pPr>
    <w:r>
      <w:rPr>
        <w:rtl w:val="0"/>
        <w:lang w:val="fr-FR"/>
      </w:rPr>
      <w:t xml:space="preserve">25. </w:t>
    </w:r>
    <w:r>
      <w:rPr>
        <w:rtl w:val="0"/>
        <w:lang w:val="de-DE"/>
      </w:rPr>
      <w:t>Ferngren</w:t>
    </w:r>
    <w:r>
      <w:rPr>
        <w:rtl w:val="0"/>
        <w:lang w:val="fr-FR"/>
      </w:rPr>
      <w:t xml:space="preserve"> 2014: 109</w:t>
    </w:r>
  </w:p>
  <w:p>
    <w:pPr>
      <w:pStyle w:val="Header &amp; Footer"/>
      <w:tabs>
        <w:tab w:val="center" w:pos="4819"/>
        <w:tab w:val="right" w:pos="9638"/>
        <w:tab w:val="clear" w:pos="9020"/>
      </w:tabs>
      <w:jc w:val="left"/>
    </w:pPr>
    <w:r>
      <w:rPr>
        <w:rtl w:val="0"/>
        <w:lang w:val="fr-FR"/>
      </w:rPr>
      <w:t xml:space="preserve">26. </w:t>
    </w:r>
    <w:r>
      <w:rPr>
        <w:rtl w:val="0"/>
      </w:rPr>
      <w:t>Harper-Bill</w:t>
    </w:r>
    <w:r>
      <w:rPr>
        <w:rtl w:val="0"/>
        <w:lang w:val="fr-FR"/>
      </w:rPr>
      <w:t xml:space="preserve"> 2003: 107</w:t>
    </w:r>
  </w:p>
  <w:p>
    <w:pPr>
      <w:pStyle w:val="Header &amp; Footer"/>
      <w:tabs>
        <w:tab w:val="center" w:pos="4819"/>
        <w:tab w:val="right" w:pos="9638"/>
        <w:tab w:val="clear" w:pos="9020"/>
      </w:tabs>
      <w:jc w:val="left"/>
    </w:pPr>
    <w:r>
      <w:rPr>
        <w:rtl w:val="0"/>
        <w:lang w:val="fr-FR"/>
      </w:rPr>
      <w:t>27.</w:t>
    </w:r>
    <w:r>
      <w:rPr>
        <w:rtl w:val="0"/>
      </w:rPr>
      <w:t xml:space="preserve"> Harper-Bill 2003: 107</w:t>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28. Robert of Avesbury, Horrox (trans): 153</w:t>
    </w:r>
  </w:p>
  <w:p>
    <w:pPr>
      <w:pStyle w:val="Header &amp; Footer"/>
      <w:tabs>
        <w:tab w:val="center" w:pos="4819"/>
        <w:tab w:val="right" w:pos="9638"/>
        <w:tab w:val="clear" w:pos="9020"/>
      </w:tabs>
      <w:jc w:val="left"/>
    </w:pPr>
    <w:r>
      <w:rPr>
        <w:rtl w:val="0"/>
        <w:lang w:val="fr-FR"/>
      </w:rPr>
      <w:t xml:space="preserve">29. </w:t>
    </w:r>
    <w:r>
      <w:rPr>
        <w:rtl w:val="0"/>
      </w:rPr>
      <w:t xml:space="preserve">Harper-Bill 2003: </w:t>
    </w:r>
    <w:r>
      <w:rPr>
        <w:rtl w:val="0"/>
        <w:lang w:val="fr-FR"/>
      </w:rPr>
      <w:t>79</w:t>
    </w:r>
  </w:p>
  <w:p>
    <w:pPr>
      <w:pStyle w:val="Header &amp; Footer"/>
      <w:tabs>
        <w:tab w:val="center" w:pos="4819"/>
        <w:tab w:val="right" w:pos="9638"/>
        <w:tab w:val="clear" w:pos="9020"/>
      </w:tabs>
      <w:jc w:val="left"/>
    </w:pPr>
    <w:r>
      <w:rPr>
        <w:rtl w:val="0"/>
        <w:lang w:val="fr-FR"/>
      </w:rPr>
      <w:t>30. Ferngren 2014: 111</w:t>
    </w:r>
  </w:p>
  <w:p>
    <w:pPr>
      <w:pStyle w:val="Header &amp; Footer"/>
      <w:tabs>
        <w:tab w:val="center" w:pos="4819"/>
        <w:tab w:val="right" w:pos="9638"/>
        <w:tab w:val="clear" w:pos="9020"/>
      </w:tabs>
      <w:jc w:val="left"/>
    </w:pPr>
    <w:r>
      <w:rPr>
        <w:rtl w:val="0"/>
        <w:lang w:val="fr-FR"/>
      </w:rPr>
      <w:t xml:space="preserve">31. Bishop of Bath and Wells 1349, </w:t>
    </w:r>
    <w:r>
      <w:rPr>
        <w:rtl w:val="0"/>
      </w:rPr>
      <w:t>Horrox (trans)</w:t>
    </w:r>
    <w:r>
      <w:rPr>
        <w:rtl w:val="0"/>
        <w:lang w:val="fr-FR"/>
      </w:rPr>
      <w:t>: 271</w:t>
    </w:r>
  </w:p>
  <w:p>
    <w:pPr>
      <w:pStyle w:val="Header &amp; Footer"/>
      <w:tabs>
        <w:tab w:val="center" w:pos="4819"/>
        <w:tab w:val="right" w:pos="9638"/>
        <w:tab w:val="clear" w:pos="9020"/>
      </w:tabs>
      <w:jc w:val="left"/>
    </w:pPr>
    <w:r>
      <w:rPr>
        <w:rtl w:val="0"/>
        <w:lang w:val="fr-FR"/>
      </w:rPr>
      <w:t xml:space="preserve">32. </w:t>
    </w:r>
    <w:r>
      <w:rPr>
        <w:rtl w:val="0"/>
      </w:rPr>
      <w:t xml:space="preserve">Harper-Bill 2003: </w:t>
    </w:r>
    <w:r>
      <w:rPr>
        <w:rtl w:val="0"/>
        <w:lang w:val="fr-FR"/>
      </w:rPr>
      <w:t>84</w:t>
    </w:r>
  </w:p>
  <w:p>
    <w:pPr>
      <w:pStyle w:val="Header &amp; Footer"/>
      <w:tabs>
        <w:tab w:val="center" w:pos="4819"/>
        <w:tab w:val="right" w:pos="9638"/>
        <w:tab w:val="clear" w:pos="9020"/>
      </w:tabs>
      <w:jc w:val="left"/>
    </w:pPr>
    <w:r>
      <w:rPr>
        <w:rtl w:val="0"/>
        <w:lang w:val="fr-FR"/>
      </w:rPr>
      <w:t xml:space="preserve">33. </w:t>
    </w:r>
    <w:r>
      <w:rPr>
        <w:rtl w:val="0"/>
      </w:rPr>
      <w:t xml:space="preserve">Harper-Bill 2003: </w:t>
    </w:r>
    <w:r>
      <w:rPr>
        <w:rtl w:val="0"/>
        <w:lang w:val="fr-FR"/>
      </w:rPr>
      <w:t>87</w:t>
    </w:r>
  </w:p>
  <w:p>
    <w:pPr>
      <w:pStyle w:val="Header &amp; Footer"/>
      <w:tabs>
        <w:tab w:val="center" w:pos="4819"/>
        <w:tab w:val="right" w:pos="9638"/>
        <w:tab w:val="clear" w:pos="9020"/>
      </w:tabs>
      <w:jc w:val="left"/>
    </w:pPr>
    <w:r>
      <w:rPr>
        <w:rtl w:val="0"/>
        <w:lang w:val="fr-FR"/>
      </w:rPr>
      <w:t xml:space="preserve">34. </w:t>
    </w:r>
    <w:r>
      <w:rPr>
        <w:rtl w:val="0"/>
      </w:rPr>
      <w:t xml:space="preserve">Harper-Bill 2003: </w:t>
    </w:r>
    <w:r>
      <w:rPr>
        <w:rtl w:val="0"/>
        <w:lang w:val="fr-FR"/>
      </w:rPr>
      <w:t>97</w:t>
    </w:r>
  </w:p>
  <w:p>
    <w:pPr>
      <w:pStyle w:val="Header &amp; Footer"/>
      <w:tabs>
        <w:tab w:val="center" w:pos="4819"/>
        <w:tab w:val="right" w:pos="9638"/>
        <w:tab w:val="clear" w:pos="9020"/>
      </w:tabs>
      <w:jc w:val="left"/>
    </w:pPr>
    <w:r>
      <w:rPr>
        <w:rtl w:val="0"/>
        <w:lang w:val="fr-FR"/>
      </w:rPr>
      <w:t xml:space="preserve">35. </w:t>
    </w:r>
    <w:r>
      <w:rPr>
        <w:rtl w:val="0"/>
      </w:rPr>
      <w:t xml:space="preserve">Harper-Bill 2003: </w:t>
    </w:r>
    <w:r>
      <w:rPr>
        <w:rtl w:val="0"/>
        <w:lang w:val="fr-FR"/>
      </w:rPr>
      <w:t>107</w:t>
    </w:r>
  </w:p>
  <w:p>
    <w:pPr>
      <w:pStyle w:val="Header &amp; Footer"/>
      <w:tabs>
        <w:tab w:val="center" w:pos="4819"/>
        <w:tab w:val="right" w:pos="9638"/>
        <w:tab w:val="clear" w:pos="9020"/>
      </w:tabs>
      <w:jc w:val="left"/>
    </w:pPr>
    <w:r>
      <w:rPr>
        <w:rtl w:val="0"/>
        <w:lang w:val="fr-FR"/>
      </w:rPr>
      <w:t xml:space="preserve">36. </w:t>
    </w:r>
    <w:r>
      <w:rPr>
        <w:rtl w:val="0"/>
      </w:rPr>
      <w:t xml:space="preserve">Harper-Bill 2003: </w:t>
    </w:r>
    <w:r>
      <w:rPr>
        <w:rtl w:val="0"/>
        <w:lang w:val="fr-FR"/>
      </w:rPr>
      <w:t>102</w:t>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fr-FR"/>
      </w:rPr>
      <w:t>37. Dyer 2003: 273</w:t>
    </w:r>
  </w:p>
  <w:p>
    <w:pPr>
      <w:pStyle w:val="Header &amp; Footer"/>
      <w:tabs>
        <w:tab w:val="center" w:pos="4819"/>
        <w:tab w:val="right" w:pos="9638"/>
        <w:tab w:val="clear" w:pos="9020"/>
      </w:tabs>
      <w:jc w:val="left"/>
    </w:pPr>
    <w:r>
      <w:rPr>
        <w:rtl w:val="0"/>
        <w:lang w:val="fr-FR"/>
      </w:rPr>
      <w:t>38. Ferngren 2014: 109</w:t>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fr-FR"/>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header" Target="header4.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footer" Target="footer5.xml"/><Relationship Id="rId14" Type="http://schemas.openxmlformats.org/officeDocument/2006/relationships/header" Target="header6.xml"/><Relationship Id="rId15" Type="http://schemas.openxmlformats.org/officeDocument/2006/relationships/footer" Target="footer6.xml"/><Relationship Id="rId16" Type="http://schemas.openxmlformats.org/officeDocument/2006/relationships/numbering" Target="numbering.xml"/><Relationship Id="rId1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