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9D4E60" w14:textId="77777777" w:rsidR="0079757B" w:rsidRDefault="0079757B" w:rsidP="0079757B">
      <w:pPr>
        <w:jc w:val="center"/>
      </w:pPr>
      <w:r>
        <w:rPr>
          <w:lang w:val="en-US"/>
        </w:rPr>
        <w:t xml:space="preserve">              </w:t>
      </w:r>
      <w:r>
        <w:rPr>
          <w:noProof/>
        </w:rPr>
        <w:drawing>
          <wp:inline distT="0" distB="0" distL="0" distR="0" wp14:anchorId="44132B76" wp14:editId="2E77186C">
            <wp:extent cx="3384550" cy="1352550"/>
            <wp:effectExtent l="0" t="0" r="6350" b="0"/>
            <wp:docPr id="1156768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4550" cy="1352550"/>
                    </a:xfrm>
                    <a:prstGeom prst="rect">
                      <a:avLst/>
                    </a:prstGeom>
                    <a:noFill/>
                    <a:ln>
                      <a:noFill/>
                    </a:ln>
                  </pic:spPr>
                </pic:pic>
              </a:graphicData>
            </a:graphic>
          </wp:inline>
        </w:drawing>
      </w:r>
    </w:p>
    <w:p w14:paraId="06D474E5" w14:textId="77777777" w:rsidR="0079757B" w:rsidRDefault="0079757B">
      <w:pPr>
        <w:rPr>
          <w:lang w:val="en-US"/>
        </w:rPr>
      </w:pPr>
      <w:r>
        <w:rPr>
          <w:lang w:val="en-US"/>
        </w:rPr>
        <w:t xml:space="preserve">  </w:t>
      </w:r>
    </w:p>
    <w:p w14:paraId="1F953BA0" w14:textId="77777777" w:rsidR="0079757B" w:rsidRDefault="0079757B">
      <w:pPr>
        <w:rPr>
          <w:lang w:val="en-US"/>
        </w:rPr>
      </w:pPr>
    </w:p>
    <w:p w14:paraId="0297539B" w14:textId="026F0521" w:rsidR="00761990" w:rsidRPr="00761990" w:rsidRDefault="0079757B" w:rsidP="00761990">
      <w:pPr>
        <w:jc w:val="center"/>
        <w:rPr>
          <w:rFonts w:ascii="Arial" w:hAnsi="Arial" w:cs="Arial"/>
          <w:b/>
          <w:bCs/>
          <w:sz w:val="40"/>
          <w:szCs w:val="40"/>
        </w:rPr>
      </w:pPr>
      <w:r w:rsidRPr="00761990">
        <w:rPr>
          <w:rFonts w:ascii="Arial" w:hAnsi="Arial" w:cs="Arial"/>
          <w:b/>
          <w:bCs/>
          <w:sz w:val="40"/>
          <w:szCs w:val="40"/>
        </w:rPr>
        <w:t>Student Name:</w:t>
      </w:r>
      <w:r w:rsidR="00761990" w:rsidRPr="00761990">
        <w:rPr>
          <w:rFonts w:ascii="Arial" w:hAnsi="Arial" w:cs="Arial"/>
          <w:b/>
          <w:bCs/>
          <w:sz w:val="40"/>
          <w:szCs w:val="40"/>
        </w:rPr>
        <w:t xml:space="preserve"> Ayushkumar Sudhirbhai Savaliya</w:t>
      </w:r>
    </w:p>
    <w:p w14:paraId="6B236079" w14:textId="77777777" w:rsidR="0079757B" w:rsidRPr="00761990" w:rsidRDefault="0079757B" w:rsidP="0079757B">
      <w:pPr>
        <w:jc w:val="center"/>
        <w:rPr>
          <w:rFonts w:ascii="Arial" w:hAnsi="Arial" w:cs="Arial"/>
          <w:b/>
          <w:bCs/>
          <w:sz w:val="40"/>
          <w:szCs w:val="40"/>
        </w:rPr>
      </w:pPr>
    </w:p>
    <w:p w14:paraId="4738E23D" w14:textId="0598D736" w:rsidR="0079757B" w:rsidRPr="00761990" w:rsidRDefault="0079757B" w:rsidP="0079757B">
      <w:pPr>
        <w:jc w:val="center"/>
        <w:rPr>
          <w:rFonts w:ascii="Arial" w:hAnsi="Arial" w:cs="Arial"/>
          <w:b/>
          <w:bCs/>
          <w:sz w:val="40"/>
          <w:szCs w:val="40"/>
        </w:rPr>
      </w:pPr>
      <w:r w:rsidRPr="00761990">
        <w:rPr>
          <w:rFonts w:ascii="Arial" w:hAnsi="Arial" w:cs="Arial"/>
          <w:b/>
          <w:bCs/>
          <w:sz w:val="40"/>
          <w:szCs w:val="40"/>
        </w:rPr>
        <w:t>Student ID:</w:t>
      </w:r>
      <w:r w:rsidR="00761990" w:rsidRPr="00761990">
        <w:rPr>
          <w:rFonts w:ascii="Arial" w:hAnsi="Arial" w:cs="Arial"/>
          <w:b/>
          <w:bCs/>
          <w:sz w:val="40"/>
          <w:szCs w:val="40"/>
        </w:rPr>
        <w:t xml:space="preserve"> 2509580</w:t>
      </w:r>
    </w:p>
    <w:p w14:paraId="409D2E84" w14:textId="77777777" w:rsidR="0079757B" w:rsidRPr="00761990" w:rsidRDefault="0079757B" w:rsidP="00761990">
      <w:pPr>
        <w:rPr>
          <w:rFonts w:ascii="Arial" w:hAnsi="Arial" w:cs="Arial"/>
          <w:sz w:val="40"/>
          <w:szCs w:val="40"/>
        </w:rPr>
      </w:pPr>
    </w:p>
    <w:p w14:paraId="690E41E9" w14:textId="77777777" w:rsidR="0079757B" w:rsidRPr="00761990" w:rsidRDefault="0079757B" w:rsidP="0079757B">
      <w:pPr>
        <w:jc w:val="center"/>
        <w:rPr>
          <w:rFonts w:ascii="Arial" w:hAnsi="Arial" w:cs="Arial"/>
          <w:b/>
          <w:bCs/>
          <w:sz w:val="40"/>
          <w:szCs w:val="40"/>
        </w:rPr>
      </w:pPr>
      <w:r w:rsidRPr="00761990">
        <w:rPr>
          <w:rFonts w:ascii="Arial" w:hAnsi="Arial" w:cs="Arial"/>
          <w:b/>
          <w:bCs/>
          <w:sz w:val="40"/>
          <w:szCs w:val="40"/>
        </w:rPr>
        <w:t>Module Name: Marketing Management</w:t>
      </w:r>
    </w:p>
    <w:p w14:paraId="63037E2E" w14:textId="77777777" w:rsidR="0079757B" w:rsidRPr="00761990" w:rsidRDefault="0079757B" w:rsidP="0079757B">
      <w:pPr>
        <w:jc w:val="center"/>
        <w:rPr>
          <w:rFonts w:ascii="Arial" w:hAnsi="Arial" w:cs="Arial"/>
          <w:b/>
          <w:bCs/>
          <w:sz w:val="40"/>
          <w:szCs w:val="40"/>
        </w:rPr>
      </w:pPr>
    </w:p>
    <w:p w14:paraId="4A71FF42" w14:textId="3C00100A" w:rsidR="0079757B" w:rsidRPr="00761990" w:rsidRDefault="0079757B" w:rsidP="00761990">
      <w:pPr>
        <w:jc w:val="center"/>
        <w:rPr>
          <w:rFonts w:ascii="Arial" w:hAnsi="Arial" w:cs="Arial"/>
          <w:b/>
          <w:bCs/>
          <w:sz w:val="40"/>
          <w:szCs w:val="40"/>
        </w:rPr>
      </w:pPr>
      <w:r w:rsidRPr="00761990">
        <w:rPr>
          <w:rFonts w:ascii="Arial" w:hAnsi="Arial" w:cs="Arial"/>
          <w:b/>
          <w:bCs/>
          <w:sz w:val="40"/>
          <w:szCs w:val="40"/>
        </w:rPr>
        <w:t>Module Code: LCMB7024</w:t>
      </w:r>
    </w:p>
    <w:p w14:paraId="125A5DF9" w14:textId="77777777" w:rsidR="0079757B" w:rsidRPr="00761990" w:rsidRDefault="0079757B" w:rsidP="0079757B">
      <w:pPr>
        <w:jc w:val="center"/>
        <w:rPr>
          <w:rFonts w:ascii="Arial" w:hAnsi="Arial" w:cs="Arial"/>
          <w:b/>
          <w:bCs/>
          <w:sz w:val="40"/>
          <w:szCs w:val="40"/>
        </w:rPr>
      </w:pPr>
    </w:p>
    <w:p w14:paraId="47AF1626" w14:textId="0B602E91" w:rsidR="00FE5D7D" w:rsidRPr="00761990" w:rsidRDefault="0079757B" w:rsidP="00FE5D7D">
      <w:pPr>
        <w:jc w:val="center"/>
        <w:rPr>
          <w:rFonts w:ascii="Arial" w:hAnsi="Arial" w:cs="Arial"/>
          <w:b/>
          <w:bCs/>
          <w:sz w:val="40"/>
          <w:szCs w:val="40"/>
        </w:rPr>
      </w:pPr>
      <w:r w:rsidRPr="00761990">
        <w:rPr>
          <w:rFonts w:ascii="Arial" w:hAnsi="Arial" w:cs="Arial"/>
          <w:b/>
          <w:bCs/>
          <w:sz w:val="40"/>
          <w:szCs w:val="40"/>
        </w:rPr>
        <w:t>Lecturer’s Name:</w:t>
      </w:r>
      <w:r w:rsidR="00761990" w:rsidRPr="00761990">
        <w:rPr>
          <w:rFonts w:ascii="Arial" w:hAnsi="Arial" w:cs="Arial"/>
          <w:b/>
          <w:bCs/>
          <w:sz w:val="40"/>
          <w:szCs w:val="40"/>
        </w:rPr>
        <w:t xml:space="preserve"> Dr Laila Maazouz (London)</w:t>
      </w:r>
    </w:p>
    <w:p w14:paraId="3953F92D" w14:textId="77777777" w:rsidR="00525A8C" w:rsidRDefault="00525A8C" w:rsidP="008E5F2E">
      <w:pPr>
        <w:rPr>
          <w:rFonts w:ascii="Arial" w:hAnsi="Arial" w:cs="Arial"/>
          <w:b/>
          <w:bCs/>
          <w:sz w:val="40"/>
          <w:szCs w:val="40"/>
        </w:rPr>
      </w:pPr>
    </w:p>
    <w:p w14:paraId="21B9A54B" w14:textId="38C5577C" w:rsidR="00525A8C" w:rsidRDefault="00A52334" w:rsidP="0079757B">
      <w:pPr>
        <w:jc w:val="center"/>
        <w:rPr>
          <w:rFonts w:ascii="Arial" w:hAnsi="Arial" w:cs="Arial"/>
          <w:b/>
          <w:bCs/>
          <w:sz w:val="40"/>
          <w:szCs w:val="40"/>
        </w:rPr>
      </w:pPr>
      <w:r>
        <w:rPr>
          <w:rFonts w:ascii="Arial" w:hAnsi="Arial" w:cs="Arial"/>
          <w:b/>
          <w:bCs/>
          <w:sz w:val="40"/>
          <w:szCs w:val="40"/>
        </w:rPr>
        <w:t>Assignment Title: Marketing Environment Analysis</w:t>
      </w:r>
    </w:p>
    <w:p w14:paraId="55AB783E" w14:textId="77777777" w:rsidR="008E5F2E" w:rsidRDefault="008E5F2E" w:rsidP="0079757B">
      <w:pPr>
        <w:jc w:val="center"/>
        <w:rPr>
          <w:rFonts w:ascii="Arial" w:hAnsi="Arial" w:cs="Arial"/>
          <w:b/>
          <w:bCs/>
          <w:sz w:val="40"/>
          <w:szCs w:val="40"/>
        </w:rPr>
      </w:pPr>
    </w:p>
    <w:p w14:paraId="08A3070C" w14:textId="77777777" w:rsidR="008E5F2E" w:rsidRDefault="008E5F2E" w:rsidP="008E5F2E">
      <w:pPr>
        <w:jc w:val="center"/>
        <w:rPr>
          <w:rFonts w:ascii="Arial" w:hAnsi="Arial" w:cs="Arial"/>
          <w:b/>
          <w:bCs/>
          <w:sz w:val="40"/>
          <w:szCs w:val="40"/>
        </w:rPr>
      </w:pPr>
      <w:r w:rsidRPr="00761990">
        <w:rPr>
          <w:rFonts w:ascii="Arial" w:hAnsi="Arial" w:cs="Arial"/>
          <w:b/>
          <w:bCs/>
          <w:sz w:val="40"/>
          <w:szCs w:val="40"/>
        </w:rPr>
        <w:t>Wor</w:t>
      </w:r>
      <w:r>
        <w:rPr>
          <w:rFonts w:ascii="Arial" w:hAnsi="Arial" w:cs="Arial"/>
          <w:b/>
          <w:bCs/>
          <w:sz w:val="40"/>
          <w:szCs w:val="40"/>
        </w:rPr>
        <w:t xml:space="preserve">d </w:t>
      </w:r>
      <w:r w:rsidRPr="00761990">
        <w:rPr>
          <w:rFonts w:ascii="Arial" w:hAnsi="Arial" w:cs="Arial"/>
          <w:b/>
          <w:bCs/>
          <w:sz w:val="40"/>
          <w:szCs w:val="40"/>
        </w:rPr>
        <w:t>Count:</w:t>
      </w:r>
      <w:r>
        <w:rPr>
          <w:rFonts w:ascii="Arial" w:hAnsi="Arial" w:cs="Arial"/>
          <w:b/>
          <w:bCs/>
          <w:sz w:val="40"/>
          <w:szCs w:val="40"/>
        </w:rPr>
        <w:t xml:space="preserve"> 2597</w:t>
      </w:r>
    </w:p>
    <w:p w14:paraId="21C7CA27" w14:textId="77777777" w:rsidR="008E5F2E" w:rsidRPr="00761990" w:rsidRDefault="008E5F2E" w:rsidP="0079757B">
      <w:pPr>
        <w:jc w:val="center"/>
        <w:rPr>
          <w:rFonts w:ascii="Arial" w:hAnsi="Arial" w:cs="Arial"/>
          <w:b/>
          <w:bCs/>
          <w:sz w:val="40"/>
          <w:szCs w:val="40"/>
        </w:rPr>
      </w:pPr>
    </w:p>
    <w:p w14:paraId="39B96CF4" w14:textId="77777777" w:rsidR="0079757B" w:rsidRPr="00761990" w:rsidRDefault="0079757B" w:rsidP="0079757B">
      <w:pPr>
        <w:jc w:val="center"/>
        <w:rPr>
          <w:rFonts w:ascii="Arial" w:hAnsi="Arial" w:cs="Arial"/>
          <w:b/>
          <w:bCs/>
          <w:sz w:val="32"/>
          <w:szCs w:val="32"/>
        </w:rPr>
      </w:pPr>
    </w:p>
    <w:p w14:paraId="1995B219" w14:textId="77777777" w:rsidR="0079757B" w:rsidRPr="00761990" w:rsidRDefault="0079757B" w:rsidP="0079757B">
      <w:pPr>
        <w:jc w:val="center"/>
        <w:rPr>
          <w:rFonts w:ascii="Arial" w:hAnsi="Arial" w:cs="Arial"/>
          <w:b/>
          <w:bCs/>
          <w:sz w:val="32"/>
          <w:szCs w:val="32"/>
        </w:rPr>
      </w:pPr>
    </w:p>
    <w:p w14:paraId="1EDE1A50" w14:textId="77777777" w:rsidR="0079757B" w:rsidRDefault="0079757B">
      <w:pPr>
        <w:rPr>
          <w:lang w:val="en-US"/>
        </w:rPr>
      </w:pPr>
    </w:p>
    <w:p w14:paraId="49A42F80" w14:textId="77777777" w:rsidR="0079757B" w:rsidRDefault="0079757B">
      <w:pPr>
        <w:rPr>
          <w:lang w:val="en-US"/>
        </w:rPr>
      </w:pPr>
    </w:p>
    <w:p w14:paraId="3ABF236F" w14:textId="77777777" w:rsidR="0079757B" w:rsidRDefault="0079757B">
      <w:pPr>
        <w:rPr>
          <w:lang w:val="en-US"/>
        </w:rPr>
      </w:pPr>
    </w:p>
    <w:p w14:paraId="51BF1C4F" w14:textId="77777777" w:rsidR="0079757B" w:rsidRDefault="0079757B">
      <w:pPr>
        <w:rPr>
          <w:lang w:val="en-US"/>
        </w:rPr>
      </w:pPr>
    </w:p>
    <w:p w14:paraId="2BADEB60" w14:textId="77777777" w:rsidR="0079757B" w:rsidRDefault="0079757B">
      <w:pPr>
        <w:rPr>
          <w:lang w:val="en-US"/>
        </w:rPr>
      </w:pPr>
    </w:p>
    <w:p w14:paraId="4A2B9233" w14:textId="77777777" w:rsidR="0079757B" w:rsidRDefault="0079757B">
      <w:pPr>
        <w:rPr>
          <w:lang w:val="en-US"/>
        </w:rPr>
      </w:pPr>
    </w:p>
    <w:p w14:paraId="04947D95" w14:textId="77777777" w:rsidR="0079757B" w:rsidRDefault="0079757B">
      <w:pPr>
        <w:rPr>
          <w:lang w:val="en-US"/>
        </w:rPr>
      </w:pPr>
    </w:p>
    <w:p w14:paraId="4FA26271" w14:textId="77777777" w:rsidR="0079757B" w:rsidRDefault="0079757B">
      <w:pPr>
        <w:rPr>
          <w:lang w:val="en-US"/>
        </w:rPr>
      </w:pPr>
    </w:p>
    <w:p w14:paraId="23A7746D" w14:textId="77777777" w:rsidR="0079757B" w:rsidRDefault="0079757B">
      <w:pPr>
        <w:rPr>
          <w:lang w:val="en-US"/>
        </w:rPr>
      </w:pPr>
    </w:p>
    <w:p w14:paraId="6A2A383C" w14:textId="77777777" w:rsidR="0079757B" w:rsidRDefault="0079757B">
      <w:pPr>
        <w:rPr>
          <w:lang w:val="en-US"/>
        </w:rPr>
      </w:pPr>
    </w:p>
    <w:p w14:paraId="70BC504D" w14:textId="77777777" w:rsidR="0079757B" w:rsidRDefault="0079757B">
      <w:pPr>
        <w:rPr>
          <w:lang w:val="en-US"/>
        </w:rPr>
      </w:pPr>
    </w:p>
    <w:p w14:paraId="03619981" w14:textId="77777777" w:rsidR="0079757B" w:rsidRDefault="0079757B">
      <w:pPr>
        <w:rPr>
          <w:lang w:val="en-US"/>
        </w:rPr>
      </w:pPr>
    </w:p>
    <w:p w14:paraId="77B87976" w14:textId="2602DDAC" w:rsidR="00093DB6" w:rsidRDefault="00093DB6" w:rsidP="00093DB6">
      <w:pPr>
        <w:rPr>
          <w:lang w:val="en-US"/>
        </w:rPr>
      </w:pPr>
    </w:p>
    <w:sdt>
      <w:sdtPr>
        <w:rPr>
          <w:rFonts w:asciiTheme="minorHAnsi" w:eastAsiaTheme="minorHAnsi" w:hAnsiTheme="minorHAnsi" w:cstheme="minorBidi"/>
          <w:b w:val="0"/>
          <w:bCs w:val="0"/>
          <w:color w:val="auto"/>
          <w:kern w:val="2"/>
          <w:sz w:val="24"/>
          <w:szCs w:val="24"/>
          <w:lang w:val="en-GB"/>
          <w14:ligatures w14:val="standardContextual"/>
        </w:rPr>
        <w:id w:val="2055963970"/>
        <w:docPartObj>
          <w:docPartGallery w:val="Table of Contents"/>
          <w:docPartUnique/>
        </w:docPartObj>
      </w:sdtPr>
      <w:sdtEndPr>
        <w:rPr>
          <w:noProof/>
        </w:rPr>
      </w:sdtEndPr>
      <w:sdtContent>
        <w:p w14:paraId="657FCB57" w14:textId="6C882024" w:rsidR="00B62CB4" w:rsidRDefault="00B62CB4">
          <w:pPr>
            <w:pStyle w:val="TOCHeading"/>
          </w:pPr>
          <w:r>
            <w:t>Contents</w:t>
          </w:r>
        </w:p>
        <w:p w14:paraId="673F03D0" w14:textId="420BC94E" w:rsidR="00B62CB4" w:rsidRDefault="00B62CB4">
          <w:pPr>
            <w:pStyle w:val="TOC1"/>
            <w:tabs>
              <w:tab w:val="left" w:pos="480"/>
              <w:tab w:val="right" w:leader="dot" w:pos="9016"/>
            </w:tabs>
            <w:rPr>
              <w:rFonts w:eastAsiaTheme="minorEastAsia"/>
              <w:b w:val="0"/>
              <w:bCs w:val="0"/>
              <w:caps w:val="0"/>
              <w:noProof/>
              <w:sz w:val="22"/>
              <w:szCs w:val="22"/>
              <w:lang w:val="en-IN" w:eastAsia="en-IN" w:bidi="gu-IN"/>
            </w:rPr>
          </w:pPr>
          <w:r>
            <w:fldChar w:fldCharType="begin"/>
          </w:r>
          <w:r>
            <w:instrText xml:space="preserve"> TOC \o "1-3" \h \z \u </w:instrText>
          </w:r>
          <w:r>
            <w:fldChar w:fldCharType="separate"/>
          </w:r>
          <w:hyperlink w:anchor="_Toc214638845" w:history="1">
            <w:r w:rsidRPr="00F829C6">
              <w:rPr>
                <w:rStyle w:val="Hyperlink"/>
                <w:noProof/>
                <w:lang w:val="en-US"/>
              </w:rPr>
              <w:t>1.</w:t>
            </w:r>
            <w:r>
              <w:rPr>
                <w:rFonts w:eastAsiaTheme="minorEastAsia"/>
                <w:b w:val="0"/>
                <w:bCs w:val="0"/>
                <w:caps w:val="0"/>
                <w:noProof/>
                <w:sz w:val="22"/>
                <w:szCs w:val="22"/>
                <w:lang w:val="en-IN" w:eastAsia="en-IN" w:bidi="gu-IN"/>
              </w:rPr>
              <w:tab/>
            </w:r>
            <w:r w:rsidRPr="00F829C6">
              <w:rPr>
                <w:rStyle w:val="Hyperlink"/>
                <w:noProof/>
                <w:lang w:val="en-US"/>
              </w:rPr>
              <w:t>INTRODUCTION</w:t>
            </w:r>
            <w:r>
              <w:rPr>
                <w:noProof/>
                <w:webHidden/>
              </w:rPr>
              <w:tab/>
            </w:r>
            <w:r>
              <w:rPr>
                <w:noProof/>
                <w:webHidden/>
              </w:rPr>
              <w:fldChar w:fldCharType="begin"/>
            </w:r>
            <w:r>
              <w:rPr>
                <w:noProof/>
                <w:webHidden/>
              </w:rPr>
              <w:instrText xml:space="preserve"> PAGEREF _Toc214638845 \h </w:instrText>
            </w:r>
            <w:r>
              <w:rPr>
                <w:noProof/>
                <w:webHidden/>
              </w:rPr>
            </w:r>
            <w:r>
              <w:rPr>
                <w:noProof/>
                <w:webHidden/>
              </w:rPr>
              <w:fldChar w:fldCharType="separate"/>
            </w:r>
            <w:r>
              <w:rPr>
                <w:noProof/>
                <w:webHidden/>
              </w:rPr>
              <w:t>3</w:t>
            </w:r>
            <w:r>
              <w:rPr>
                <w:noProof/>
                <w:webHidden/>
              </w:rPr>
              <w:fldChar w:fldCharType="end"/>
            </w:r>
          </w:hyperlink>
        </w:p>
        <w:p w14:paraId="7782270A" w14:textId="55569FF3" w:rsidR="00B62CB4" w:rsidRDefault="00000000">
          <w:pPr>
            <w:pStyle w:val="TOC1"/>
            <w:tabs>
              <w:tab w:val="left" w:pos="480"/>
              <w:tab w:val="right" w:leader="dot" w:pos="9016"/>
            </w:tabs>
            <w:rPr>
              <w:rFonts w:eastAsiaTheme="minorEastAsia"/>
              <w:b w:val="0"/>
              <w:bCs w:val="0"/>
              <w:caps w:val="0"/>
              <w:noProof/>
              <w:sz w:val="22"/>
              <w:szCs w:val="22"/>
              <w:lang w:val="en-IN" w:eastAsia="en-IN" w:bidi="gu-IN"/>
            </w:rPr>
          </w:pPr>
          <w:hyperlink w:anchor="_Toc214638846" w:history="1">
            <w:r w:rsidR="00B62CB4" w:rsidRPr="00F829C6">
              <w:rPr>
                <w:rStyle w:val="Hyperlink"/>
                <w:noProof/>
              </w:rPr>
              <w:t>2.</w:t>
            </w:r>
            <w:r w:rsidR="00B62CB4">
              <w:rPr>
                <w:rFonts w:eastAsiaTheme="minorEastAsia"/>
                <w:b w:val="0"/>
                <w:bCs w:val="0"/>
                <w:caps w:val="0"/>
                <w:noProof/>
                <w:sz w:val="22"/>
                <w:szCs w:val="22"/>
                <w:lang w:val="en-IN" w:eastAsia="en-IN" w:bidi="gu-IN"/>
              </w:rPr>
              <w:tab/>
            </w:r>
            <w:r w:rsidR="00B62CB4" w:rsidRPr="00F829C6">
              <w:rPr>
                <w:rStyle w:val="Hyperlink"/>
                <w:noProof/>
              </w:rPr>
              <w:t>Critical Analysis of the Macro Marketing Environment</w:t>
            </w:r>
            <w:r w:rsidR="00B62CB4">
              <w:rPr>
                <w:noProof/>
                <w:webHidden/>
              </w:rPr>
              <w:tab/>
            </w:r>
            <w:r w:rsidR="00B62CB4">
              <w:rPr>
                <w:noProof/>
                <w:webHidden/>
              </w:rPr>
              <w:fldChar w:fldCharType="begin"/>
            </w:r>
            <w:r w:rsidR="00B62CB4">
              <w:rPr>
                <w:noProof/>
                <w:webHidden/>
              </w:rPr>
              <w:instrText xml:space="preserve"> PAGEREF _Toc214638846 \h </w:instrText>
            </w:r>
            <w:r w:rsidR="00B62CB4">
              <w:rPr>
                <w:noProof/>
                <w:webHidden/>
              </w:rPr>
            </w:r>
            <w:r w:rsidR="00B62CB4">
              <w:rPr>
                <w:noProof/>
                <w:webHidden/>
              </w:rPr>
              <w:fldChar w:fldCharType="separate"/>
            </w:r>
            <w:r w:rsidR="00B62CB4">
              <w:rPr>
                <w:noProof/>
                <w:webHidden/>
              </w:rPr>
              <w:t>3</w:t>
            </w:r>
            <w:r w:rsidR="00B62CB4">
              <w:rPr>
                <w:noProof/>
                <w:webHidden/>
              </w:rPr>
              <w:fldChar w:fldCharType="end"/>
            </w:r>
          </w:hyperlink>
        </w:p>
        <w:p w14:paraId="57209AB9" w14:textId="0A13EB37" w:rsidR="00B62CB4" w:rsidRDefault="00000000">
          <w:pPr>
            <w:pStyle w:val="TOC2"/>
            <w:tabs>
              <w:tab w:val="left" w:pos="880"/>
              <w:tab w:val="right" w:leader="dot" w:pos="9016"/>
            </w:tabs>
            <w:rPr>
              <w:rFonts w:eastAsiaTheme="minorEastAsia"/>
              <w:smallCaps w:val="0"/>
              <w:noProof/>
              <w:sz w:val="22"/>
              <w:szCs w:val="22"/>
              <w:lang w:val="en-IN" w:eastAsia="en-IN" w:bidi="gu-IN"/>
            </w:rPr>
          </w:pPr>
          <w:hyperlink w:anchor="_Toc214638847" w:history="1">
            <w:r w:rsidR="00B62CB4" w:rsidRPr="00F829C6">
              <w:rPr>
                <w:rStyle w:val="Hyperlink"/>
                <w:noProof/>
                <w:lang w:val="en-US"/>
              </w:rPr>
              <w:t>2.1.</w:t>
            </w:r>
            <w:r w:rsidR="00B62CB4">
              <w:rPr>
                <w:rFonts w:eastAsiaTheme="minorEastAsia"/>
                <w:smallCaps w:val="0"/>
                <w:noProof/>
                <w:sz w:val="22"/>
                <w:szCs w:val="22"/>
                <w:lang w:val="en-IN" w:eastAsia="en-IN" w:bidi="gu-IN"/>
              </w:rPr>
              <w:tab/>
            </w:r>
            <w:r w:rsidR="00B62CB4" w:rsidRPr="00F829C6">
              <w:rPr>
                <w:rStyle w:val="Hyperlink"/>
                <w:noProof/>
                <w:lang w:val="en-US"/>
              </w:rPr>
              <w:t>OVERVIEW OF THE MACRO MARKETING ENVIRONMENT</w:t>
            </w:r>
            <w:r w:rsidR="00B62CB4">
              <w:rPr>
                <w:noProof/>
                <w:webHidden/>
              </w:rPr>
              <w:tab/>
            </w:r>
            <w:r w:rsidR="00B62CB4">
              <w:rPr>
                <w:noProof/>
                <w:webHidden/>
              </w:rPr>
              <w:fldChar w:fldCharType="begin"/>
            </w:r>
            <w:r w:rsidR="00B62CB4">
              <w:rPr>
                <w:noProof/>
                <w:webHidden/>
              </w:rPr>
              <w:instrText xml:space="preserve"> PAGEREF _Toc214638847 \h </w:instrText>
            </w:r>
            <w:r w:rsidR="00B62CB4">
              <w:rPr>
                <w:noProof/>
                <w:webHidden/>
              </w:rPr>
            </w:r>
            <w:r w:rsidR="00B62CB4">
              <w:rPr>
                <w:noProof/>
                <w:webHidden/>
              </w:rPr>
              <w:fldChar w:fldCharType="separate"/>
            </w:r>
            <w:r w:rsidR="00B62CB4">
              <w:rPr>
                <w:noProof/>
                <w:webHidden/>
              </w:rPr>
              <w:t>3</w:t>
            </w:r>
            <w:r w:rsidR="00B62CB4">
              <w:rPr>
                <w:noProof/>
                <w:webHidden/>
              </w:rPr>
              <w:fldChar w:fldCharType="end"/>
            </w:r>
          </w:hyperlink>
        </w:p>
        <w:p w14:paraId="18DCA139" w14:textId="1AD8D50B" w:rsidR="00B62CB4" w:rsidRDefault="00000000">
          <w:pPr>
            <w:pStyle w:val="TOC2"/>
            <w:tabs>
              <w:tab w:val="left" w:pos="880"/>
              <w:tab w:val="right" w:leader="dot" w:pos="9016"/>
            </w:tabs>
            <w:rPr>
              <w:rFonts w:eastAsiaTheme="minorEastAsia"/>
              <w:smallCaps w:val="0"/>
              <w:noProof/>
              <w:sz w:val="22"/>
              <w:szCs w:val="22"/>
              <w:lang w:val="en-IN" w:eastAsia="en-IN" w:bidi="gu-IN"/>
            </w:rPr>
          </w:pPr>
          <w:hyperlink w:anchor="_Toc214638848" w:history="1">
            <w:r w:rsidR="00B62CB4" w:rsidRPr="00F829C6">
              <w:rPr>
                <w:rStyle w:val="Hyperlink"/>
                <w:noProof/>
              </w:rPr>
              <w:t>2.2.</w:t>
            </w:r>
            <w:r w:rsidR="00B62CB4">
              <w:rPr>
                <w:rFonts w:eastAsiaTheme="minorEastAsia"/>
                <w:smallCaps w:val="0"/>
                <w:noProof/>
                <w:sz w:val="22"/>
                <w:szCs w:val="22"/>
                <w:lang w:val="en-IN" w:eastAsia="en-IN" w:bidi="gu-IN"/>
              </w:rPr>
              <w:tab/>
            </w:r>
            <w:r w:rsidR="00B62CB4" w:rsidRPr="00F829C6">
              <w:rPr>
                <w:rStyle w:val="Hyperlink"/>
                <w:noProof/>
              </w:rPr>
              <w:t>Selection of Two External Macro Marketing Actors</w:t>
            </w:r>
            <w:r w:rsidR="00B62CB4">
              <w:rPr>
                <w:noProof/>
                <w:webHidden/>
              </w:rPr>
              <w:tab/>
            </w:r>
            <w:r w:rsidR="00B62CB4">
              <w:rPr>
                <w:noProof/>
                <w:webHidden/>
              </w:rPr>
              <w:fldChar w:fldCharType="begin"/>
            </w:r>
            <w:r w:rsidR="00B62CB4">
              <w:rPr>
                <w:noProof/>
                <w:webHidden/>
              </w:rPr>
              <w:instrText xml:space="preserve"> PAGEREF _Toc214638848 \h </w:instrText>
            </w:r>
            <w:r w:rsidR="00B62CB4">
              <w:rPr>
                <w:noProof/>
                <w:webHidden/>
              </w:rPr>
            </w:r>
            <w:r w:rsidR="00B62CB4">
              <w:rPr>
                <w:noProof/>
                <w:webHidden/>
              </w:rPr>
              <w:fldChar w:fldCharType="separate"/>
            </w:r>
            <w:r w:rsidR="00B62CB4">
              <w:rPr>
                <w:noProof/>
                <w:webHidden/>
              </w:rPr>
              <w:t>3</w:t>
            </w:r>
            <w:r w:rsidR="00B62CB4">
              <w:rPr>
                <w:noProof/>
                <w:webHidden/>
              </w:rPr>
              <w:fldChar w:fldCharType="end"/>
            </w:r>
          </w:hyperlink>
        </w:p>
        <w:p w14:paraId="6321BE67" w14:textId="453A869F" w:rsidR="00B62CB4" w:rsidRDefault="00000000">
          <w:pPr>
            <w:pStyle w:val="TOC2"/>
            <w:tabs>
              <w:tab w:val="left" w:pos="880"/>
              <w:tab w:val="right" w:leader="dot" w:pos="9016"/>
            </w:tabs>
            <w:rPr>
              <w:rFonts w:eastAsiaTheme="minorEastAsia"/>
              <w:smallCaps w:val="0"/>
              <w:noProof/>
              <w:sz w:val="22"/>
              <w:szCs w:val="22"/>
              <w:lang w:val="en-IN" w:eastAsia="en-IN" w:bidi="gu-IN"/>
            </w:rPr>
          </w:pPr>
          <w:hyperlink w:anchor="_Toc214638849" w:history="1">
            <w:r w:rsidR="00B62CB4" w:rsidRPr="00F829C6">
              <w:rPr>
                <w:rStyle w:val="Hyperlink"/>
                <w:noProof/>
              </w:rPr>
              <w:t>2.3.</w:t>
            </w:r>
            <w:r w:rsidR="00B62CB4">
              <w:rPr>
                <w:rFonts w:eastAsiaTheme="minorEastAsia"/>
                <w:smallCaps w:val="0"/>
                <w:noProof/>
                <w:sz w:val="22"/>
                <w:szCs w:val="22"/>
                <w:lang w:val="en-IN" w:eastAsia="en-IN" w:bidi="gu-IN"/>
              </w:rPr>
              <w:tab/>
            </w:r>
            <w:r w:rsidR="00B62CB4" w:rsidRPr="00F829C6">
              <w:rPr>
                <w:rStyle w:val="Hyperlink"/>
                <w:noProof/>
              </w:rPr>
              <w:t>Critical Analysis of Each Actor</w:t>
            </w:r>
            <w:r w:rsidR="00B62CB4">
              <w:rPr>
                <w:noProof/>
                <w:webHidden/>
              </w:rPr>
              <w:tab/>
            </w:r>
            <w:r w:rsidR="00B62CB4">
              <w:rPr>
                <w:noProof/>
                <w:webHidden/>
              </w:rPr>
              <w:fldChar w:fldCharType="begin"/>
            </w:r>
            <w:r w:rsidR="00B62CB4">
              <w:rPr>
                <w:noProof/>
                <w:webHidden/>
              </w:rPr>
              <w:instrText xml:space="preserve"> PAGEREF _Toc214638849 \h </w:instrText>
            </w:r>
            <w:r w:rsidR="00B62CB4">
              <w:rPr>
                <w:noProof/>
                <w:webHidden/>
              </w:rPr>
            </w:r>
            <w:r w:rsidR="00B62CB4">
              <w:rPr>
                <w:noProof/>
                <w:webHidden/>
              </w:rPr>
              <w:fldChar w:fldCharType="separate"/>
            </w:r>
            <w:r w:rsidR="00B62CB4">
              <w:rPr>
                <w:noProof/>
                <w:webHidden/>
              </w:rPr>
              <w:t>4</w:t>
            </w:r>
            <w:r w:rsidR="00B62CB4">
              <w:rPr>
                <w:noProof/>
                <w:webHidden/>
              </w:rPr>
              <w:fldChar w:fldCharType="end"/>
            </w:r>
          </w:hyperlink>
        </w:p>
        <w:p w14:paraId="20926630" w14:textId="0FCFDBDF" w:rsidR="00B62CB4" w:rsidRDefault="00000000">
          <w:pPr>
            <w:pStyle w:val="TOC3"/>
            <w:tabs>
              <w:tab w:val="left" w:pos="1320"/>
              <w:tab w:val="right" w:leader="dot" w:pos="9016"/>
            </w:tabs>
            <w:rPr>
              <w:rFonts w:eastAsiaTheme="minorEastAsia"/>
              <w:noProof/>
              <w:sz w:val="22"/>
              <w:szCs w:val="22"/>
              <w:lang w:val="en-IN" w:eastAsia="en-IN" w:bidi="gu-IN"/>
            </w:rPr>
          </w:pPr>
          <w:hyperlink w:anchor="_Toc214638850" w:history="1">
            <w:r w:rsidR="00B62CB4" w:rsidRPr="00F829C6">
              <w:rPr>
                <w:rStyle w:val="Hyperlink"/>
                <w:rFonts w:cstheme="minorHAnsi"/>
                <w:noProof/>
              </w:rPr>
              <w:t>2.3.1.</w:t>
            </w:r>
            <w:r w:rsidR="00B62CB4">
              <w:rPr>
                <w:rFonts w:eastAsiaTheme="minorEastAsia"/>
                <w:noProof/>
                <w:sz w:val="22"/>
                <w:szCs w:val="22"/>
                <w:lang w:val="en-IN" w:eastAsia="en-IN" w:bidi="gu-IN"/>
              </w:rPr>
              <w:tab/>
            </w:r>
            <w:r w:rsidR="00B62CB4" w:rsidRPr="00F829C6">
              <w:rPr>
                <w:rStyle w:val="Hyperlink"/>
                <w:noProof/>
              </w:rPr>
              <w:t>Political Actor change</w:t>
            </w:r>
            <w:r w:rsidR="00B62CB4">
              <w:rPr>
                <w:noProof/>
                <w:webHidden/>
              </w:rPr>
              <w:tab/>
            </w:r>
            <w:r w:rsidR="00B62CB4">
              <w:rPr>
                <w:noProof/>
                <w:webHidden/>
              </w:rPr>
              <w:fldChar w:fldCharType="begin"/>
            </w:r>
            <w:r w:rsidR="00B62CB4">
              <w:rPr>
                <w:noProof/>
                <w:webHidden/>
              </w:rPr>
              <w:instrText xml:space="preserve"> PAGEREF _Toc214638850 \h </w:instrText>
            </w:r>
            <w:r w:rsidR="00B62CB4">
              <w:rPr>
                <w:noProof/>
                <w:webHidden/>
              </w:rPr>
            </w:r>
            <w:r w:rsidR="00B62CB4">
              <w:rPr>
                <w:noProof/>
                <w:webHidden/>
              </w:rPr>
              <w:fldChar w:fldCharType="separate"/>
            </w:r>
            <w:r w:rsidR="00B62CB4">
              <w:rPr>
                <w:noProof/>
                <w:webHidden/>
              </w:rPr>
              <w:t>4</w:t>
            </w:r>
            <w:r w:rsidR="00B62CB4">
              <w:rPr>
                <w:noProof/>
                <w:webHidden/>
              </w:rPr>
              <w:fldChar w:fldCharType="end"/>
            </w:r>
          </w:hyperlink>
        </w:p>
        <w:p w14:paraId="2B670114" w14:textId="6DDC4E33" w:rsidR="00B62CB4" w:rsidRDefault="00000000">
          <w:pPr>
            <w:pStyle w:val="TOC3"/>
            <w:tabs>
              <w:tab w:val="left" w:pos="1320"/>
              <w:tab w:val="right" w:leader="dot" w:pos="9016"/>
            </w:tabs>
            <w:rPr>
              <w:rFonts w:eastAsiaTheme="minorEastAsia"/>
              <w:noProof/>
              <w:sz w:val="22"/>
              <w:szCs w:val="22"/>
              <w:lang w:val="en-IN" w:eastAsia="en-IN" w:bidi="gu-IN"/>
            </w:rPr>
          </w:pPr>
          <w:hyperlink w:anchor="_Toc214638851" w:history="1">
            <w:r w:rsidR="00B62CB4" w:rsidRPr="00F829C6">
              <w:rPr>
                <w:rStyle w:val="Hyperlink"/>
                <w:noProof/>
              </w:rPr>
              <w:t>2.3.2.</w:t>
            </w:r>
            <w:r w:rsidR="00B62CB4">
              <w:rPr>
                <w:rFonts w:eastAsiaTheme="minorEastAsia"/>
                <w:noProof/>
                <w:sz w:val="22"/>
                <w:szCs w:val="22"/>
                <w:lang w:val="en-IN" w:eastAsia="en-IN" w:bidi="gu-IN"/>
              </w:rPr>
              <w:tab/>
            </w:r>
            <w:r w:rsidR="00B62CB4" w:rsidRPr="00F829C6">
              <w:rPr>
                <w:rStyle w:val="Hyperlink"/>
                <w:noProof/>
              </w:rPr>
              <w:t>Social Actor Change</w:t>
            </w:r>
            <w:r w:rsidR="00B62CB4">
              <w:rPr>
                <w:noProof/>
                <w:webHidden/>
              </w:rPr>
              <w:tab/>
            </w:r>
            <w:r w:rsidR="00B62CB4">
              <w:rPr>
                <w:noProof/>
                <w:webHidden/>
              </w:rPr>
              <w:fldChar w:fldCharType="begin"/>
            </w:r>
            <w:r w:rsidR="00B62CB4">
              <w:rPr>
                <w:noProof/>
                <w:webHidden/>
              </w:rPr>
              <w:instrText xml:space="preserve"> PAGEREF _Toc214638851 \h </w:instrText>
            </w:r>
            <w:r w:rsidR="00B62CB4">
              <w:rPr>
                <w:noProof/>
                <w:webHidden/>
              </w:rPr>
            </w:r>
            <w:r w:rsidR="00B62CB4">
              <w:rPr>
                <w:noProof/>
                <w:webHidden/>
              </w:rPr>
              <w:fldChar w:fldCharType="separate"/>
            </w:r>
            <w:r w:rsidR="00B62CB4">
              <w:rPr>
                <w:noProof/>
                <w:webHidden/>
              </w:rPr>
              <w:t>5</w:t>
            </w:r>
            <w:r w:rsidR="00B62CB4">
              <w:rPr>
                <w:noProof/>
                <w:webHidden/>
              </w:rPr>
              <w:fldChar w:fldCharType="end"/>
            </w:r>
          </w:hyperlink>
        </w:p>
        <w:p w14:paraId="29A1143D" w14:textId="4E166996" w:rsidR="00B62CB4" w:rsidRDefault="00000000">
          <w:pPr>
            <w:pStyle w:val="TOC2"/>
            <w:tabs>
              <w:tab w:val="left" w:pos="880"/>
              <w:tab w:val="right" w:leader="dot" w:pos="9016"/>
            </w:tabs>
            <w:rPr>
              <w:rFonts w:eastAsiaTheme="minorEastAsia"/>
              <w:smallCaps w:val="0"/>
              <w:noProof/>
              <w:sz w:val="22"/>
              <w:szCs w:val="22"/>
              <w:lang w:val="en-IN" w:eastAsia="en-IN" w:bidi="gu-IN"/>
            </w:rPr>
          </w:pPr>
          <w:hyperlink w:anchor="_Toc214638852" w:history="1">
            <w:r w:rsidR="00B62CB4" w:rsidRPr="00F829C6">
              <w:rPr>
                <w:rStyle w:val="Hyperlink"/>
                <w:noProof/>
              </w:rPr>
              <w:t>2.4.</w:t>
            </w:r>
            <w:r w:rsidR="00B62CB4">
              <w:rPr>
                <w:rFonts w:eastAsiaTheme="minorEastAsia"/>
                <w:smallCaps w:val="0"/>
                <w:noProof/>
                <w:sz w:val="22"/>
                <w:szCs w:val="22"/>
                <w:lang w:val="en-IN" w:eastAsia="en-IN" w:bidi="gu-IN"/>
              </w:rPr>
              <w:tab/>
            </w:r>
            <w:r w:rsidR="00B62CB4" w:rsidRPr="00F829C6">
              <w:rPr>
                <w:rStyle w:val="Hyperlink"/>
                <w:noProof/>
              </w:rPr>
              <w:t>IMPLIFICATION OF PIONEER AND FOLLOWER BANK</w:t>
            </w:r>
            <w:r w:rsidR="00B62CB4">
              <w:rPr>
                <w:noProof/>
                <w:webHidden/>
              </w:rPr>
              <w:tab/>
            </w:r>
            <w:r w:rsidR="00B62CB4">
              <w:rPr>
                <w:noProof/>
                <w:webHidden/>
              </w:rPr>
              <w:fldChar w:fldCharType="begin"/>
            </w:r>
            <w:r w:rsidR="00B62CB4">
              <w:rPr>
                <w:noProof/>
                <w:webHidden/>
              </w:rPr>
              <w:instrText xml:space="preserve"> PAGEREF _Toc214638852 \h </w:instrText>
            </w:r>
            <w:r w:rsidR="00B62CB4">
              <w:rPr>
                <w:noProof/>
                <w:webHidden/>
              </w:rPr>
            </w:r>
            <w:r w:rsidR="00B62CB4">
              <w:rPr>
                <w:noProof/>
                <w:webHidden/>
              </w:rPr>
              <w:fldChar w:fldCharType="separate"/>
            </w:r>
            <w:r w:rsidR="00B62CB4">
              <w:rPr>
                <w:noProof/>
                <w:webHidden/>
              </w:rPr>
              <w:t>6</w:t>
            </w:r>
            <w:r w:rsidR="00B62CB4">
              <w:rPr>
                <w:noProof/>
                <w:webHidden/>
              </w:rPr>
              <w:fldChar w:fldCharType="end"/>
            </w:r>
          </w:hyperlink>
        </w:p>
        <w:p w14:paraId="239235F0" w14:textId="7944F104" w:rsidR="00B62CB4" w:rsidRDefault="00000000">
          <w:pPr>
            <w:pStyle w:val="TOC1"/>
            <w:tabs>
              <w:tab w:val="left" w:pos="480"/>
              <w:tab w:val="right" w:leader="dot" w:pos="9016"/>
            </w:tabs>
            <w:rPr>
              <w:rFonts w:eastAsiaTheme="minorEastAsia"/>
              <w:b w:val="0"/>
              <w:bCs w:val="0"/>
              <w:caps w:val="0"/>
              <w:noProof/>
              <w:sz w:val="22"/>
              <w:szCs w:val="22"/>
              <w:lang w:val="en-IN" w:eastAsia="en-IN" w:bidi="gu-IN"/>
            </w:rPr>
          </w:pPr>
          <w:hyperlink w:anchor="_Toc214638853" w:history="1">
            <w:r w:rsidR="00B62CB4" w:rsidRPr="00F829C6">
              <w:rPr>
                <w:rStyle w:val="Hyperlink"/>
                <w:noProof/>
              </w:rPr>
              <w:t>3.</w:t>
            </w:r>
            <w:r w:rsidR="00B62CB4">
              <w:rPr>
                <w:rFonts w:eastAsiaTheme="minorEastAsia"/>
                <w:b w:val="0"/>
                <w:bCs w:val="0"/>
                <w:caps w:val="0"/>
                <w:noProof/>
                <w:sz w:val="22"/>
                <w:szCs w:val="22"/>
                <w:lang w:val="en-IN" w:eastAsia="en-IN" w:bidi="gu-IN"/>
              </w:rPr>
              <w:tab/>
            </w:r>
            <w:r w:rsidR="00B62CB4" w:rsidRPr="00F829C6">
              <w:rPr>
                <w:rStyle w:val="Hyperlink"/>
                <w:noProof/>
              </w:rPr>
              <w:t>Strategic Responses of Pioneering and Follower Organisations</w:t>
            </w:r>
            <w:r w:rsidR="00B62CB4">
              <w:rPr>
                <w:noProof/>
                <w:webHidden/>
              </w:rPr>
              <w:tab/>
            </w:r>
            <w:r w:rsidR="00B62CB4">
              <w:rPr>
                <w:noProof/>
                <w:webHidden/>
              </w:rPr>
              <w:fldChar w:fldCharType="begin"/>
            </w:r>
            <w:r w:rsidR="00B62CB4">
              <w:rPr>
                <w:noProof/>
                <w:webHidden/>
              </w:rPr>
              <w:instrText xml:space="preserve"> PAGEREF _Toc214638853 \h </w:instrText>
            </w:r>
            <w:r w:rsidR="00B62CB4">
              <w:rPr>
                <w:noProof/>
                <w:webHidden/>
              </w:rPr>
            </w:r>
            <w:r w:rsidR="00B62CB4">
              <w:rPr>
                <w:noProof/>
                <w:webHidden/>
              </w:rPr>
              <w:fldChar w:fldCharType="separate"/>
            </w:r>
            <w:r w:rsidR="00B62CB4">
              <w:rPr>
                <w:noProof/>
                <w:webHidden/>
              </w:rPr>
              <w:t>7</w:t>
            </w:r>
            <w:r w:rsidR="00B62CB4">
              <w:rPr>
                <w:noProof/>
                <w:webHidden/>
              </w:rPr>
              <w:fldChar w:fldCharType="end"/>
            </w:r>
          </w:hyperlink>
        </w:p>
        <w:p w14:paraId="3B2C007E" w14:textId="19126E83" w:rsidR="00B62CB4" w:rsidRDefault="00000000">
          <w:pPr>
            <w:pStyle w:val="TOC2"/>
            <w:tabs>
              <w:tab w:val="left" w:pos="880"/>
              <w:tab w:val="right" w:leader="dot" w:pos="9016"/>
            </w:tabs>
            <w:rPr>
              <w:rFonts w:eastAsiaTheme="minorEastAsia"/>
              <w:smallCaps w:val="0"/>
              <w:noProof/>
              <w:sz w:val="22"/>
              <w:szCs w:val="22"/>
              <w:lang w:val="en-IN" w:eastAsia="en-IN" w:bidi="gu-IN"/>
            </w:rPr>
          </w:pPr>
          <w:hyperlink w:anchor="_Toc214638854" w:history="1">
            <w:r w:rsidR="00B62CB4" w:rsidRPr="00F829C6">
              <w:rPr>
                <w:rStyle w:val="Hyperlink"/>
                <w:noProof/>
              </w:rPr>
              <w:t>3.1.</w:t>
            </w:r>
            <w:r w:rsidR="00B62CB4">
              <w:rPr>
                <w:rFonts w:eastAsiaTheme="minorEastAsia"/>
                <w:smallCaps w:val="0"/>
                <w:noProof/>
                <w:sz w:val="22"/>
                <w:szCs w:val="22"/>
                <w:lang w:val="en-IN" w:eastAsia="en-IN" w:bidi="gu-IN"/>
              </w:rPr>
              <w:tab/>
            </w:r>
            <w:r w:rsidR="00B62CB4" w:rsidRPr="00F829C6">
              <w:rPr>
                <w:rStyle w:val="Hyperlink"/>
                <w:noProof/>
              </w:rPr>
              <w:t>Pioneering Organisations’ Strategic Responses</w:t>
            </w:r>
            <w:r w:rsidR="00B62CB4">
              <w:rPr>
                <w:noProof/>
                <w:webHidden/>
              </w:rPr>
              <w:tab/>
            </w:r>
            <w:r w:rsidR="00B62CB4">
              <w:rPr>
                <w:noProof/>
                <w:webHidden/>
              </w:rPr>
              <w:fldChar w:fldCharType="begin"/>
            </w:r>
            <w:r w:rsidR="00B62CB4">
              <w:rPr>
                <w:noProof/>
                <w:webHidden/>
              </w:rPr>
              <w:instrText xml:space="preserve"> PAGEREF _Toc214638854 \h </w:instrText>
            </w:r>
            <w:r w:rsidR="00B62CB4">
              <w:rPr>
                <w:noProof/>
                <w:webHidden/>
              </w:rPr>
            </w:r>
            <w:r w:rsidR="00B62CB4">
              <w:rPr>
                <w:noProof/>
                <w:webHidden/>
              </w:rPr>
              <w:fldChar w:fldCharType="separate"/>
            </w:r>
            <w:r w:rsidR="00B62CB4">
              <w:rPr>
                <w:noProof/>
                <w:webHidden/>
              </w:rPr>
              <w:t>7</w:t>
            </w:r>
            <w:r w:rsidR="00B62CB4">
              <w:rPr>
                <w:noProof/>
                <w:webHidden/>
              </w:rPr>
              <w:fldChar w:fldCharType="end"/>
            </w:r>
          </w:hyperlink>
        </w:p>
        <w:p w14:paraId="221BC67B" w14:textId="29C02D21" w:rsidR="00B62CB4" w:rsidRDefault="00000000">
          <w:pPr>
            <w:pStyle w:val="TOC2"/>
            <w:tabs>
              <w:tab w:val="left" w:pos="880"/>
              <w:tab w:val="right" w:leader="dot" w:pos="9016"/>
            </w:tabs>
            <w:rPr>
              <w:rFonts w:eastAsiaTheme="minorEastAsia"/>
              <w:smallCaps w:val="0"/>
              <w:noProof/>
              <w:sz w:val="22"/>
              <w:szCs w:val="22"/>
              <w:lang w:val="en-IN" w:eastAsia="en-IN" w:bidi="gu-IN"/>
            </w:rPr>
          </w:pPr>
          <w:hyperlink w:anchor="_Toc214638855" w:history="1">
            <w:r w:rsidR="00B62CB4" w:rsidRPr="00F829C6">
              <w:rPr>
                <w:rStyle w:val="Hyperlink"/>
                <w:noProof/>
              </w:rPr>
              <w:t>3.2.</w:t>
            </w:r>
            <w:r w:rsidR="00B62CB4">
              <w:rPr>
                <w:rFonts w:eastAsiaTheme="minorEastAsia"/>
                <w:smallCaps w:val="0"/>
                <w:noProof/>
                <w:sz w:val="22"/>
                <w:szCs w:val="22"/>
                <w:lang w:val="en-IN" w:eastAsia="en-IN" w:bidi="gu-IN"/>
              </w:rPr>
              <w:tab/>
            </w:r>
            <w:r w:rsidR="00B62CB4" w:rsidRPr="00F829C6">
              <w:rPr>
                <w:rStyle w:val="Hyperlink"/>
                <w:noProof/>
              </w:rPr>
              <w:t>Follower Organisations’ Strategic Responses</w:t>
            </w:r>
            <w:r w:rsidR="00B62CB4">
              <w:rPr>
                <w:noProof/>
                <w:webHidden/>
              </w:rPr>
              <w:tab/>
            </w:r>
            <w:r w:rsidR="00B62CB4">
              <w:rPr>
                <w:noProof/>
                <w:webHidden/>
              </w:rPr>
              <w:fldChar w:fldCharType="begin"/>
            </w:r>
            <w:r w:rsidR="00B62CB4">
              <w:rPr>
                <w:noProof/>
                <w:webHidden/>
              </w:rPr>
              <w:instrText xml:space="preserve"> PAGEREF _Toc214638855 \h </w:instrText>
            </w:r>
            <w:r w:rsidR="00B62CB4">
              <w:rPr>
                <w:noProof/>
                <w:webHidden/>
              </w:rPr>
            </w:r>
            <w:r w:rsidR="00B62CB4">
              <w:rPr>
                <w:noProof/>
                <w:webHidden/>
              </w:rPr>
              <w:fldChar w:fldCharType="separate"/>
            </w:r>
            <w:r w:rsidR="00B62CB4">
              <w:rPr>
                <w:noProof/>
                <w:webHidden/>
              </w:rPr>
              <w:t>7</w:t>
            </w:r>
            <w:r w:rsidR="00B62CB4">
              <w:rPr>
                <w:noProof/>
                <w:webHidden/>
              </w:rPr>
              <w:fldChar w:fldCharType="end"/>
            </w:r>
          </w:hyperlink>
        </w:p>
        <w:p w14:paraId="1E9A14F5" w14:textId="417C8CCF" w:rsidR="00B62CB4" w:rsidRDefault="00000000">
          <w:pPr>
            <w:pStyle w:val="TOC2"/>
            <w:tabs>
              <w:tab w:val="left" w:pos="880"/>
              <w:tab w:val="right" w:leader="dot" w:pos="9016"/>
            </w:tabs>
            <w:rPr>
              <w:rFonts w:eastAsiaTheme="minorEastAsia"/>
              <w:smallCaps w:val="0"/>
              <w:noProof/>
              <w:sz w:val="22"/>
              <w:szCs w:val="22"/>
              <w:lang w:val="en-IN" w:eastAsia="en-IN" w:bidi="gu-IN"/>
            </w:rPr>
          </w:pPr>
          <w:hyperlink w:anchor="_Toc214638856" w:history="1">
            <w:r w:rsidR="00B62CB4" w:rsidRPr="00F829C6">
              <w:rPr>
                <w:rStyle w:val="Hyperlink"/>
                <w:noProof/>
              </w:rPr>
              <w:t>3.3.</w:t>
            </w:r>
            <w:r w:rsidR="00B62CB4">
              <w:rPr>
                <w:rFonts w:eastAsiaTheme="minorEastAsia"/>
                <w:smallCaps w:val="0"/>
                <w:noProof/>
                <w:sz w:val="22"/>
                <w:szCs w:val="22"/>
                <w:lang w:val="en-IN" w:eastAsia="en-IN" w:bidi="gu-IN"/>
              </w:rPr>
              <w:tab/>
            </w:r>
            <w:r w:rsidR="00B62CB4" w:rsidRPr="00F829C6">
              <w:rPr>
                <w:rStyle w:val="Hyperlink"/>
                <w:noProof/>
              </w:rPr>
              <w:t>Cross Analysis of pioneer and follower bank Strategic Responses</w:t>
            </w:r>
            <w:r w:rsidR="00B62CB4">
              <w:rPr>
                <w:noProof/>
                <w:webHidden/>
              </w:rPr>
              <w:tab/>
            </w:r>
            <w:r w:rsidR="00B62CB4">
              <w:rPr>
                <w:noProof/>
                <w:webHidden/>
              </w:rPr>
              <w:fldChar w:fldCharType="begin"/>
            </w:r>
            <w:r w:rsidR="00B62CB4">
              <w:rPr>
                <w:noProof/>
                <w:webHidden/>
              </w:rPr>
              <w:instrText xml:space="preserve"> PAGEREF _Toc214638856 \h </w:instrText>
            </w:r>
            <w:r w:rsidR="00B62CB4">
              <w:rPr>
                <w:noProof/>
                <w:webHidden/>
              </w:rPr>
            </w:r>
            <w:r w:rsidR="00B62CB4">
              <w:rPr>
                <w:noProof/>
                <w:webHidden/>
              </w:rPr>
              <w:fldChar w:fldCharType="separate"/>
            </w:r>
            <w:r w:rsidR="00B62CB4">
              <w:rPr>
                <w:noProof/>
                <w:webHidden/>
              </w:rPr>
              <w:t>8</w:t>
            </w:r>
            <w:r w:rsidR="00B62CB4">
              <w:rPr>
                <w:noProof/>
                <w:webHidden/>
              </w:rPr>
              <w:fldChar w:fldCharType="end"/>
            </w:r>
          </w:hyperlink>
        </w:p>
        <w:p w14:paraId="1822BE4B" w14:textId="44004C18" w:rsidR="00B62CB4" w:rsidRDefault="00000000">
          <w:pPr>
            <w:pStyle w:val="TOC1"/>
            <w:tabs>
              <w:tab w:val="left" w:pos="480"/>
              <w:tab w:val="right" w:leader="dot" w:pos="9016"/>
            </w:tabs>
            <w:rPr>
              <w:rFonts w:eastAsiaTheme="minorEastAsia"/>
              <w:b w:val="0"/>
              <w:bCs w:val="0"/>
              <w:caps w:val="0"/>
              <w:noProof/>
              <w:sz w:val="22"/>
              <w:szCs w:val="22"/>
              <w:lang w:val="en-IN" w:eastAsia="en-IN" w:bidi="gu-IN"/>
            </w:rPr>
          </w:pPr>
          <w:hyperlink w:anchor="_Toc214638857" w:history="1">
            <w:r w:rsidR="00B62CB4" w:rsidRPr="00F829C6">
              <w:rPr>
                <w:rStyle w:val="Hyperlink"/>
                <w:noProof/>
              </w:rPr>
              <w:t>4.</w:t>
            </w:r>
            <w:r w:rsidR="00B62CB4">
              <w:rPr>
                <w:rFonts w:eastAsiaTheme="minorEastAsia"/>
                <w:b w:val="0"/>
                <w:bCs w:val="0"/>
                <w:caps w:val="0"/>
                <w:noProof/>
                <w:sz w:val="22"/>
                <w:szCs w:val="22"/>
                <w:lang w:val="en-IN" w:eastAsia="en-IN" w:bidi="gu-IN"/>
              </w:rPr>
              <w:tab/>
            </w:r>
            <w:r w:rsidR="00B62CB4" w:rsidRPr="00F829C6">
              <w:rPr>
                <w:rStyle w:val="Hyperlink"/>
                <w:noProof/>
              </w:rPr>
              <w:t>CONCLUSION</w:t>
            </w:r>
            <w:r w:rsidR="00B62CB4">
              <w:rPr>
                <w:noProof/>
                <w:webHidden/>
              </w:rPr>
              <w:tab/>
            </w:r>
            <w:r w:rsidR="00B62CB4">
              <w:rPr>
                <w:noProof/>
                <w:webHidden/>
              </w:rPr>
              <w:fldChar w:fldCharType="begin"/>
            </w:r>
            <w:r w:rsidR="00B62CB4">
              <w:rPr>
                <w:noProof/>
                <w:webHidden/>
              </w:rPr>
              <w:instrText xml:space="preserve"> PAGEREF _Toc214638857 \h </w:instrText>
            </w:r>
            <w:r w:rsidR="00B62CB4">
              <w:rPr>
                <w:noProof/>
                <w:webHidden/>
              </w:rPr>
            </w:r>
            <w:r w:rsidR="00B62CB4">
              <w:rPr>
                <w:noProof/>
                <w:webHidden/>
              </w:rPr>
              <w:fldChar w:fldCharType="separate"/>
            </w:r>
            <w:r w:rsidR="00B62CB4">
              <w:rPr>
                <w:noProof/>
                <w:webHidden/>
              </w:rPr>
              <w:t>9</w:t>
            </w:r>
            <w:r w:rsidR="00B62CB4">
              <w:rPr>
                <w:noProof/>
                <w:webHidden/>
              </w:rPr>
              <w:fldChar w:fldCharType="end"/>
            </w:r>
          </w:hyperlink>
        </w:p>
        <w:p w14:paraId="07EAFB12" w14:textId="2F5E8CFB" w:rsidR="00B62CB4" w:rsidRDefault="00000000">
          <w:pPr>
            <w:pStyle w:val="TOC1"/>
            <w:tabs>
              <w:tab w:val="left" w:pos="480"/>
              <w:tab w:val="right" w:leader="dot" w:pos="9016"/>
            </w:tabs>
            <w:rPr>
              <w:rFonts w:eastAsiaTheme="minorEastAsia"/>
              <w:b w:val="0"/>
              <w:bCs w:val="0"/>
              <w:caps w:val="0"/>
              <w:noProof/>
              <w:sz w:val="22"/>
              <w:szCs w:val="22"/>
              <w:lang w:val="en-IN" w:eastAsia="en-IN" w:bidi="gu-IN"/>
            </w:rPr>
          </w:pPr>
          <w:hyperlink w:anchor="_Toc214638858" w:history="1">
            <w:r w:rsidR="00B62CB4" w:rsidRPr="00F829C6">
              <w:rPr>
                <w:rStyle w:val="Hyperlink"/>
                <w:noProof/>
              </w:rPr>
              <w:t>5.</w:t>
            </w:r>
            <w:r w:rsidR="00B62CB4">
              <w:rPr>
                <w:rFonts w:eastAsiaTheme="minorEastAsia"/>
                <w:b w:val="0"/>
                <w:bCs w:val="0"/>
                <w:caps w:val="0"/>
                <w:noProof/>
                <w:sz w:val="22"/>
                <w:szCs w:val="22"/>
                <w:lang w:val="en-IN" w:eastAsia="en-IN" w:bidi="gu-IN"/>
              </w:rPr>
              <w:tab/>
            </w:r>
            <w:r w:rsidR="00B62CB4" w:rsidRPr="00F829C6">
              <w:rPr>
                <w:rStyle w:val="Hyperlink"/>
                <w:noProof/>
              </w:rPr>
              <w:t>REFERENCES</w:t>
            </w:r>
            <w:r w:rsidR="00B62CB4">
              <w:rPr>
                <w:noProof/>
                <w:webHidden/>
              </w:rPr>
              <w:tab/>
            </w:r>
            <w:r w:rsidR="00B62CB4">
              <w:rPr>
                <w:noProof/>
                <w:webHidden/>
              </w:rPr>
              <w:fldChar w:fldCharType="begin"/>
            </w:r>
            <w:r w:rsidR="00B62CB4">
              <w:rPr>
                <w:noProof/>
                <w:webHidden/>
              </w:rPr>
              <w:instrText xml:space="preserve"> PAGEREF _Toc214638858 \h </w:instrText>
            </w:r>
            <w:r w:rsidR="00B62CB4">
              <w:rPr>
                <w:noProof/>
                <w:webHidden/>
              </w:rPr>
            </w:r>
            <w:r w:rsidR="00B62CB4">
              <w:rPr>
                <w:noProof/>
                <w:webHidden/>
              </w:rPr>
              <w:fldChar w:fldCharType="separate"/>
            </w:r>
            <w:r w:rsidR="00B62CB4">
              <w:rPr>
                <w:noProof/>
                <w:webHidden/>
              </w:rPr>
              <w:t>9</w:t>
            </w:r>
            <w:r w:rsidR="00B62CB4">
              <w:rPr>
                <w:noProof/>
                <w:webHidden/>
              </w:rPr>
              <w:fldChar w:fldCharType="end"/>
            </w:r>
          </w:hyperlink>
        </w:p>
        <w:p w14:paraId="72A8A451" w14:textId="59535246" w:rsidR="00B62CB4" w:rsidRDefault="00B62CB4">
          <w:r>
            <w:rPr>
              <w:b/>
              <w:bCs/>
              <w:noProof/>
            </w:rPr>
            <w:fldChar w:fldCharType="end"/>
          </w:r>
        </w:p>
      </w:sdtContent>
    </w:sdt>
    <w:p w14:paraId="0A3EBE5D" w14:textId="77777777" w:rsidR="00093DB6" w:rsidRPr="00093DB6" w:rsidRDefault="00093DB6" w:rsidP="00093DB6">
      <w:pPr>
        <w:rPr>
          <w:lang w:val="en-US"/>
        </w:rPr>
      </w:pPr>
    </w:p>
    <w:p w14:paraId="40B1B8CB" w14:textId="77777777" w:rsidR="00AF2C03" w:rsidRDefault="00AF2C03">
      <w:pPr>
        <w:rPr>
          <w:lang w:val="en-US"/>
        </w:rPr>
      </w:pPr>
    </w:p>
    <w:p w14:paraId="30DF199E" w14:textId="77777777" w:rsidR="00AF2C03" w:rsidRDefault="00AF2C03">
      <w:pPr>
        <w:rPr>
          <w:lang w:val="en-US"/>
        </w:rPr>
      </w:pPr>
    </w:p>
    <w:p w14:paraId="1FA59A98" w14:textId="77777777" w:rsidR="00AF2C03" w:rsidRDefault="00AF2C03">
      <w:pPr>
        <w:rPr>
          <w:lang w:val="en-US"/>
        </w:rPr>
      </w:pPr>
    </w:p>
    <w:p w14:paraId="3CBC3BE3" w14:textId="77777777" w:rsidR="00AF2C03" w:rsidRDefault="00AF2C03">
      <w:pPr>
        <w:rPr>
          <w:lang w:val="en-US"/>
        </w:rPr>
      </w:pPr>
    </w:p>
    <w:p w14:paraId="1E04A8A5" w14:textId="77777777" w:rsidR="00AF2C03" w:rsidRDefault="00AF2C03">
      <w:pPr>
        <w:rPr>
          <w:lang w:val="en-US"/>
        </w:rPr>
      </w:pPr>
    </w:p>
    <w:p w14:paraId="63CC2AEA" w14:textId="77777777" w:rsidR="00AF2C03" w:rsidRDefault="00AF2C03">
      <w:pPr>
        <w:rPr>
          <w:lang w:val="en-US"/>
        </w:rPr>
      </w:pPr>
    </w:p>
    <w:p w14:paraId="080FEAEF" w14:textId="77777777" w:rsidR="00AF2C03" w:rsidRDefault="00AF2C03">
      <w:pPr>
        <w:rPr>
          <w:lang w:val="en-US"/>
        </w:rPr>
      </w:pPr>
    </w:p>
    <w:p w14:paraId="5A3D81E2" w14:textId="77777777" w:rsidR="00AF2C03" w:rsidRDefault="00AF2C03">
      <w:pPr>
        <w:rPr>
          <w:lang w:val="en-US"/>
        </w:rPr>
      </w:pPr>
    </w:p>
    <w:p w14:paraId="6EF9CF44" w14:textId="77777777" w:rsidR="00AF2C03" w:rsidRDefault="00AF2C03">
      <w:pPr>
        <w:rPr>
          <w:lang w:val="en-US"/>
        </w:rPr>
      </w:pPr>
    </w:p>
    <w:p w14:paraId="656A84C0" w14:textId="77777777" w:rsidR="00AF2C03" w:rsidRDefault="00AF2C03">
      <w:pPr>
        <w:rPr>
          <w:lang w:val="en-US"/>
        </w:rPr>
      </w:pPr>
    </w:p>
    <w:p w14:paraId="68A3F176" w14:textId="77777777" w:rsidR="00AF2C03" w:rsidRDefault="00AF2C03">
      <w:pPr>
        <w:rPr>
          <w:lang w:val="en-US"/>
        </w:rPr>
      </w:pPr>
    </w:p>
    <w:p w14:paraId="014AAD71" w14:textId="77777777" w:rsidR="00AF2C03" w:rsidRDefault="00AF2C03">
      <w:pPr>
        <w:rPr>
          <w:lang w:val="en-US"/>
        </w:rPr>
      </w:pPr>
    </w:p>
    <w:p w14:paraId="14D2AA21" w14:textId="77777777" w:rsidR="00AF2C03" w:rsidRDefault="00AF2C03">
      <w:pPr>
        <w:rPr>
          <w:lang w:val="en-US"/>
        </w:rPr>
      </w:pPr>
    </w:p>
    <w:p w14:paraId="49D5F4F6" w14:textId="77777777" w:rsidR="00AF2C03" w:rsidRDefault="00AF2C03">
      <w:pPr>
        <w:rPr>
          <w:lang w:val="en-US"/>
        </w:rPr>
      </w:pPr>
    </w:p>
    <w:p w14:paraId="585A8752" w14:textId="77777777" w:rsidR="00AF2C03" w:rsidRDefault="00AF2C03">
      <w:pPr>
        <w:rPr>
          <w:lang w:val="en-US"/>
        </w:rPr>
      </w:pPr>
    </w:p>
    <w:p w14:paraId="1D401C44" w14:textId="77777777" w:rsidR="00AF2C03" w:rsidRDefault="00AF2C03">
      <w:pPr>
        <w:rPr>
          <w:lang w:val="en-US"/>
        </w:rPr>
      </w:pPr>
    </w:p>
    <w:p w14:paraId="08D9BF67" w14:textId="77777777" w:rsidR="00AF2C03" w:rsidRDefault="00AF2C03">
      <w:pPr>
        <w:rPr>
          <w:lang w:val="en-US"/>
        </w:rPr>
      </w:pPr>
    </w:p>
    <w:p w14:paraId="58816772" w14:textId="77777777" w:rsidR="00AF2C03" w:rsidRDefault="00AF2C03">
      <w:pPr>
        <w:rPr>
          <w:lang w:val="en-US"/>
        </w:rPr>
      </w:pPr>
    </w:p>
    <w:p w14:paraId="49F7D48A" w14:textId="77777777" w:rsidR="00AF2C03" w:rsidRDefault="00AF2C03">
      <w:pPr>
        <w:rPr>
          <w:lang w:val="en-US"/>
        </w:rPr>
      </w:pPr>
    </w:p>
    <w:p w14:paraId="267B2D07" w14:textId="77777777" w:rsidR="00AF2C03" w:rsidRDefault="00AF2C03">
      <w:pPr>
        <w:rPr>
          <w:lang w:val="en-US"/>
        </w:rPr>
      </w:pPr>
    </w:p>
    <w:p w14:paraId="387DACCF" w14:textId="77777777" w:rsidR="00AF2C03" w:rsidRDefault="00AF2C03">
      <w:pPr>
        <w:rPr>
          <w:lang w:val="en-US"/>
        </w:rPr>
      </w:pPr>
    </w:p>
    <w:p w14:paraId="74335B21" w14:textId="77777777" w:rsidR="00AF2C03" w:rsidRDefault="00AF2C03">
      <w:pPr>
        <w:rPr>
          <w:lang w:val="en-US"/>
        </w:rPr>
      </w:pPr>
    </w:p>
    <w:p w14:paraId="24405AFC" w14:textId="77777777" w:rsidR="00AF2C03" w:rsidRDefault="00AF2C03">
      <w:pPr>
        <w:rPr>
          <w:lang w:val="en-US"/>
        </w:rPr>
      </w:pPr>
    </w:p>
    <w:p w14:paraId="19DA5349" w14:textId="77777777" w:rsidR="00AF2C03" w:rsidRDefault="00AF2C03">
      <w:pPr>
        <w:rPr>
          <w:lang w:val="en-US"/>
        </w:rPr>
      </w:pPr>
    </w:p>
    <w:p w14:paraId="5DE6E7B8" w14:textId="77777777" w:rsidR="00AF2C03" w:rsidRDefault="00AF2C03">
      <w:pPr>
        <w:rPr>
          <w:lang w:val="en-US"/>
        </w:rPr>
      </w:pPr>
    </w:p>
    <w:p w14:paraId="0988AEA4" w14:textId="77777777" w:rsidR="00AF2C03" w:rsidRDefault="00AF2C03">
      <w:pPr>
        <w:rPr>
          <w:lang w:val="en-US"/>
        </w:rPr>
      </w:pPr>
    </w:p>
    <w:p w14:paraId="35BF6135" w14:textId="77777777" w:rsidR="00AF2C03" w:rsidRDefault="00AF2C03">
      <w:pPr>
        <w:rPr>
          <w:lang w:val="en-US"/>
        </w:rPr>
      </w:pPr>
    </w:p>
    <w:p w14:paraId="658C07C9" w14:textId="77777777" w:rsidR="00AF2C03" w:rsidRDefault="00AF2C03">
      <w:pPr>
        <w:rPr>
          <w:lang w:val="en-US"/>
        </w:rPr>
      </w:pPr>
    </w:p>
    <w:p w14:paraId="79E533CD" w14:textId="77777777" w:rsidR="005D2A29" w:rsidRDefault="005D2A29" w:rsidP="005D2A29">
      <w:pPr>
        <w:rPr>
          <w:lang w:val="en-US"/>
        </w:rPr>
      </w:pPr>
    </w:p>
    <w:p w14:paraId="500937F8" w14:textId="4F4F950F" w:rsidR="00AF2C03" w:rsidRPr="005D2A29" w:rsidRDefault="00AF2C03" w:rsidP="00B12800">
      <w:pPr>
        <w:pStyle w:val="Heading1"/>
        <w:numPr>
          <w:ilvl w:val="0"/>
          <w:numId w:val="20"/>
        </w:numPr>
        <w:rPr>
          <w:lang w:val="en-US"/>
        </w:rPr>
      </w:pPr>
      <w:bookmarkStart w:id="0" w:name="_Toc214600038"/>
      <w:bookmarkStart w:id="1" w:name="_Toc214638845"/>
      <w:r w:rsidRPr="005D2A29">
        <w:rPr>
          <w:lang w:val="en-US"/>
        </w:rPr>
        <w:t>INTRODUCTION</w:t>
      </w:r>
      <w:bookmarkEnd w:id="0"/>
      <w:bookmarkEnd w:id="1"/>
    </w:p>
    <w:p w14:paraId="1B761506" w14:textId="77777777" w:rsidR="00E07DAD" w:rsidRPr="005D2A29" w:rsidRDefault="00E07DAD">
      <w:pPr>
        <w:rPr>
          <w:rFonts w:cstheme="minorHAnsi"/>
          <w:sz w:val="22"/>
          <w:szCs w:val="22"/>
          <w:lang w:val="en-US"/>
        </w:rPr>
      </w:pPr>
    </w:p>
    <w:p w14:paraId="608D5C74" w14:textId="258483A4" w:rsidR="00E07DAD" w:rsidRPr="005D2A29" w:rsidRDefault="00E07DAD" w:rsidP="00E07DAD">
      <w:pPr>
        <w:rPr>
          <w:rFonts w:cstheme="minorHAnsi"/>
          <w:sz w:val="22"/>
          <w:szCs w:val="22"/>
          <w:lang w:val="en-US"/>
        </w:rPr>
      </w:pPr>
      <w:r w:rsidRPr="005D2A29">
        <w:rPr>
          <w:rFonts w:cstheme="minorHAnsi"/>
          <w:sz w:val="22"/>
          <w:szCs w:val="22"/>
          <w:lang w:val="en-US"/>
        </w:rPr>
        <w:t>The purpose of this report is to critically analyze the macro marketing environment and its impact on strategic marketing management within the UK banking sector. The report shall focus on two contrasting organizations, namely, a pioneering global bank called HSBC and a domestic follower called Lloyds Banking Group, with the aim of assessing how external political and social forces influence strategic decisions and shape marketing activities and long-run competitiveness. The analysis of the macro marketing environment plays a valuable role in strategic decision-making, as factors beyond an organization’s control, such as government policies, regulatory enforcement, demographic trends, digital adoption, and public expectations, have an influence on product development and market positioning, and customer engagement. Understanding these forces allows banks to anticipate risks, exploit opportunities, and align strategies with evolving external conditions. The report is divided into three sections: First, the identification and justification of the selection of two key macro-environmental actors-namely, political and social-is discussed, along with their current relevance for HSBC and Lloyds. Second, there is a critical analysis of the impact of the selected actors in identifying opportunities and threats, comparing strategic responses from a pioneering versus follower organization. Finally, the report discusses strategic implications, showing how HSBC exploits global scale and innovation, whereas Lloyds focuses on domestic stability and regulatory compliance, and draws on effective strategic marketing management in the banking sector.</w:t>
      </w:r>
    </w:p>
    <w:p w14:paraId="39F2C7CC" w14:textId="77777777" w:rsidR="00AF2C03" w:rsidRDefault="00AF2C03">
      <w:pPr>
        <w:rPr>
          <w:rFonts w:cstheme="minorHAnsi"/>
          <w:sz w:val="22"/>
          <w:szCs w:val="22"/>
          <w:lang w:val="en-US"/>
        </w:rPr>
      </w:pPr>
    </w:p>
    <w:p w14:paraId="6F9D0380" w14:textId="77777777" w:rsidR="003C5B5B" w:rsidRPr="005D2A29" w:rsidRDefault="003C5B5B">
      <w:pPr>
        <w:rPr>
          <w:rFonts w:cstheme="minorHAnsi"/>
          <w:sz w:val="22"/>
          <w:szCs w:val="22"/>
          <w:lang w:val="en-US"/>
        </w:rPr>
      </w:pPr>
    </w:p>
    <w:p w14:paraId="7094C581" w14:textId="0A834C7C" w:rsidR="008E7F5C" w:rsidRPr="00B12800" w:rsidRDefault="008E7F5C" w:rsidP="00B12800">
      <w:pPr>
        <w:pStyle w:val="Heading1"/>
        <w:numPr>
          <w:ilvl w:val="0"/>
          <w:numId w:val="20"/>
        </w:numPr>
        <w:rPr>
          <w:rStyle w:val="Heading1Char"/>
        </w:rPr>
      </w:pPr>
      <w:r w:rsidRPr="005D2A29">
        <w:rPr>
          <w:lang w:val="en-US"/>
        </w:rPr>
        <w:t xml:space="preserve"> </w:t>
      </w:r>
      <w:bookmarkStart w:id="2" w:name="_Toc214600039"/>
      <w:bookmarkStart w:id="3" w:name="_Toc214638846"/>
      <w:r w:rsidRPr="00B12800">
        <w:rPr>
          <w:rStyle w:val="Heading1Char"/>
        </w:rPr>
        <w:t>Critical Analysis of the Macro Marketing Environment</w:t>
      </w:r>
      <w:bookmarkEnd w:id="2"/>
      <w:bookmarkEnd w:id="3"/>
    </w:p>
    <w:p w14:paraId="73BAF93D" w14:textId="77777777" w:rsidR="008E7F5C" w:rsidRPr="005D2A29" w:rsidRDefault="008E7F5C">
      <w:pPr>
        <w:rPr>
          <w:rStyle w:val="Heading1Char"/>
          <w:rFonts w:asciiTheme="minorHAnsi" w:hAnsiTheme="minorHAnsi" w:cstheme="minorHAnsi"/>
          <w:b/>
          <w:bCs/>
          <w:color w:val="000000" w:themeColor="text1"/>
          <w:sz w:val="22"/>
          <w:szCs w:val="22"/>
        </w:rPr>
      </w:pPr>
    </w:p>
    <w:p w14:paraId="5DE25CB5" w14:textId="10C318D9" w:rsidR="00AF2C03" w:rsidRPr="00093DB6" w:rsidRDefault="008E7F5C" w:rsidP="00B12800">
      <w:pPr>
        <w:pStyle w:val="Heading2"/>
        <w:numPr>
          <w:ilvl w:val="1"/>
          <w:numId w:val="20"/>
        </w:numPr>
        <w:rPr>
          <w:sz w:val="28"/>
          <w:szCs w:val="28"/>
          <w:lang w:val="en-US"/>
        </w:rPr>
      </w:pPr>
      <w:r w:rsidRPr="00093DB6">
        <w:rPr>
          <w:rStyle w:val="Heading2Char"/>
          <w:sz w:val="28"/>
          <w:szCs w:val="28"/>
          <w:lang w:val="en-US"/>
        </w:rPr>
        <w:t xml:space="preserve"> </w:t>
      </w:r>
      <w:bookmarkStart w:id="4" w:name="_Toc214600040"/>
      <w:bookmarkStart w:id="5" w:name="_Toc214638847"/>
      <w:r w:rsidRPr="00093DB6">
        <w:rPr>
          <w:sz w:val="28"/>
          <w:szCs w:val="28"/>
          <w:lang w:val="en-US"/>
        </w:rPr>
        <w:t>OVERVIEW OF THE MACRO MARKETING ENVIRONMENT</w:t>
      </w:r>
      <w:bookmarkEnd w:id="4"/>
      <w:bookmarkEnd w:id="5"/>
    </w:p>
    <w:p w14:paraId="685D0AE9" w14:textId="77777777" w:rsidR="008E7F5C" w:rsidRPr="005D2A29" w:rsidRDefault="008E7F5C">
      <w:pPr>
        <w:rPr>
          <w:rFonts w:eastAsiaTheme="majorEastAsia" w:cstheme="minorHAnsi"/>
          <w:b/>
          <w:bCs/>
          <w:color w:val="000000" w:themeColor="text1"/>
          <w:sz w:val="22"/>
          <w:szCs w:val="22"/>
        </w:rPr>
      </w:pPr>
    </w:p>
    <w:p w14:paraId="15193FE5" w14:textId="77777777" w:rsidR="008E7F5C" w:rsidRPr="005D2A29" w:rsidRDefault="008E7F5C" w:rsidP="008E7F5C">
      <w:pPr>
        <w:rPr>
          <w:rFonts w:cstheme="minorHAnsi"/>
          <w:sz w:val="22"/>
          <w:szCs w:val="22"/>
        </w:rPr>
      </w:pPr>
      <w:r w:rsidRPr="005D2A29">
        <w:rPr>
          <w:rFonts w:cstheme="minorHAnsi"/>
          <w:sz w:val="22"/>
          <w:szCs w:val="22"/>
        </w:rPr>
        <w:t>The macro marketing environment consists of broad external factors that affect the performance of an organization, its strategic decisions, and marketing activities, but are outside of its direct control. These are also the forces that shape market conditions, consumer expectations, competitive dynamics, and the long-term sustainability of business. Since a firm cannot control these factors, continuous monitoring and adapting to these factors will help it maintain its lead in the industry. Commonly, the set of factors making up the macro environment is expressed with the heading PESTLE, standing for Political, Economic, Social, Technological, Legal, and Environmental influences.</w:t>
      </w:r>
    </w:p>
    <w:p w14:paraId="599F7BF7" w14:textId="77777777" w:rsidR="008E7F5C" w:rsidRPr="005D2A29" w:rsidRDefault="008E7F5C" w:rsidP="008E7F5C">
      <w:pPr>
        <w:rPr>
          <w:rFonts w:cstheme="minorHAnsi"/>
          <w:sz w:val="22"/>
          <w:szCs w:val="22"/>
        </w:rPr>
      </w:pPr>
    </w:p>
    <w:p w14:paraId="07C6E954" w14:textId="3390C9E4" w:rsidR="008E7F5C" w:rsidRPr="00093DB6" w:rsidRDefault="008E7F5C" w:rsidP="00B12800">
      <w:pPr>
        <w:pStyle w:val="Heading2"/>
        <w:numPr>
          <w:ilvl w:val="1"/>
          <w:numId w:val="20"/>
        </w:numPr>
        <w:rPr>
          <w:rFonts w:eastAsiaTheme="minorHAnsi"/>
          <w:sz w:val="28"/>
          <w:szCs w:val="28"/>
        </w:rPr>
      </w:pPr>
      <w:bookmarkStart w:id="6" w:name="_Toc214600041"/>
      <w:bookmarkStart w:id="7" w:name="_Toc214638848"/>
      <w:r w:rsidRPr="00093DB6">
        <w:rPr>
          <w:sz w:val="28"/>
          <w:szCs w:val="28"/>
        </w:rPr>
        <w:t>Selection of Two External Macro Marketing Actors</w:t>
      </w:r>
      <w:bookmarkEnd w:id="6"/>
      <w:bookmarkEnd w:id="7"/>
      <w:r w:rsidRPr="00093DB6">
        <w:rPr>
          <w:sz w:val="28"/>
          <w:szCs w:val="28"/>
        </w:rPr>
        <w:t> </w:t>
      </w:r>
    </w:p>
    <w:p w14:paraId="33C8CA84" w14:textId="77777777" w:rsidR="008E7F5C" w:rsidRPr="005D2A29" w:rsidRDefault="008E7F5C" w:rsidP="008E7F5C">
      <w:pPr>
        <w:rPr>
          <w:rFonts w:eastAsiaTheme="majorEastAsia" w:cstheme="minorHAnsi"/>
          <w:sz w:val="22"/>
          <w:szCs w:val="22"/>
        </w:rPr>
      </w:pPr>
    </w:p>
    <w:p w14:paraId="5B910EA0" w14:textId="77777777" w:rsidR="008E7F5C" w:rsidRPr="005D2A29" w:rsidRDefault="008E7F5C" w:rsidP="008E7F5C">
      <w:pPr>
        <w:rPr>
          <w:rFonts w:cstheme="minorHAnsi"/>
          <w:sz w:val="22"/>
          <w:szCs w:val="22"/>
        </w:rPr>
      </w:pPr>
      <w:r w:rsidRPr="005D2A29">
        <w:rPr>
          <w:rFonts w:cstheme="minorHAnsi"/>
          <w:sz w:val="22"/>
          <w:szCs w:val="22"/>
        </w:rPr>
        <w:t xml:space="preserve">In analysing the macro-environment of UK banking using the PESTEL framework, </w:t>
      </w:r>
      <w:r w:rsidRPr="005D2A29">
        <w:rPr>
          <w:rStyle w:val="Strong"/>
          <w:rFonts w:cstheme="minorHAnsi"/>
          <w:sz w:val="22"/>
          <w:szCs w:val="22"/>
        </w:rPr>
        <w:t>political</w:t>
      </w:r>
      <w:r w:rsidRPr="005D2A29">
        <w:rPr>
          <w:rFonts w:cstheme="minorHAnsi"/>
          <w:sz w:val="22"/>
          <w:szCs w:val="22"/>
        </w:rPr>
        <w:t xml:space="preserve"> and </w:t>
      </w:r>
      <w:r w:rsidRPr="005D2A29">
        <w:rPr>
          <w:rStyle w:val="Strong"/>
          <w:rFonts w:cstheme="minorHAnsi"/>
          <w:sz w:val="22"/>
          <w:szCs w:val="22"/>
        </w:rPr>
        <w:t>social</w:t>
      </w:r>
      <w:r w:rsidRPr="005D2A29">
        <w:rPr>
          <w:rFonts w:cstheme="minorHAnsi"/>
          <w:sz w:val="22"/>
          <w:szCs w:val="22"/>
        </w:rPr>
        <w:t xml:space="preserve"> actors are selected. </w:t>
      </w:r>
    </w:p>
    <w:p w14:paraId="238B1BA8" w14:textId="2AB0CC0E" w:rsidR="008E7F5C" w:rsidRPr="005D2A29" w:rsidRDefault="008E7F5C" w:rsidP="008E7F5C">
      <w:pPr>
        <w:rPr>
          <w:rFonts w:cstheme="minorHAnsi"/>
          <w:sz w:val="22"/>
          <w:szCs w:val="22"/>
        </w:rPr>
      </w:pPr>
      <w:r w:rsidRPr="005D2A29">
        <w:rPr>
          <w:rFonts w:cstheme="minorHAnsi"/>
          <w:sz w:val="22"/>
          <w:szCs w:val="22"/>
        </w:rPr>
        <w:t xml:space="preserve">The political actor refers to government policies, regulatory bodies, international political stability, taxation, financial regulations, and compliance frameworks that shape the operating environment for banks. Political forces are chosen because </w:t>
      </w:r>
      <w:r w:rsidRPr="005D2A29">
        <w:rPr>
          <w:rStyle w:val="Strong"/>
          <w:rFonts w:cstheme="minorHAnsi"/>
          <w:b w:val="0"/>
          <w:bCs w:val="0"/>
          <w:sz w:val="22"/>
          <w:szCs w:val="22"/>
        </w:rPr>
        <w:t>banking</w:t>
      </w:r>
      <w:r w:rsidRPr="005D2A29">
        <w:rPr>
          <w:rStyle w:val="Strong"/>
          <w:rFonts w:cstheme="minorHAnsi"/>
          <w:sz w:val="22"/>
          <w:szCs w:val="22"/>
        </w:rPr>
        <w:t xml:space="preserve"> </w:t>
      </w:r>
      <w:r w:rsidRPr="005D2A29">
        <w:rPr>
          <w:rStyle w:val="Strong"/>
          <w:rFonts w:cstheme="minorHAnsi"/>
          <w:b w:val="0"/>
          <w:bCs w:val="0"/>
          <w:sz w:val="22"/>
          <w:szCs w:val="22"/>
        </w:rPr>
        <w:t>is one of the most heavily regulated industries</w:t>
      </w:r>
      <w:r w:rsidRPr="005D2A29">
        <w:rPr>
          <w:rFonts w:cstheme="minorHAnsi"/>
          <w:sz w:val="22"/>
          <w:szCs w:val="22"/>
        </w:rPr>
        <w:t xml:space="preserve"> in </w:t>
      </w:r>
      <w:r w:rsidRPr="005D2A29">
        <w:rPr>
          <w:rFonts w:cstheme="minorHAnsi"/>
          <w:sz w:val="22"/>
          <w:szCs w:val="22"/>
        </w:rPr>
        <w:lastRenderedPageBreak/>
        <w:t xml:space="preserve">the UK and globally. Political decisions directly determine how banks operate, the risks they can take, and the products they can offer. </w:t>
      </w:r>
    </w:p>
    <w:p w14:paraId="16644AE7" w14:textId="35BCB57C" w:rsidR="008E7F5C" w:rsidRPr="005D2A29" w:rsidRDefault="008E7F5C" w:rsidP="008E7F5C">
      <w:pPr>
        <w:rPr>
          <w:rFonts w:cstheme="minorHAnsi"/>
          <w:sz w:val="22"/>
          <w:szCs w:val="22"/>
        </w:rPr>
      </w:pPr>
      <w:r w:rsidRPr="005D2A29">
        <w:rPr>
          <w:rFonts w:cstheme="minorHAnsi"/>
          <w:sz w:val="22"/>
          <w:szCs w:val="22"/>
        </w:rPr>
        <w:t>The social actor refers to demographic trends, cultural norms, consumer values, digital behaviour, lifestyles, and public attitudes towards banking and finance. Social forces are chosen because customer behaviour, trust, and expectations are changing rapidly, and banks must modify their strategies accordingly.</w:t>
      </w:r>
    </w:p>
    <w:p w14:paraId="5D779664" w14:textId="77777777" w:rsidR="008E7F5C" w:rsidRPr="005D2A29" w:rsidRDefault="008E7F5C" w:rsidP="008E7F5C">
      <w:pPr>
        <w:rPr>
          <w:rFonts w:cstheme="minorHAnsi"/>
          <w:sz w:val="22"/>
          <w:szCs w:val="22"/>
        </w:rPr>
      </w:pPr>
    </w:p>
    <w:p w14:paraId="534BF5AA" w14:textId="77777777" w:rsidR="008E7F5C" w:rsidRPr="005D2A29" w:rsidRDefault="008E7F5C" w:rsidP="008E7F5C">
      <w:pPr>
        <w:rPr>
          <w:rFonts w:cstheme="minorHAnsi"/>
          <w:sz w:val="22"/>
          <w:szCs w:val="22"/>
        </w:rPr>
      </w:pPr>
      <w:r w:rsidRPr="005D2A29">
        <w:rPr>
          <w:rFonts w:cstheme="minorHAnsi"/>
          <w:sz w:val="22"/>
          <w:szCs w:val="22"/>
        </w:rPr>
        <w:t>Relevance &amp; current influence on HSBC:</w:t>
      </w:r>
    </w:p>
    <w:p w14:paraId="2E1BAB5D" w14:textId="77777777" w:rsidR="004C1F9F" w:rsidRDefault="008E7F5C" w:rsidP="008E7F5C">
      <w:pPr>
        <w:rPr>
          <w:rFonts w:cstheme="minorHAnsi"/>
          <w:sz w:val="22"/>
          <w:szCs w:val="22"/>
        </w:rPr>
      </w:pPr>
      <w:r w:rsidRPr="005D2A29">
        <w:rPr>
          <w:rFonts w:cstheme="minorHAnsi"/>
          <w:sz w:val="22"/>
          <w:szCs w:val="22"/>
        </w:rPr>
        <w:t>The major PRA enforcement in January 2024 involved HSBC, wherein the PRA fined HSBC £57.42m for historic failings in identifying deposits eligible for the Financial Services Compensation Scheme; this was a high-impact sanction that underlined weaknesses in systems, controls, and governance.</w:t>
      </w:r>
    </w:p>
    <w:p w14:paraId="718C7938" w14:textId="48102301" w:rsidR="008E7F5C" w:rsidRPr="005D2A29" w:rsidRDefault="008E7F5C" w:rsidP="008E7F5C">
      <w:pPr>
        <w:rPr>
          <w:rFonts w:cstheme="minorHAnsi"/>
          <w:sz w:val="22"/>
          <w:szCs w:val="22"/>
        </w:rPr>
      </w:pPr>
      <w:r w:rsidRPr="005D2A29">
        <w:rPr>
          <w:rFonts w:cstheme="minorHAnsi"/>
          <w:sz w:val="22"/>
          <w:szCs w:val="22"/>
        </w:rPr>
        <w:t>The FCA also fined HSBC £6.28m over unfair treatment of customers in financial difficulty (May 2024), with HSBC issuing redress totalling c. £185m to c.1.5 million customers as part of remediation: a case that underlines how regulatory enforcement compels operational and reputational responses feeding directly into marketing and customer communications.</w:t>
      </w:r>
    </w:p>
    <w:p w14:paraId="35135C78" w14:textId="77777777" w:rsidR="008E7F5C" w:rsidRPr="005D2A29" w:rsidRDefault="008E7F5C" w:rsidP="008E7F5C">
      <w:pPr>
        <w:rPr>
          <w:rFonts w:cstheme="minorHAnsi"/>
          <w:sz w:val="22"/>
          <w:szCs w:val="22"/>
        </w:rPr>
      </w:pPr>
    </w:p>
    <w:p w14:paraId="42CF3CA3" w14:textId="77777777" w:rsidR="008E7F5C" w:rsidRPr="005D2A29" w:rsidRDefault="008E7F5C" w:rsidP="008E7F5C">
      <w:pPr>
        <w:rPr>
          <w:rFonts w:cstheme="minorHAnsi"/>
          <w:sz w:val="22"/>
          <w:szCs w:val="22"/>
        </w:rPr>
      </w:pPr>
      <w:r w:rsidRPr="005D2A29">
        <w:rPr>
          <w:rFonts w:cstheme="minorHAnsi"/>
          <w:sz w:val="22"/>
          <w:szCs w:val="22"/>
        </w:rPr>
        <w:t>Relevance &amp; current influence on Lloyds Banking Group:</w:t>
      </w:r>
    </w:p>
    <w:p w14:paraId="23561946" w14:textId="242F6DFB" w:rsidR="008E7F5C" w:rsidRPr="005D2A29" w:rsidRDefault="008E7F5C" w:rsidP="008E7F5C">
      <w:pPr>
        <w:rPr>
          <w:rFonts w:cstheme="minorHAnsi"/>
          <w:sz w:val="22"/>
          <w:szCs w:val="22"/>
        </w:rPr>
      </w:pPr>
      <w:r w:rsidRPr="005D2A29">
        <w:rPr>
          <w:rFonts w:cstheme="minorHAnsi"/>
          <w:sz w:val="22"/>
          <w:szCs w:val="22"/>
        </w:rPr>
        <w:t>Lloyds has previous large regulatory settlements, such as the FCA action on insurance communications, and more recently increased regulatory exposure; the bank set aside £450m in 2024 for potential car-loan related fines/redress. In addition, the wider motor finance review of the FCA may be driving substantial additional provisions across the industry. These developments together suggest that regulators are driving possible one-off costs and longer-term compliance changes at Lloyds.</w:t>
      </w:r>
    </w:p>
    <w:p w14:paraId="39146706" w14:textId="77777777" w:rsidR="008E7F5C" w:rsidRPr="005D2A29" w:rsidRDefault="008E7F5C" w:rsidP="008E7F5C">
      <w:pPr>
        <w:rPr>
          <w:rFonts w:cstheme="minorHAnsi"/>
          <w:sz w:val="22"/>
          <w:szCs w:val="22"/>
        </w:rPr>
      </w:pPr>
      <w:r w:rsidRPr="005D2A29">
        <w:rPr>
          <w:rFonts w:cstheme="minorHAnsi"/>
          <w:sz w:val="22"/>
          <w:szCs w:val="22"/>
        </w:rPr>
        <w:t>Regulators focus on customer treatment, financial crime, and disclosure; therefore, priorities for Lloyds are remediation, customer communication, and controls that shape marketing emphasis on trust, transparency, and affordability.</w:t>
      </w:r>
    </w:p>
    <w:p w14:paraId="04B69183" w14:textId="77777777" w:rsidR="008E7F5C" w:rsidRDefault="008E7F5C" w:rsidP="008E7F5C">
      <w:pPr>
        <w:rPr>
          <w:rFonts w:cstheme="minorHAnsi"/>
          <w:sz w:val="22"/>
          <w:szCs w:val="22"/>
        </w:rPr>
      </w:pPr>
    </w:p>
    <w:p w14:paraId="68A0AB4D" w14:textId="77777777" w:rsidR="003C5B5B" w:rsidRPr="005D2A29" w:rsidRDefault="003C5B5B" w:rsidP="008E7F5C">
      <w:pPr>
        <w:rPr>
          <w:rFonts w:cstheme="minorHAnsi"/>
          <w:sz w:val="22"/>
          <w:szCs w:val="22"/>
        </w:rPr>
      </w:pPr>
    </w:p>
    <w:p w14:paraId="6D837B56" w14:textId="6D3D11CB" w:rsidR="008E7F5C" w:rsidRPr="00093DB6" w:rsidRDefault="008E7F5C" w:rsidP="00B12800">
      <w:pPr>
        <w:pStyle w:val="Heading2"/>
        <w:numPr>
          <w:ilvl w:val="1"/>
          <w:numId w:val="20"/>
        </w:numPr>
        <w:rPr>
          <w:sz w:val="28"/>
          <w:szCs w:val="28"/>
        </w:rPr>
      </w:pPr>
      <w:bookmarkStart w:id="8" w:name="_Toc214600042"/>
      <w:bookmarkStart w:id="9" w:name="_Toc214638849"/>
      <w:r w:rsidRPr="00093DB6">
        <w:rPr>
          <w:sz w:val="28"/>
          <w:szCs w:val="28"/>
        </w:rPr>
        <w:t>Critical Analysis of Each Actor</w:t>
      </w:r>
      <w:bookmarkEnd w:id="8"/>
      <w:bookmarkEnd w:id="9"/>
    </w:p>
    <w:p w14:paraId="18048D5A" w14:textId="01AF6A00" w:rsidR="007526F2" w:rsidRPr="005D2A29" w:rsidRDefault="007526F2" w:rsidP="008E7F5C">
      <w:pPr>
        <w:rPr>
          <w:rFonts w:cstheme="minorHAnsi"/>
          <w:b/>
          <w:bCs/>
          <w:color w:val="000000" w:themeColor="text1"/>
          <w:sz w:val="22"/>
          <w:szCs w:val="22"/>
        </w:rPr>
      </w:pPr>
      <w:r w:rsidRPr="005D2A29">
        <w:rPr>
          <w:rFonts w:cstheme="minorHAnsi"/>
          <w:b/>
          <w:bCs/>
          <w:color w:val="000000" w:themeColor="text1"/>
          <w:sz w:val="22"/>
          <w:szCs w:val="22"/>
        </w:rPr>
        <w:t xml:space="preserve"> </w:t>
      </w:r>
    </w:p>
    <w:p w14:paraId="72948436" w14:textId="0921CB61" w:rsidR="007526F2" w:rsidRPr="00093DB6" w:rsidRDefault="00D020F9" w:rsidP="00B12800">
      <w:pPr>
        <w:pStyle w:val="Heading3"/>
        <w:numPr>
          <w:ilvl w:val="2"/>
          <w:numId w:val="20"/>
        </w:numPr>
        <w:rPr>
          <w:rFonts w:asciiTheme="minorHAnsi" w:hAnsiTheme="minorHAnsi" w:cstheme="minorHAnsi"/>
          <w:sz w:val="28"/>
          <w:szCs w:val="28"/>
        </w:rPr>
      </w:pPr>
      <w:bookmarkStart w:id="10" w:name="_Toc214600043"/>
      <w:bookmarkStart w:id="11" w:name="_Toc214638850"/>
      <w:r w:rsidRPr="00093DB6">
        <w:rPr>
          <w:sz w:val="28"/>
          <w:szCs w:val="28"/>
        </w:rPr>
        <w:t>Political Actor change</w:t>
      </w:r>
      <w:bookmarkEnd w:id="10"/>
      <w:bookmarkEnd w:id="11"/>
    </w:p>
    <w:p w14:paraId="7770FECA" w14:textId="2D3706E6" w:rsidR="007526F2" w:rsidRDefault="00D020F9" w:rsidP="00D020F9">
      <w:pPr>
        <w:jc w:val="center"/>
        <w:rPr>
          <w:rFonts w:eastAsiaTheme="majorEastAsia" w:cstheme="minorHAnsi"/>
          <w:sz w:val="22"/>
          <w:szCs w:val="22"/>
        </w:rPr>
      </w:pPr>
      <w:r>
        <w:rPr>
          <w:rFonts w:eastAsiaTheme="majorEastAsia" w:cstheme="minorHAnsi"/>
          <w:sz w:val="22"/>
          <w:szCs w:val="22"/>
        </w:rPr>
        <w:t xml:space="preserve">Impacts of Pioneer and </w:t>
      </w:r>
      <w:r w:rsidR="00C967F9">
        <w:rPr>
          <w:rFonts w:eastAsiaTheme="majorEastAsia" w:cstheme="minorHAnsi"/>
          <w:sz w:val="22"/>
          <w:szCs w:val="22"/>
        </w:rPr>
        <w:t>F</w:t>
      </w:r>
      <w:r>
        <w:rPr>
          <w:rFonts w:eastAsiaTheme="majorEastAsia" w:cstheme="minorHAnsi"/>
          <w:sz w:val="22"/>
          <w:szCs w:val="22"/>
        </w:rPr>
        <w:t xml:space="preserve">ollower </w:t>
      </w:r>
      <w:r w:rsidR="00C967F9">
        <w:rPr>
          <w:rFonts w:eastAsiaTheme="majorEastAsia" w:cstheme="minorHAnsi"/>
          <w:sz w:val="22"/>
          <w:szCs w:val="22"/>
        </w:rPr>
        <w:t>B</w:t>
      </w:r>
      <w:r>
        <w:rPr>
          <w:rFonts w:eastAsiaTheme="majorEastAsia" w:cstheme="minorHAnsi"/>
          <w:sz w:val="22"/>
          <w:szCs w:val="22"/>
        </w:rPr>
        <w:t>ank</w:t>
      </w:r>
    </w:p>
    <w:p w14:paraId="1269DDB1" w14:textId="77777777" w:rsidR="00D020F9" w:rsidRPr="005D2A29" w:rsidRDefault="00D020F9" w:rsidP="00D020F9">
      <w:pPr>
        <w:jc w:val="center"/>
        <w:rPr>
          <w:rFonts w:eastAsiaTheme="majorEastAsia" w:cstheme="minorHAnsi"/>
          <w:sz w:val="22"/>
          <w:szCs w:val="2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05"/>
        <w:gridCol w:w="3724"/>
        <w:gridCol w:w="3087"/>
      </w:tblGrid>
      <w:tr w:rsidR="00282AA0" w:rsidRPr="00470871" w14:paraId="5DF78ED6" w14:textId="77777777" w:rsidTr="006C2609">
        <w:trPr>
          <w:tblHeader/>
          <w:tblCellSpacing w:w="15" w:type="dxa"/>
          <w:jc w:val="center"/>
        </w:trPr>
        <w:tc>
          <w:tcPr>
            <w:tcW w:w="0" w:type="auto"/>
            <w:vAlign w:val="center"/>
            <w:hideMark/>
          </w:tcPr>
          <w:p w14:paraId="33AF706E" w14:textId="77777777" w:rsidR="00282AA0" w:rsidRPr="00470871" w:rsidRDefault="00282AA0" w:rsidP="006C2609">
            <w:pPr>
              <w:jc w:val="center"/>
              <w:rPr>
                <w:rFonts w:ascii="Times New Roman" w:eastAsia="Times New Roman" w:hAnsi="Times New Roman" w:cs="Times New Roman"/>
                <w:b/>
                <w:bCs/>
                <w:kern w:val="0"/>
                <w:lang w:eastAsia="en-IN" w:bidi="gu-IN"/>
                <w14:ligatures w14:val="none"/>
              </w:rPr>
            </w:pPr>
            <w:r w:rsidRPr="00470871">
              <w:rPr>
                <w:rFonts w:ascii="Times New Roman" w:eastAsia="Times New Roman" w:hAnsi="Times New Roman" w:cs="Times New Roman"/>
                <w:b/>
                <w:bCs/>
                <w:kern w:val="0"/>
                <w:lang w:eastAsia="en-IN" w:bidi="gu-IN"/>
                <w14:ligatures w14:val="none"/>
              </w:rPr>
              <w:t>Political Actor Change</w:t>
            </w:r>
          </w:p>
        </w:tc>
        <w:tc>
          <w:tcPr>
            <w:tcW w:w="0" w:type="auto"/>
            <w:vAlign w:val="center"/>
            <w:hideMark/>
          </w:tcPr>
          <w:p w14:paraId="6C7904F9" w14:textId="77777777" w:rsidR="00282AA0" w:rsidRDefault="00282AA0" w:rsidP="006C2609">
            <w:pPr>
              <w:jc w:val="center"/>
              <w:rPr>
                <w:rFonts w:ascii="Times New Roman" w:eastAsia="Times New Roman" w:hAnsi="Times New Roman" w:cs="Times New Roman"/>
                <w:b/>
                <w:bCs/>
                <w:kern w:val="0"/>
                <w:lang w:eastAsia="en-IN" w:bidi="gu-IN"/>
                <w14:ligatures w14:val="none"/>
              </w:rPr>
            </w:pPr>
            <w:r w:rsidRPr="00470871">
              <w:rPr>
                <w:rFonts w:ascii="Times New Roman" w:eastAsia="Times New Roman" w:hAnsi="Times New Roman" w:cs="Times New Roman"/>
                <w:b/>
                <w:bCs/>
                <w:kern w:val="0"/>
                <w:lang w:eastAsia="en-IN" w:bidi="gu-IN"/>
                <w14:ligatures w14:val="none"/>
              </w:rPr>
              <w:t>Pioneer</w:t>
            </w:r>
          </w:p>
          <w:p w14:paraId="79C0BC90" w14:textId="77777777" w:rsidR="00282AA0" w:rsidRPr="00470871" w:rsidRDefault="00282AA0" w:rsidP="006C2609">
            <w:pPr>
              <w:jc w:val="center"/>
              <w:rPr>
                <w:rFonts w:ascii="Times New Roman" w:eastAsia="Times New Roman" w:hAnsi="Times New Roman" w:cs="Times New Roman"/>
                <w:b/>
                <w:bCs/>
                <w:kern w:val="0"/>
                <w:lang w:eastAsia="en-IN" w:bidi="gu-IN"/>
                <w14:ligatures w14:val="none"/>
              </w:rPr>
            </w:pPr>
            <w:r w:rsidRPr="00470871">
              <w:rPr>
                <w:rFonts w:ascii="Times New Roman" w:eastAsia="Times New Roman" w:hAnsi="Times New Roman" w:cs="Times New Roman"/>
                <w:b/>
                <w:bCs/>
                <w:kern w:val="0"/>
                <w:lang w:eastAsia="en-IN" w:bidi="gu-IN"/>
                <w14:ligatures w14:val="none"/>
              </w:rPr>
              <w:t>HSBC</w:t>
            </w:r>
          </w:p>
        </w:tc>
        <w:tc>
          <w:tcPr>
            <w:tcW w:w="0" w:type="auto"/>
            <w:vAlign w:val="center"/>
            <w:hideMark/>
          </w:tcPr>
          <w:p w14:paraId="720EE71B" w14:textId="77777777" w:rsidR="00282AA0" w:rsidRDefault="00282AA0" w:rsidP="006C2609">
            <w:pPr>
              <w:jc w:val="center"/>
              <w:rPr>
                <w:rFonts w:ascii="Times New Roman" w:eastAsia="Times New Roman" w:hAnsi="Times New Roman" w:cs="Times New Roman"/>
                <w:b/>
                <w:bCs/>
                <w:kern w:val="0"/>
                <w:lang w:eastAsia="en-IN" w:bidi="gu-IN"/>
                <w14:ligatures w14:val="none"/>
              </w:rPr>
            </w:pPr>
            <w:r w:rsidRPr="00470871">
              <w:rPr>
                <w:rFonts w:ascii="Times New Roman" w:eastAsia="Times New Roman" w:hAnsi="Times New Roman" w:cs="Times New Roman"/>
                <w:b/>
                <w:bCs/>
                <w:kern w:val="0"/>
                <w:lang w:eastAsia="en-IN" w:bidi="gu-IN"/>
                <w14:ligatures w14:val="none"/>
              </w:rPr>
              <w:t>Follower</w:t>
            </w:r>
          </w:p>
          <w:p w14:paraId="40C4EE52" w14:textId="77777777" w:rsidR="00282AA0" w:rsidRPr="00470871" w:rsidRDefault="00282AA0" w:rsidP="006C2609">
            <w:pPr>
              <w:jc w:val="center"/>
              <w:rPr>
                <w:rFonts w:ascii="Times New Roman" w:eastAsia="Times New Roman" w:hAnsi="Times New Roman" w:cs="Times New Roman"/>
                <w:b/>
                <w:bCs/>
                <w:kern w:val="0"/>
                <w:lang w:eastAsia="en-IN" w:bidi="gu-IN"/>
                <w14:ligatures w14:val="none"/>
              </w:rPr>
            </w:pPr>
            <w:r w:rsidRPr="00470871">
              <w:rPr>
                <w:rFonts w:ascii="Times New Roman" w:eastAsia="Times New Roman" w:hAnsi="Times New Roman" w:cs="Times New Roman"/>
                <w:b/>
                <w:bCs/>
                <w:kern w:val="0"/>
                <w:lang w:eastAsia="en-IN" w:bidi="gu-IN"/>
                <w14:ligatures w14:val="none"/>
              </w:rPr>
              <w:t>Lloyds</w:t>
            </w:r>
          </w:p>
        </w:tc>
      </w:tr>
      <w:tr w:rsidR="00282AA0" w:rsidRPr="00470871" w14:paraId="58723CE0" w14:textId="77777777" w:rsidTr="006C2609">
        <w:trPr>
          <w:tblCellSpacing w:w="15" w:type="dxa"/>
          <w:jc w:val="center"/>
        </w:trPr>
        <w:tc>
          <w:tcPr>
            <w:tcW w:w="0" w:type="auto"/>
            <w:vAlign w:val="center"/>
            <w:hideMark/>
          </w:tcPr>
          <w:p w14:paraId="7D2F99C8" w14:textId="77777777" w:rsidR="00282AA0" w:rsidRPr="00470871" w:rsidRDefault="00282AA0" w:rsidP="006C2609">
            <w:pPr>
              <w:jc w:val="center"/>
              <w:rPr>
                <w:rFonts w:ascii="Times New Roman" w:eastAsia="Times New Roman" w:hAnsi="Times New Roman" w:cs="Times New Roman"/>
                <w:kern w:val="0"/>
                <w:lang w:eastAsia="en-IN" w:bidi="gu-IN"/>
                <w14:ligatures w14:val="none"/>
              </w:rPr>
            </w:pPr>
            <w:r w:rsidRPr="00470871">
              <w:rPr>
                <w:rFonts w:ascii="Times New Roman" w:eastAsia="Times New Roman" w:hAnsi="Times New Roman" w:cs="Times New Roman"/>
                <w:kern w:val="0"/>
                <w:lang w:eastAsia="en-IN" w:bidi="gu-IN"/>
                <w14:ligatures w14:val="none"/>
              </w:rPr>
              <w:t>Global political tension</w:t>
            </w:r>
          </w:p>
        </w:tc>
        <w:tc>
          <w:tcPr>
            <w:tcW w:w="0" w:type="auto"/>
            <w:vAlign w:val="center"/>
            <w:hideMark/>
          </w:tcPr>
          <w:p w14:paraId="262B7908" w14:textId="77777777" w:rsidR="00282AA0" w:rsidRPr="00470871" w:rsidRDefault="00282AA0" w:rsidP="006C2609">
            <w:pPr>
              <w:jc w:val="center"/>
              <w:rPr>
                <w:rFonts w:ascii="Times New Roman" w:eastAsia="Times New Roman" w:hAnsi="Times New Roman" w:cs="Times New Roman"/>
                <w:kern w:val="0"/>
                <w:lang w:eastAsia="en-IN" w:bidi="gu-IN"/>
                <w14:ligatures w14:val="none"/>
              </w:rPr>
            </w:pPr>
            <w:r w:rsidRPr="00470871">
              <w:rPr>
                <w:rFonts w:ascii="Times New Roman" w:eastAsia="Times New Roman" w:hAnsi="Times New Roman" w:cs="Times New Roman"/>
                <w:kern w:val="0"/>
                <w:lang w:eastAsia="en-IN" w:bidi="gu-IN"/>
                <w14:ligatures w14:val="none"/>
              </w:rPr>
              <w:t>High exposure due to international footprint</w:t>
            </w:r>
          </w:p>
        </w:tc>
        <w:tc>
          <w:tcPr>
            <w:tcW w:w="0" w:type="auto"/>
            <w:vAlign w:val="center"/>
            <w:hideMark/>
          </w:tcPr>
          <w:p w14:paraId="6CCEE69E" w14:textId="77777777" w:rsidR="00282AA0" w:rsidRPr="00470871" w:rsidRDefault="00282AA0" w:rsidP="006C2609">
            <w:pPr>
              <w:jc w:val="center"/>
              <w:rPr>
                <w:rFonts w:ascii="Times New Roman" w:eastAsia="Times New Roman" w:hAnsi="Times New Roman" w:cs="Times New Roman"/>
                <w:kern w:val="0"/>
                <w:lang w:eastAsia="en-IN" w:bidi="gu-IN"/>
                <w14:ligatures w14:val="none"/>
              </w:rPr>
            </w:pPr>
            <w:r w:rsidRPr="00470871">
              <w:rPr>
                <w:rFonts w:ascii="Times New Roman" w:eastAsia="Times New Roman" w:hAnsi="Times New Roman" w:cs="Times New Roman"/>
                <w:kern w:val="0"/>
                <w:lang w:eastAsia="en-IN" w:bidi="gu-IN"/>
                <w14:ligatures w14:val="none"/>
              </w:rPr>
              <w:t>Low exposure</w:t>
            </w:r>
          </w:p>
        </w:tc>
      </w:tr>
      <w:tr w:rsidR="00282AA0" w:rsidRPr="00470871" w14:paraId="6C803AB2" w14:textId="77777777" w:rsidTr="006C2609">
        <w:trPr>
          <w:tblCellSpacing w:w="15" w:type="dxa"/>
          <w:jc w:val="center"/>
        </w:trPr>
        <w:tc>
          <w:tcPr>
            <w:tcW w:w="0" w:type="auto"/>
            <w:vAlign w:val="center"/>
            <w:hideMark/>
          </w:tcPr>
          <w:p w14:paraId="3196326B" w14:textId="77777777" w:rsidR="00282AA0" w:rsidRPr="00470871" w:rsidRDefault="00282AA0" w:rsidP="006C2609">
            <w:pPr>
              <w:jc w:val="center"/>
              <w:rPr>
                <w:rFonts w:ascii="Times New Roman" w:eastAsia="Times New Roman" w:hAnsi="Times New Roman" w:cs="Times New Roman"/>
                <w:kern w:val="0"/>
                <w:lang w:eastAsia="en-IN" w:bidi="gu-IN"/>
                <w14:ligatures w14:val="none"/>
              </w:rPr>
            </w:pPr>
            <w:r w:rsidRPr="00470871">
              <w:rPr>
                <w:rFonts w:ascii="Times New Roman" w:eastAsia="Times New Roman" w:hAnsi="Times New Roman" w:cs="Times New Roman"/>
                <w:kern w:val="0"/>
                <w:lang w:eastAsia="en-IN" w:bidi="gu-IN"/>
                <w14:ligatures w14:val="none"/>
              </w:rPr>
              <w:t>UK regulation changes</w:t>
            </w:r>
          </w:p>
        </w:tc>
        <w:tc>
          <w:tcPr>
            <w:tcW w:w="0" w:type="auto"/>
            <w:vAlign w:val="center"/>
            <w:hideMark/>
          </w:tcPr>
          <w:p w14:paraId="6A1912ED" w14:textId="77777777" w:rsidR="00282AA0" w:rsidRPr="00470871" w:rsidRDefault="00282AA0" w:rsidP="006C2609">
            <w:pPr>
              <w:jc w:val="center"/>
              <w:rPr>
                <w:rFonts w:ascii="Times New Roman" w:eastAsia="Times New Roman" w:hAnsi="Times New Roman" w:cs="Times New Roman"/>
                <w:kern w:val="0"/>
                <w:lang w:eastAsia="en-IN" w:bidi="gu-IN"/>
                <w14:ligatures w14:val="none"/>
              </w:rPr>
            </w:pPr>
            <w:r w:rsidRPr="00470871">
              <w:rPr>
                <w:rFonts w:ascii="Times New Roman" w:eastAsia="Times New Roman" w:hAnsi="Times New Roman" w:cs="Times New Roman"/>
                <w:kern w:val="0"/>
                <w:lang w:eastAsia="en-IN" w:bidi="gu-IN"/>
                <w14:ligatures w14:val="none"/>
              </w:rPr>
              <w:t>Medium–high impact</w:t>
            </w:r>
          </w:p>
        </w:tc>
        <w:tc>
          <w:tcPr>
            <w:tcW w:w="0" w:type="auto"/>
            <w:vAlign w:val="center"/>
            <w:hideMark/>
          </w:tcPr>
          <w:p w14:paraId="5EF8090E" w14:textId="77777777" w:rsidR="00282AA0" w:rsidRPr="00470871" w:rsidRDefault="00282AA0" w:rsidP="006C2609">
            <w:pPr>
              <w:jc w:val="center"/>
              <w:rPr>
                <w:rFonts w:ascii="Times New Roman" w:eastAsia="Times New Roman" w:hAnsi="Times New Roman" w:cs="Times New Roman"/>
                <w:kern w:val="0"/>
                <w:lang w:eastAsia="en-IN" w:bidi="gu-IN"/>
                <w14:ligatures w14:val="none"/>
              </w:rPr>
            </w:pPr>
            <w:r w:rsidRPr="00470871">
              <w:rPr>
                <w:rFonts w:ascii="Times New Roman" w:eastAsia="Times New Roman" w:hAnsi="Times New Roman" w:cs="Times New Roman"/>
                <w:kern w:val="0"/>
                <w:lang w:eastAsia="en-IN" w:bidi="gu-IN"/>
                <w14:ligatures w14:val="none"/>
              </w:rPr>
              <w:t>Very high impact (UK-centric)</w:t>
            </w:r>
          </w:p>
        </w:tc>
      </w:tr>
      <w:tr w:rsidR="00282AA0" w:rsidRPr="00470871" w14:paraId="5B27DCE1" w14:textId="77777777" w:rsidTr="006C2609">
        <w:trPr>
          <w:tblCellSpacing w:w="15" w:type="dxa"/>
          <w:jc w:val="center"/>
        </w:trPr>
        <w:tc>
          <w:tcPr>
            <w:tcW w:w="0" w:type="auto"/>
            <w:vAlign w:val="center"/>
            <w:hideMark/>
          </w:tcPr>
          <w:p w14:paraId="0E58ABFD" w14:textId="77777777" w:rsidR="00282AA0" w:rsidRPr="00470871" w:rsidRDefault="00282AA0" w:rsidP="006C2609">
            <w:pPr>
              <w:jc w:val="center"/>
              <w:rPr>
                <w:rFonts w:ascii="Times New Roman" w:eastAsia="Times New Roman" w:hAnsi="Times New Roman" w:cs="Times New Roman"/>
                <w:kern w:val="0"/>
                <w:lang w:eastAsia="en-IN" w:bidi="gu-IN"/>
                <w14:ligatures w14:val="none"/>
              </w:rPr>
            </w:pPr>
            <w:r w:rsidRPr="00470871">
              <w:rPr>
                <w:rFonts w:ascii="Times New Roman" w:eastAsia="Times New Roman" w:hAnsi="Times New Roman" w:cs="Times New Roman"/>
                <w:kern w:val="0"/>
                <w:lang w:eastAsia="en-IN" w:bidi="gu-IN"/>
                <w14:ligatures w14:val="none"/>
              </w:rPr>
              <w:t>Bank levy and taxation</w:t>
            </w:r>
          </w:p>
        </w:tc>
        <w:tc>
          <w:tcPr>
            <w:tcW w:w="0" w:type="auto"/>
            <w:vAlign w:val="center"/>
            <w:hideMark/>
          </w:tcPr>
          <w:p w14:paraId="7ACABCFB" w14:textId="77777777" w:rsidR="00282AA0" w:rsidRPr="00470871" w:rsidRDefault="00282AA0" w:rsidP="006C2609">
            <w:pPr>
              <w:jc w:val="center"/>
              <w:rPr>
                <w:rFonts w:ascii="Times New Roman" w:eastAsia="Times New Roman" w:hAnsi="Times New Roman" w:cs="Times New Roman"/>
                <w:kern w:val="0"/>
                <w:lang w:eastAsia="en-IN" w:bidi="gu-IN"/>
                <w14:ligatures w14:val="none"/>
              </w:rPr>
            </w:pPr>
            <w:r w:rsidRPr="00470871">
              <w:rPr>
                <w:rFonts w:ascii="Times New Roman" w:eastAsia="Times New Roman" w:hAnsi="Times New Roman" w:cs="Times New Roman"/>
                <w:kern w:val="0"/>
                <w:lang w:eastAsia="en-IN" w:bidi="gu-IN"/>
                <w14:ligatures w14:val="none"/>
              </w:rPr>
              <w:t>Medium threat</w:t>
            </w:r>
          </w:p>
        </w:tc>
        <w:tc>
          <w:tcPr>
            <w:tcW w:w="0" w:type="auto"/>
            <w:vAlign w:val="center"/>
            <w:hideMark/>
          </w:tcPr>
          <w:p w14:paraId="4EC0F29A" w14:textId="77777777" w:rsidR="00282AA0" w:rsidRPr="00470871" w:rsidRDefault="00282AA0" w:rsidP="006C2609">
            <w:pPr>
              <w:jc w:val="center"/>
              <w:rPr>
                <w:rFonts w:ascii="Times New Roman" w:eastAsia="Times New Roman" w:hAnsi="Times New Roman" w:cs="Times New Roman"/>
                <w:kern w:val="0"/>
                <w:lang w:eastAsia="en-IN" w:bidi="gu-IN"/>
                <w14:ligatures w14:val="none"/>
              </w:rPr>
            </w:pPr>
            <w:r w:rsidRPr="00470871">
              <w:rPr>
                <w:rFonts w:ascii="Times New Roman" w:eastAsia="Times New Roman" w:hAnsi="Times New Roman" w:cs="Times New Roman"/>
                <w:kern w:val="0"/>
                <w:lang w:eastAsia="en-IN" w:bidi="gu-IN"/>
                <w14:ligatures w14:val="none"/>
              </w:rPr>
              <w:t>High threat</w:t>
            </w:r>
          </w:p>
        </w:tc>
      </w:tr>
      <w:tr w:rsidR="00282AA0" w:rsidRPr="00470871" w14:paraId="0C068DE4" w14:textId="77777777" w:rsidTr="006C2609">
        <w:trPr>
          <w:tblCellSpacing w:w="15" w:type="dxa"/>
          <w:jc w:val="center"/>
        </w:trPr>
        <w:tc>
          <w:tcPr>
            <w:tcW w:w="0" w:type="auto"/>
            <w:vAlign w:val="center"/>
            <w:hideMark/>
          </w:tcPr>
          <w:p w14:paraId="235182E6" w14:textId="77777777" w:rsidR="00282AA0" w:rsidRPr="00470871" w:rsidRDefault="00282AA0" w:rsidP="006C2609">
            <w:pPr>
              <w:jc w:val="center"/>
              <w:rPr>
                <w:rFonts w:ascii="Times New Roman" w:eastAsia="Times New Roman" w:hAnsi="Times New Roman" w:cs="Times New Roman"/>
                <w:kern w:val="0"/>
                <w:lang w:eastAsia="en-IN" w:bidi="gu-IN"/>
                <w14:ligatures w14:val="none"/>
              </w:rPr>
            </w:pPr>
            <w:r w:rsidRPr="00470871">
              <w:rPr>
                <w:rFonts w:ascii="Times New Roman" w:eastAsia="Times New Roman" w:hAnsi="Times New Roman" w:cs="Times New Roman"/>
                <w:kern w:val="0"/>
                <w:lang w:eastAsia="en-IN" w:bidi="gu-IN"/>
                <w14:ligatures w14:val="none"/>
              </w:rPr>
              <w:t>Trade policies</w:t>
            </w:r>
          </w:p>
        </w:tc>
        <w:tc>
          <w:tcPr>
            <w:tcW w:w="0" w:type="auto"/>
            <w:vAlign w:val="center"/>
            <w:hideMark/>
          </w:tcPr>
          <w:p w14:paraId="09177F42" w14:textId="77777777" w:rsidR="00282AA0" w:rsidRPr="00470871" w:rsidRDefault="00282AA0" w:rsidP="006C2609">
            <w:pPr>
              <w:jc w:val="center"/>
              <w:rPr>
                <w:rFonts w:ascii="Times New Roman" w:eastAsia="Times New Roman" w:hAnsi="Times New Roman" w:cs="Times New Roman"/>
                <w:kern w:val="0"/>
                <w:lang w:eastAsia="en-IN" w:bidi="gu-IN"/>
                <w14:ligatures w14:val="none"/>
              </w:rPr>
            </w:pPr>
            <w:r w:rsidRPr="00470871">
              <w:rPr>
                <w:rFonts w:ascii="Times New Roman" w:eastAsia="Times New Roman" w:hAnsi="Times New Roman" w:cs="Times New Roman"/>
                <w:kern w:val="0"/>
                <w:lang w:eastAsia="en-IN" w:bidi="gu-IN"/>
                <w14:ligatures w14:val="none"/>
              </w:rPr>
              <w:t>Major opportunity</w:t>
            </w:r>
          </w:p>
        </w:tc>
        <w:tc>
          <w:tcPr>
            <w:tcW w:w="0" w:type="auto"/>
            <w:vAlign w:val="center"/>
            <w:hideMark/>
          </w:tcPr>
          <w:p w14:paraId="6579C850" w14:textId="77777777" w:rsidR="00282AA0" w:rsidRPr="00470871" w:rsidRDefault="00282AA0" w:rsidP="006C2609">
            <w:pPr>
              <w:jc w:val="center"/>
              <w:rPr>
                <w:rFonts w:ascii="Times New Roman" w:eastAsia="Times New Roman" w:hAnsi="Times New Roman" w:cs="Times New Roman"/>
                <w:kern w:val="0"/>
                <w:lang w:eastAsia="en-IN" w:bidi="gu-IN"/>
                <w14:ligatures w14:val="none"/>
              </w:rPr>
            </w:pPr>
            <w:r w:rsidRPr="00470871">
              <w:rPr>
                <w:rFonts w:ascii="Times New Roman" w:eastAsia="Times New Roman" w:hAnsi="Times New Roman" w:cs="Times New Roman"/>
                <w:kern w:val="0"/>
                <w:lang w:eastAsia="en-IN" w:bidi="gu-IN"/>
                <w14:ligatures w14:val="none"/>
              </w:rPr>
              <w:t>Limited relevance</w:t>
            </w:r>
          </w:p>
        </w:tc>
      </w:tr>
      <w:tr w:rsidR="00282AA0" w:rsidRPr="00470871" w14:paraId="34BBFC09" w14:textId="77777777" w:rsidTr="006C2609">
        <w:trPr>
          <w:tblCellSpacing w:w="15" w:type="dxa"/>
          <w:jc w:val="center"/>
        </w:trPr>
        <w:tc>
          <w:tcPr>
            <w:tcW w:w="0" w:type="auto"/>
            <w:vAlign w:val="center"/>
            <w:hideMark/>
          </w:tcPr>
          <w:p w14:paraId="727E1BB9" w14:textId="77777777" w:rsidR="00282AA0" w:rsidRPr="00470871" w:rsidRDefault="00282AA0" w:rsidP="006C2609">
            <w:pPr>
              <w:jc w:val="center"/>
              <w:rPr>
                <w:rFonts w:ascii="Times New Roman" w:eastAsia="Times New Roman" w:hAnsi="Times New Roman" w:cs="Times New Roman"/>
                <w:kern w:val="0"/>
                <w:lang w:eastAsia="en-IN" w:bidi="gu-IN"/>
                <w14:ligatures w14:val="none"/>
              </w:rPr>
            </w:pPr>
            <w:r w:rsidRPr="00470871">
              <w:rPr>
                <w:rFonts w:ascii="Times New Roman" w:eastAsia="Times New Roman" w:hAnsi="Times New Roman" w:cs="Times New Roman"/>
                <w:kern w:val="0"/>
                <w:lang w:eastAsia="en-IN" w:bidi="gu-IN"/>
                <w14:ligatures w14:val="none"/>
              </w:rPr>
              <w:t>Housing policies</w:t>
            </w:r>
          </w:p>
        </w:tc>
        <w:tc>
          <w:tcPr>
            <w:tcW w:w="0" w:type="auto"/>
            <w:vAlign w:val="center"/>
            <w:hideMark/>
          </w:tcPr>
          <w:p w14:paraId="6AFA7560" w14:textId="77777777" w:rsidR="00282AA0" w:rsidRPr="00470871" w:rsidRDefault="00282AA0" w:rsidP="006C2609">
            <w:pPr>
              <w:jc w:val="center"/>
              <w:rPr>
                <w:rFonts w:ascii="Times New Roman" w:eastAsia="Times New Roman" w:hAnsi="Times New Roman" w:cs="Times New Roman"/>
                <w:kern w:val="0"/>
                <w:lang w:eastAsia="en-IN" w:bidi="gu-IN"/>
                <w14:ligatures w14:val="none"/>
              </w:rPr>
            </w:pPr>
            <w:r w:rsidRPr="00470871">
              <w:rPr>
                <w:rFonts w:ascii="Times New Roman" w:eastAsia="Times New Roman" w:hAnsi="Times New Roman" w:cs="Times New Roman"/>
                <w:kern w:val="0"/>
                <w:lang w:eastAsia="en-IN" w:bidi="gu-IN"/>
                <w14:ligatures w14:val="none"/>
              </w:rPr>
              <w:t>Moderate effect</w:t>
            </w:r>
          </w:p>
        </w:tc>
        <w:tc>
          <w:tcPr>
            <w:tcW w:w="0" w:type="auto"/>
            <w:vAlign w:val="center"/>
            <w:hideMark/>
          </w:tcPr>
          <w:p w14:paraId="2575D6BE" w14:textId="77777777" w:rsidR="00282AA0" w:rsidRPr="00470871" w:rsidRDefault="00282AA0" w:rsidP="006C2609">
            <w:pPr>
              <w:jc w:val="center"/>
              <w:rPr>
                <w:rFonts w:ascii="Times New Roman" w:eastAsia="Times New Roman" w:hAnsi="Times New Roman" w:cs="Times New Roman"/>
                <w:kern w:val="0"/>
                <w:lang w:eastAsia="en-IN" w:bidi="gu-IN"/>
                <w14:ligatures w14:val="none"/>
              </w:rPr>
            </w:pPr>
            <w:r w:rsidRPr="00470871">
              <w:rPr>
                <w:rFonts w:ascii="Times New Roman" w:eastAsia="Times New Roman" w:hAnsi="Times New Roman" w:cs="Times New Roman"/>
                <w:kern w:val="0"/>
                <w:lang w:eastAsia="en-IN" w:bidi="gu-IN"/>
                <w14:ligatures w14:val="none"/>
              </w:rPr>
              <w:t>Strong influence (mortgage market)</w:t>
            </w:r>
          </w:p>
        </w:tc>
      </w:tr>
      <w:tr w:rsidR="00282AA0" w:rsidRPr="00470871" w14:paraId="681D1D8A" w14:textId="77777777" w:rsidTr="006C2609">
        <w:trPr>
          <w:tblCellSpacing w:w="15" w:type="dxa"/>
          <w:jc w:val="center"/>
        </w:trPr>
        <w:tc>
          <w:tcPr>
            <w:tcW w:w="0" w:type="auto"/>
            <w:vAlign w:val="center"/>
            <w:hideMark/>
          </w:tcPr>
          <w:p w14:paraId="2AC0A3E9" w14:textId="77777777" w:rsidR="00282AA0" w:rsidRPr="00470871" w:rsidRDefault="00282AA0" w:rsidP="006C2609">
            <w:pPr>
              <w:jc w:val="center"/>
              <w:rPr>
                <w:rFonts w:ascii="Times New Roman" w:eastAsia="Times New Roman" w:hAnsi="Times New Roman" w:cs="Times New Roman"/>
                <w:kern w:val="0"/>
                <w:lang w:eastAsia="en-IN" w:bidi="gu-IN"/>
                <w14:ligatures w14:val="none"/>
              </w:rPr>
            </w:pPr>
            <w:r w:rsidRPr="00470871">
              <w:rPr>
                <w:rFonts w:ascii="Times New Roman" w:eastAsia="Times New Roman" w:hAnsi="Times New Roman" w:cs="Times New Roman"/>
                <w:kern w:val="0"/>
                <w:lang w:eastAsia="en-IN" w:bidi="gu-IN"/>
                <w14:ligatures w14:val="none"/>
              </w:rPr>
              <w:t>Green finance incentives</w:t>
            </w:r>
          </w:p>
        </w:tc>
        <w:tc>
          <w:tcPr>
            <w:tcW w:w="0" w:type="auto"/>
            <w:vAlign w:val="center"/>
            <w:hideMark/>
          </w:tcPr>
          <w:p w14:paraId="3B5CF5CA" w14:textId="77777777" w:rsidR="00282AA0" w:rsidRPr="00470871" w:rsidRDefault="00282AA0" w:rsidP="006C2609">
            <w:pPr>
              <w:jc w:val="center"/>
              <w:rPr>
                <w:rFonts w:ascii="Times New Roman" w:eastAsia="Times New Roman" w:hAnsi="Times New Roman" w:cs="Times New Roman"/>
                <w:kern w:val="0"/>
                <w:lang w:eastAsia="en-IN" w:bidi="gu-IN"/>
                <w14:ligatures w14:val="none"/>
              </w:rPr>
            </w:pPr>
            <w:r w:rsidRPr="00470871">
              <w:rPr>
                <w:rFonts w:ascii="Times New Roman" w:eastAsia="Times New Roman" w:hAnsi="Times New Roman" w:cs="Times New Roman"/>
                <w:kern w:val="0"/>
                <w:lang w:eastAsia="en-IN" w:bidi="gu-IN"/>
                <w14:ligatures w14:val="none"/>
              </w:rPr>
              <w:t>Significant potential</w:t>
            </w:r>
          </w:p>
        </w:tc>
        <w:tc>
          <w:tcPr>
            <w:tcW w:w="0" w:type="auto"/>
            <w:vAlign w:val="center"/>
            <w:hideMark/>
          </w:tcPr>
          <w:p w14:paraId="784E1F8B" w14:textId="77777777" w:rsidR="00282AA0" w:rsidRPr="00470871" w:rsidRDefault="00282AA0" w:rsidP="006C2609">
            <w:pPr>
              <w:jc w:val="center"/>
              <w:rPr>
                <w:rFonts w:ascii="Times New Roman" w:eastAsia="Times New Roman" w:hAnsi="Times New Roman" w:cs="Times New Roman"/>
                <w:kern w:val="0"/>
                <w:lang w:eastAsia="en-IN" w:bidi="gu-IN"/>
                <w14:ligatures w14:val="none"/>
              </w:rPr>
            </w:pPr>
            <w:r w:rsidRPr="00470871">
              <w:rPr>
                <w:rFonts w:ascii="Times New Roman" w:eastAsia="Times New Roman" w:hAnsi="Times New Roman" w:cs="Times New Roman"/>
                <w:kern w:val="0"/>
                <w:lang w:eastAsia="en-IN" w:bidi="gu-IN"/>
                <w14:ligatures w14:val="none"/>
              </w:rPr>
              <w:t>Strong domestic opportunity</w:t>
            </w:r>
          </w:p>
        </w:tc>
      </w:tr>
    </w:tbl>
    <w:p w14:paraId="252105C1" w14:textId="77777777" w:rsidR="007526F2" w:rsidRDefault="007526F2" w:rsidP="008E7F5C">
      <w:pPr>
        <w:rPr>
          <w:rFonts w:eastAsiaTheme="majorEastAsia" w:cstheme="minorHAnsi"/>
          <w:sz w:val="22"/>
          <w:szCs w:val="22"/>
        </w:rPr>
      </w:pPr>
    </w:p>
    <w:p w14:paraId="3DBAA3A8" w14:textId="77777777" w:rsidR="00282AA0" w:rsidRPr="005D2A29" w:rsidRDefault="00282AA0" w:rsidP="008E7F5C">
      <w:pPr>
        <w:rPr>
          <w:rFonts w:eastAsiaTheme="majorEastAsia" w:cstheme="minorHAnsi"/>
          <w:sz w:val="22"/>
          <w:szCs w:val="22"/>
        </w:rPr>
      </w:pPr>
    </w:p>
    <w:p w14:paraId="71BC4BE5" w14:textId="40B2AB24" w:rsidR="007526F2" w:rsidRPr="005D2A29" w:rsidRDefault="00C967F9" w:rsidP="008E7F5C">
      <w:pPr>
        <w:rPr>
          <w:rFonts w:cstheme="minorHAnsi"/>
          <w:sz w:val="22"/>
          <w:szCs w:val="22"/>
        </w:rPr>
      </w:pPr>
      <w:r>
        <w:rPr>
          <w:rFonts w:cstheme="minorHAnsi"/>
          <w:sz w:val="22"/>
          <w:szCs w:val="22"/>
        </w:rPr>
        <w:lastRenderedPageBreak/>
        <w:t>Opportunities</w:t>
      </w:r>
      <w:r w:rsidR="00D020F9">
        <w:rPr>
          <w:rFonts w:cstheme="minorHAnsi"/>
          <w:sz w:val="22"/>
          <w:szCs w:val="22"/>
        </w:rPr>
        <w:t xml:space="preserve"> and Threats for the</w:t>
      </w:r>
      <w:r w:rsidR="007526F2" w:rsidRPr="005D2A29">
        <w:rPr>
          <w:rFonts w:cstheme="minorHAnsi"/>
          <w:sz w:val="22"/>
          <w:szCs w:val="22"/>
        </w:rPr>
        <w:t xml:space="preserve"> HSBC </w:t>
      </w:r>
      <w:r>
        <w:rPr>
          <w:rFonts w:cstheme="minorHAnsi"/>
          <w:sz w:val="22"/>
          <w:szCs w:val="22"/>
        </w:rPr>
        <w:t>Bank</w:t>
      </w:r>
    </w:p>
    <w:p w14:paraId="71ADF978" w14:textId="77777777" w:rsidR="00C967F9" w:rsidRDefault="00C967F9" w:rsidP="008E7F5C">
      <w:pPr>
        <w:rPr>
          <w:rFonts w:cstheme="minorHAnsi"/>
          <w:sz w:val="22"/>
          <w:szCs w:val="22"/>
        </w:rPr>
      </w:pPr>
    </w:p>
    <w:p w14:paraId="1701EEA9" w14:textId="181924E1" w:rsidR="00BB56D3" w:rsidRDefault="00BB56D3" w:rsidP="00BB56D3">
      <w:pPr>
        <w:rPr>
          <w:rFonts w:cstheme="minorHAnsi"/>
          <w:sz w:val="22"/>
          <w:szCs w:val="22"/>
        </w:rPr>
      </w:pPr>
      <w:r w:rsidRPr="005D2A29">
        <w:rPr>
          <w:rFonts w:cstheme="minorHAnsi"/>
          <w:sz w:val="22"/>
          <w:szCs w:val="22"/>
        </w:rPr>
        <w:t>Opportunities: -</w:t>
      </w:r>
    </w:p>
    <w:p w14:paraId="4B4DD722" w14:textId="77777777" w:rsidR="00282AA0" w:rsidRPr="00FE5D7D" w:rsidRDefault="00282AA0" w:rsidP="00282AA0">
      <w:pPr>
        <w:numPr>
          <w:ilvl w:val="0"/>
          <w:numId w:val="35"/>
        </w:numPr>
        <w:spacing w:before="100" w:beforeAutospacing="1" w:after="100" w:afterAutospacing="1"/>
        <w:rPr>
          <w:rFonts w:eastAsia="Times New Roman" w:cstheme="minorHAnsi"/>
          <w:kern w:val="0"/>
          <w:sz w:val="22"/>
          <w:szCs w:val="22"/>
          <w:lang w:eastAsia="en-IN" w:bidi="gu-IN"/>
          <w14:ligatures w14:val="none"/>
        </w:rPr>
      </w:pPr>
      <w:r w:rsidRPr="00FE5D7D">
        <w:rPr>
          <w:rFonts w:eastAsia="Times New Roman" w:cstheme="minorHAnsi"/>
          <w:kern w:val="0"/>
          <w:sz w:val="22"/>
          <w:szCs w:val="22"/>
          <w:lang w:eastAsia="en-IN" w:bidi="gu-IN"/>
          <w14:ligatures w14:val="none"/>
        </w:rPr>
        <w:t>Ability to leverage international trade agreements to expand cross-border services.</w:t>
      </w:r>
    </w:p>
    <w:p w14:paraId="04430DA5" w14:textId="77777777" w:rsidR="00282AA0" w:rsidRPr="00FE5D7D" w:rsidRDefault="00282AA0" w:rsidP="00282AA0">
      <w:pPr>
        <w:numPr>
          <w:ilvl w:val="0"/>
          <w:numId w:val="35"/>
        </w:numPr>
        <w:spacing w:before="100" w:beforeAutospacing="1" w:after="100" w:afterAutospacing="1"/>
        <w:rPr>
          <w:rFonts w:eastAsia="Times New Roman" w:cstheme="minorHAnsi"/>
          <w:kern w:val="0"/>
          <w:sz w:val="22"/>
          <w:szCs w:val="22"/>
          <w:lang w:eastAsia="en-IN" w:bidi="gu-IN"/>
          <w14:ligatures w14:val="none"/>
        </w:rPr>
      </w:pPr>
      <w:r w:rsidRPr="00FE5D7D">
        <w:rPr>
          <w:rFonts w:eastAsia="Times New Roman" w:cstheme="minorHAnsi"/>
          <w:kern w:val="0"/>
          <w:sz w:val="22"/>
          <w:szCs w:val="22"/>
          <w:lang w:eastAsia="en-IN" w:bidi="gu-IN"/>
          <w14:ligatures w14:val="none"/>
        </w:rPr>
        <w:t>Strong global compliance capabilities can strengthen brand confidence.</w:t>
      </w:r>
    </w:p>
    <w:p w14:paraId="1B6F21B3" w14:textId="77777777" w:rsidR="00282AA0" w:rsidRPr="00FE5D7D" w:rsidRDefault="00282AA0" w:rsidP="00282AA0">
      <w:pPr>
        <w:numPr>
          <w:ilvl w:val="0"/>
          <w:numId w:val="35"/>
        </w:numPr>
        <w:spacing w:before="100" w:beforeAutospacing="1" w:after="100" w:afterAutospacing="1"/>
        <w:rPr>
          <w:rFonts w:eastAsia="Times New Roman" w:cstheme="minorHAnsi"/>
          <w:kern w:val="0"/>
          <w:sz w:val="22"/>
          <w:szCs w:val="22"/>
          <w:lang w:eastAsia="en-IN" w:bidi="gu-IN"/>
          <w14:ligatures w14:val="none"/>
        </w:rPr>
      </w:pPr>
      <w:r w:rsidRPr="00FE5D7D">
        <w:rPr>
          <w:rFonts w:eastAsia="Times New Roman" w:cstheme="minorHAnsi"/>
          <w:kern w:val="0"/>
          <w:sz w:val="22"/>
          <w:szCs w:val="22"/>
          <w:lang w:eastAsia="en-IN" w:bidi="gu-IN"/>
          <w14:ligatures w14:val="none"/>
        </w:rPr>
        <w:t>Growth potential in ESG-linked financial products.</w:t>
      </w:r>
    </w:p>
    <w:p w14:paraId="049E6323" w14:textId="278E94D5" w:rsidR="00282AA0" w:rsidRPr="00FE5D7D" w:rsidRDefault="00282AA0" w:rsidP="007526F2">
      <w:pPr>
        <w:numPr>
          <w:ilvl w:val="0"/>
          <w:numId w:val="35"/>
        </w:numPr>
        <w:spacing w:before="100" w:beforeAutospacing="1" w:after="100" w:afterAutospacing="1"/>
        <w:rPr>
          <w:rFonts w:eastAsia="Times New Roman" w:cstheme="minorHAnsi"/>
          <w:kern w:val="0"/>
          <w:sz w:val="22"/>
          <w:szCs w:val="22"/>
          <w:lang w:eastAsia="en-IN" w:bidi="gu-IN"/>
          <w14:ligatures w14:val="none"/>
        </w:rPr>
      </w:pPr>
      <w:r w:rsidRPr="00FE5D7D">
        <w:rPr>
          <w:rFonts w:eastAsia="Times New Roman" w:cstheme="minorHAnsi"/>
          <w:kern w:val="0"/>
          <w:sz w:val="22"/>
          <w:szCs w:val="22"/>
          <w:lang w:eastAsia="en-IN" w:bidi="gu-IN"/>
          <w14:ligatures w14:val="none"/>
        </w:rPr>
        <w:t>Geographic diversification reduces regional risk.</w:t>
      </w:r>
    </w:p>
    <w:p w14:paraId="1C0BCFF0" w14:textId="0618E88F" w:rsidR="007526F2" w:rsidRPr="00FE5D7D" w:rsidRDefault="00BB56D3" w:rsidP="007526F2">
      <w:pPr>
        <w:rPr>
          <w:rFonts w:cstheme="minorHAnsi"/>
          <w:sz w:val="22"/>
          <w:szCs w:val="22"/>
        </w:rPr>
      </w:pPr>
      <w:r w:rsidRPr="00FE5D7D">
        <w:rPr>
          <w:rFonts w:cstheme="minorHAnsi"/>
          <w:sz w:val="22"/>
          <w:szCs w:val="22"/>
        </w:rPr>
        <w:t>Threats: -</w:t>
      </w:r>
    </w:p>
    <w:p w14:paraId="2627F32E" w14:textId="0F749259" w:rsidR="00BB56D3" w:rsidRPr="00FE5D7D" w:rsidRDefault="00BB56D3" w:rsidP="00BB56D3">
      <w:pPr>
        <w:pStyle w:val="NormalWeb"/>
        <w:numPr>
          <w:ilvl w:val="0"/>
          <w:numId w:val="24"/>
        </w:numPr>
        <w:rPr>
          <w:rFonts w:asciiTheme="minorHAnsi" w:hAnsiTheme="minorHAnsi" w:cstheme="minorHAnsi"/>
          <w:sz w:val="22"/>
          <w:szCs w:val="22"/>
        </w:rPr>
      </w:pPr>
      <w:r w:rsidRPr="00FE5D7D">
        <w:rPr>
          <w:rFonts w:asciiTheme="minorHAnsi" w:hAnsiTheme="minorHAnsi" w:cstheme="minorHAnsi"/>
          <w:sz w:val="22"/>
          <w:szCs w:val="22"/>
        </w:rPr>
        <w:t>Increased compliance costs across multiple jurisdictions.</w:t>
      </w:r>
    </w:p>
    <w:p w14:paraId="65A8F91C" w14:textId="4F451F4A" w:rsidR="00BB56D3" w:rsidRPr="00FE5D7D" w:rsidRDefault="00BB56D3" w:rsidP="00BB56D3">
      <w:pPr>
        <w:pStyle w:val="NormalWeb"/>
        <w:numPr>
          <w:ilvl w:val="0"/>
          <w:numId w:val="24"/>
        </w:numPr>
        <w:rPr>
          <w:rFonts w:asciiTheme="minorHAnsi" w:hAnsiTheme="minorHAnsi" w:cstheme="minorHAnsi"/>
          <w:sz w:val="22"/>
          <w:szCs w:val="22"/>
        </w:rPr>
      </w:pPr>
      <w:r w:rsidRPr="00FE5D7D">
        <w:rPr>
          <w:rFonts w:asciiTheme="minorHAnsi" w:hAnsiTheme="minorHAnsi" w:cstheme="minorHAnsi"/>
          <w:sz w:val="22"/>
          <w:szCs w:val="22"/>
        </w:rPr>
        <w:t>Regulatory divergence post-Brexit requires separate systems for UK and EU operations.</w:t>
      </w:r>
    </w:p>
    <w:p w14:paraId="1E69995D" w14:textId="29CE4209" w:rsidR="00BB56D3" w:rsidRPr="00FE5D7D" w:rsidRDefault="00BB56D3" w:rsidP="00BB56D3">
      <w:pPr>
        <w:pStyle w:val="NormalWeb"/>
        <w:numPr>
          <w:ilvl w:val="0"/>
          <w:numId w:val="24"/>
        </w:numPr>
        <w:rPr>
          <w:rFonts w:asciiTheme="minorHAnsi" w:hAnsiTheme="minorHAnsi" w:cstheme="minorHAnsi"/>
          <w:sz w:val="22"/>
          <w:szCs w:val="22"/>
        </w:rPr>
      </w:pPr>
      <w:r w:rsidRPr="00FE5D7D">
        <w:rPr>
          <w:rFonts w:asciiTheme="minorHAnsi" w:hAnsiTheme="minorHAnsi" w:cstheme="minorHAnsi"/>
          <w:sz w:val="22"/>
          <w:szCs w:val="22"/>
        </w:rPr>
        <w:t>Geopolitical tensions in Asia and emerging markets could disrupt operations and reduce profitability.</w:t>
      </w:r>
    </w:p>
    <w:p w14:paraId="542D57BB" w14:textId="68C8192D" w:rsidR="00BB56D3" w:rsidRPr="00FE5D7D" w:rsidRDefault="00BB56D3" w:rsidP="00BB56D3">
      <w:pPr>
        <w:pStyle w:val="NormalWeb"/>
        <w:numPr>
          <w:ilvl w:val="0"/>
          <w:numId w:val="24"/>
        </w:numPr>
        <w:rPr>
          <w:rFonts w:asciiTheme="minorHAnsi" w:hAnsiTheme="minorHAnsi" w:cstheme="minorHAnsi"/>
          <w:sz w:val="22"/>
          <w:szCs w:val="22"/>
        </w:rPr>
      </w:pPr>
      <w:r w:rsidRPr="00FE5D7D">
        <w:rPr>
          <w:rFonts w:asciiTheme="minorHAnsi" w:hAnsiTheme="minorHAnsi" w:cstheme="minorHAnsi"/>
          <w:sz w:val="22"/>
          <w:szCs w:val="22"/>
        </w:rPr>
        <w:t>Changes in UK banking levies and taxes impact profits, though partially mitigated by global diversification.</w:t>
      </w:r>
    </w:p>
    <w:p w14:paraId="17FA3DB0" w14:textId="77777777" w:rsidR="00C47BB4" w:rsidRPr="00FE5D7D" w:rsidRDefault="00C47BB4" w:rsidP="007526F2">
      <w:pPr>
        <w:rPr>
          <w:rFonts w:cstheme="minorHAnsi"/>
          <w:sz w:val="22"/>
          <w:szCs w:val="22"/>
        </w:rPr>
      </w:pPr>
    </w:p>
    <w:p w14:paraId="7CD399A2" w14:textId="2CBF9064" w:rsidR="00C47BB4" w:rsidRPr="00FE5D7D" w:rsidRDefault="00C47BB4" w:rsidP="007526F2">
      <w:pPr>
        <w:rPr>
          <w:rFonts w:cstheme="minorHAnsi"/>
          <w:sz w:val="22"/>
          <w:szCs w:val="22"/>
        </w:rPr>
      </w:pPr>
      <w:r w:rsidRPr="00FE5D7D">
        <w:rPr>
          <w:rFonts w:cstheme="minorHAnsi"/>
          <w:sz w:val="22"/>
          <w:szCs w:val="22"/>
        </w:rPr>
        <w:t>OPPORTUNITIES AND THREATS FOR THE LLOYDS BANK</w:t>
      </w:r>
    </w:p>
    <w:p w14:paraId="3795F19A" w14:textId="77777777" w:rsidR="00C47BB4" w:rsidRPr="00FE5D7D" w:rsidRDefault="00C47BB4" w:rsidP="007526F2">
      <w:pPr>
        <w:rPr>
          <w:rFonts w:cstheme="minorHAnsi"/>
          <w:sz w:val="22"/>
          <w:szCs w:val="22"/>
        </w:rPr>
      </w:pPr>
    </w:p>
    <w:p w14:paraId="14B7BC4A" w14:textId="59735883" w:rsidR="00C47BB4" w:rsidRPr="00FE5D7D" w:rsidRDefault="00BB56D3" w:rsidP="007526F2">
      <w:pPr>
        <w:rPr>
          <w:rFonts w:cstheme="minorHAnsi"/>
          <w:sz w:val="22"/>
          <w:szCs w:val="22"/>
        </w:rPr>
      </w:pPr>
      <w:r w:rsidRPr="00FE5D7D">
        <w:rPr>
          <w:rFonts w:cstheme="minorHAnsi"/>
          <w:sz w:val="22"/>
          <w:szCs w:val="22"/>
        </w:rPr>
        <w:t>Opportunities: -</w:t>
      </w:r>
    </w:p>
    <w:p w14:paraId="23791299" w14:textId="77777777" w:rsidR="00BB56D3" w:rsidRPr="00FE5D7D" w:rsidRDefault="00BB56D3" w:rsidP="00BB56D3">
      <w:pPr>
        <w:pStyle w:val="NormalWeb"/>
        <w:numPr>
          <w:ilvl w:val="0"/>
          <w:numId w:val="26"/>
        </w:numPr>
        <w:rPr>
          <w:rFonts w:asciiTheme="minorHAnsi" w:hAnsiTheme="minorHAnsi" w:cstheme="minorHAnsi"/>
          <w:sz w:val="22"/>
          <w:szCs w:val="22"/>
        </w:rPr>
      </w:pPr>
      <w:r w:rsidRPr="00FE5D7D">
        <w:rPr>
          <w:rFonts w:asciiTheme="minorHAnsi" w:hAnsiTheme="minorHAnsi" w:cstheme="minorHAnsi"/>
          <w:sz w:val="22"/>
          <w:szCs w:val="22"/>
        </w:rPr>
        <w:t>Government housing schemes enable mortgage growth, reinforcing market leadership in UK housing finance.</w:t>
      </w:r>
    </w:p>
    <w:p w14:paraId="0D0F1C18" w14:textId="77777777" w:rsidR="00BB56D3" w:rsidRPr="00FE5D7D" w:rsidRDefault="00BB56D3" w:rsidP="00BB56D3">
      <w:pPr>
        <w:pStyle w:val="NormalWeb"/>
        <w:numPr>
          <w:ilvl w:val="0"/>
          <w:numId w:val="26"/>
        </w:numPr>
        <w:rPr>
          <w:rFonts w:asciiTheme="minorHAnsi" w:hAnsiTheme="minorHAnsi" w:cstheme="minorHAnsi"/>
          <w:sz w:val="22"/>
          <w:szCs w:val="22"/>
        </w:rPr>
      </w:pPr>
      <w:r w:rsidRPr="00FE5D7D">
        <w:rPr>
          <w:rFonts w:asciiTheme="minorHAnsi" w:hAnsiTheme="minorHAnsi" w:cstheme="minorHAnsi"/>
          <w:sz w:val="22"/>
          <w:szCs w:val="22"/>
        </w:rPr>
        <w:t>Regulatory pressure on high-risk lenders strengthens Lloyds’ image as a stable, low-risk bank.</w:t>
      </w:r>
    </w:p>
    <w:p w14:paraId="1C15D12B" w14:textId="6C22C5E7" w:rsidR="00BB56D3" w:rsidRPr="00FE5D7D" w:rsidRDefault="00BB56D3" w:rsidP="00BB56D3">
      <w:pPr>
        <w:pStyle w:val="NormalWeb"/>
        <w:numPr>
          <w:ilvl w:val="0"/>
          <w:numId w:val="26"/>
        </w:numPr>
        <w:rPr>
          <w:rFonts w:asciiTheme="minorHAnsi" w:hAnsiTheme="minorHAnsi" w:cstheme="minorHAnsi"/>
          <w:sz w:val="22"/>
          <w:szCs w:val="22"/>
        </w:rPr>
      </w:pPr>
      <w:r w:rsidRPr="00FE5D7D">
        <w:rPr>
          <w:rFonts w:asciiTheme="minorHAnsi" w:hAnsiTheme="minorHAnsi" w:cstheme="minorHAnsi"/>
          <w:sz w:val="22"/>
          <w:szCs w:val="22"/>
        </w:rPr>
        <w:t>Green finance incentives allow Lloyds to introduce sustainable lending products.</w:t>
      </w:r>
    </w:p>
    <w:p w14:paraId="7341005C" w14:textId="63DED763" w:rsidR="00C47BB4" w:rsidRPr="00FE5D7D" w:rsidRDefault="00BB56D3" w:rsidP="00C47BB4">
      <w:pPr>
        <w:pStyle w:val="NormalWeb"/>
        <w:numPr>
          <w:ilvl w:val="0"/>
          <w:numId w:val="26"/>
        </w:numPr>
        <w:rPr>
          <w:rFonts w:asciiTheme="minorHAnsi" w:hAnsiTheme="minorHAnsi" w:cstheme="minorHAnsi"/>
          <w:sz w:val="22"/>
          <w:szCs w:val="22"/>
        </w:rPr>
      </w:pPr>
      <w:r w:rsidRPr="00FE5D7D">
        <w:rPr>
          <w:rFonts w:asciiTheme="minorHAnsi" w:hAnsiTheme="minorHAnsi" w:cstheme="minorHAnsi"/>
          <w:sz w:val="22"/>
          <w:szCs w:val="22"/>
        </w:rPr>
        <w:t>SME lending support from government schemes provides growth in business banking.</w:t>
      </w:r>
    </w:p>
    <w:p w14:paraId="690F4D40" w14:textId="51D9CFA9" w:rsidR="00C47BB4" w:rsidRPr="00FE5D7D" w:rsidRDefault="00BB56D3" w:rsidP="00C47BB4">
      <w:pPr>
        <w:rPr>
          <w:rFonts w:cstheme="minorHAnsi"/>
          <w:sz w:val="22"/>
          <w:szCs w:val="22"/>
        </w:rPr>
      </w:pPr>
      <w:r w:rsidRPr="00FE5D7D">
        <w:rPr>
          <w:rFonts w:cstheme="minorHAnsi"/>
          <w:sz w:val="22"/>
          <w:szCs w:val="22"/>
        </w:rPr>
        <w:t>Threats: -</w:t>
      </w:r>
    </w:p>
    <w:p w14:paraId="68254FA9" w14:textId="77777777" w:rsidR="00BB56D3" w:rsidRPr="00FE5D7D" w:rsidRDefault="00BB56D3" w:rsidP="00C47BB4">
      <w:pPr>
        <w:rPr>
          <w:rFonts w:cstheme="minorHAnsi"/>
          <w:sz w:val="22"/>
          <w:szCs w:val="22"/>
        </w:rPr>
      </w:pPr>
    </w:p>
    <w:p w14:paraId="03171C63" w14:textId="77777777" w:rsidR="00BB56D3" w:rsidRPr="00FE5D7D" w:rsidRDefault="00BB56D3" w:rsidP="00BB56D3">
      <w:pPr>
        <w:pStyle w:val="ListParagraph"/>
        <w:numPr>
          <w:ilvl w:val="0"/>
          <w:numId w:val="27"/>
        </w:numPr>
        <w:rPr>
          <w:rFonts w:cstheme="minorHAnsi"/>
          <w:sz w:val="22"/>
          <w:szCs w:val="22"/>
        </w:rPr>
      </w:pPr>
      <w:r w:rsidRPr="00FE5D7D">
        <w:rPr>
          <w:rFonts w:cstheme="minorHAnsi"/>
          <w:sz w:val="22"/>
          <w:szCs w:val="22"/>
        </w:rPr>
        <w:t>Stricter UK regulations increase operational and compliance costs.</w:t>
      </w:r>
    </w:p>
    <w:p w14:paraId="7A15E4D5" w14:textId="77777777" w:rsidR="00BB56D3" w:rsidRPr="00FE5D7D" w:rsidRDefault="00BB56D3" w:rsidP="00BB56D3">
      <w:pPr>
        <w:pStyle w:val="ListParagraph"/>
        <w:numPr>
          <w:ilvl w:val="0"/>
          <w:numId w:val="27"/>
        </w:numPr>
        <w:rPr>
          <w:rFonts w:cstheme="minorHAnsi"/>
          <w:sz w:val="22"/>
          <w:szCs w:val="22"/>
        </w:rPr>
      </w:pPr>
      <w:r w:rsidRPr="00FE5D7D">
        <w:rPr>
          <w:rFonts w:cstheme="minorHAnsi"/>
          <w:sz w:val="22"/>
          <w:szCs w:val="22"/>
        </w:rPr>
        <w:t>Tax increases or bank levies directly reduce profitability.</w:t>
      </w:r>
    </w:p>
    <w:p w14:paraId="61C2F0FC" w14:textId="77777777" w:rsidR="00BB56D3" w:rsidRPr="00FE5D7D" w:rsidRDefault="00BB56D3" w:rsidP="00BB56D3">
      <w:pPr>
        <w:pStyle w:val="ListParagraph"/>
        <w:numPr>
          <w:ilvl w:val="0"/>
          <w:numId w:val="27"/>
        </w:numPr>
        <w:rPr>
          <w:rFonts w:cstheme="minorHAnsi"/>
          <w:sz w:val="22"/>
          <w:szCs w:val="22"/>
        </w:rPr>
      </w:pPr>
      <w:r w:rsidRPr="00FE5D7D">
        <w:rPr>
          <w:rFonts w:cstheme="minorHAnsi"/>
          <w:sz w:val="22"/>
          <w:szCs w:val="22"/>
        </w:rPr>
        <w:t>Government scrutiny over branch closures can harm reputation and customer trust.</w:t>
      </w:r>
    </w:p>
    <w:p w14:paraId="397C3C63" w14:textId="46C07E88" w:rsidR="00BB56D3" w:rsidRPr="00FE5D7D" w:rsidRDefault="00BB56D3" w:rsidP="00BB56D3">
      <w:pPr>
        <w:pStyle w:val="ListParagraph"/>
        <w:numPr>
          <w:ilvl w:val="0"/>
          <w:numId w:val="27"/>
        </w:numPr>
        <w:rPr>
          <w:rFonts w:cstheme="minorHAnsi"/>
          <w:sz w:val="22"/>
          <w:szCs w:val="22"/>
        </w:rPr>
      </w:pPr>
      <w:r w:rsidRPr="00FE5D7D">
        <w:rPr>
          <w:rFonts w:cstheme="minorHAnsi"/>
          <w:sz w:val="22"/>
          <w:szCs w:val="22"/>
        </w:rPr>
        <w:t>Political intervention in mortgage lending (affordability rules, interest caps) could reduce lending volumes.</w:t>
      </w:r>
    </w:p>
    <w:p w14:paraId="05EF8712" w14:textId="77777777" w:rsidR="00C47BB4" w:rsidRPr="005D2A29" w:rsidRDefault="00C47BB4" w:rsidP="00C47BB4">
      <w:pPr>
        <w:rPr>
          <w:rFonts w:cstheme="minorHAnsi"/>
          <w:sz w:val="22"/>
          <w:szCs w:val="22"/>
        </w:rPr>
      </w:pPr>
    </w:p>
    <w:p w14:paraId="2AE2409B" w14:textId="6740F621" w:rsidR="00C47BB4" w:rsidRPr="00093DB6" w:rsidRDefault="00C47BB4" w:rsidP="00B12800">
      <w:pPr>
        <w:pStyle w:val="Heading3"/>
        <w:numPr>
          <w:ilvl w:val="2"/>
          <w:numId w:val="20"/>
        </w:numPr>
        <w:rPr>
          <w:sz w:val="28"/>
          <w:szCs w:val="28"/>
        </w:rPr>
      </w:pPr>
      <w:bookmarkStart w:id="12" w:name="_Toc214600044"/>
      <w:bookmarkStart w:id="13" w:name="_Toc214638851"/>
      <w:r w:rsidRPr="00093DB6">
        <w:rPr>
          <w:sz w:val="28"/>
          <w:szCs w:val="28"/>
        </w:rPr>
        <w:t>S</w:t>
      </w:r>
      <w:r w:rsidR="00C967F9" w:rsidRPr="00093DB6">
        <w:rPr>
          <w:sz w:val="28"/>
          <w:szCs w:val="28"/>
        </w:rPr>
        <w:t>ocial Actor Change</w:t>
      </w:r>
      <w:bookmarkEnd w:id="12"/>
      <w:bookmarkEnd w:id="13"/>
    </w:p>
    <w:p w14:paraId="1C731CAA" w14:textId="360BEEEA" w:rsidR="00C967F9" w:rsidRPr="00C967F9" w:rsidRDefault="00C967F9" w:rsidP="00C967F9">
      <w:pPr>
        <w:ind w:left="360"/>
        <w:jc w:val="center"/>
        <w:rPr>
          <w:rFonts w:cstheme="minorHAnsi"/>
          <w:sz w:val="22"/>
          <w:szCs w:val="22"/>
        </w:rPr>
      </w:pPr>
      <w:r>
        <w:rPr>
          <w:rFonts w:cstheme="minorHAnsi"/>
          <w:sz w:val="22"/>
          <w:szCs w:val="22"/>
        </w:rPr>
        <w:t>Impacts Of Pioneer and Follower Bank</w:t>
      </w:r>
    </w:p>
    <w:p w14:paraId="71CEF387" w14:textId="77777777" w:rsidR="00C47BB4" w:rsidRPr="005D2A29" w:rsidRDefault="00C47BB4" w:rsidP="00C47BB4">
      <w:pPr>
        <w:rPr>
          <w:rFonts w:cstheme="minorHAnsi"/>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30"/>
        <w:gridCol w:w="3559"/>
        <w:gridCol w:w="3327"/>
      </w:tblGrid>
      <w:tr w:rsidR="00282AA0" w:rsidRPr="00470871" w14:paraId="5AF08F90" w14:textId="77777777" w:rsidTr="006C2609">
        <w:trPr>
          <w:tblHeader/>
          <w:tblCellSpacing w:w="15" w:type="dxa"/>
        </w:trPr>
        <w:tc>
          <w:tcPr>
            <w:tcW w:w="0" w:type="auto"/>
            <w:vAlign w:val="center"/>
            <w:hideMark/>
          </w:tcPr>
          <w:p w14:paraId="5CCFD627" w14:textId="77777777" w:rsidR="00282AA0" w:rsidRPr="00470871" w:rsidRDefault="00282AA0" w:rsidP="006C2609">
            <w:pPr>
              <w:jc w:val="center"/>
              <w:rPr>
                <w:rFonts w:ascii="Times New Roman" w:eastAsia="Times New Roman" w:hAnsi="Times New Roman" w:cs="Times New Roman"/>
                <w:b/>
                <w:bCs/>
                <w:kern w:val="0"/>
                <w:lang w:eastAsia="en-IN" w:bidi="gu-IN"/>
                <w14:ligatures w14:val="none"/>
              </w:rPr>
            </w:pPr>
            <w:r w:rsidRPr="00470871">
              <w:rPr>
                <w:rFonts w:ascii="Times New Roman" w:eastAsia="Times New Roman" w:hAnsi="Times New Roman" w:cs="Times New Roman"/>
                <w:b/>
                <w:bCs/>
                <w:kern w:val="0"/>
                <w:lang w:eastAsia="en-IN" w:bidi="gu-IN"/>
                <w14:ligatures w14:val="none"/>
              </w:rPr>
              <w:t>Social Actor Change</w:t>
            </w:r>
          </w:p>
        </w:tc>
        <w:tc>
          <w:tcPr>
            <w:tcW w:w="0" w:type="auto"/>
            <w:vAlign w:val="center"/>
            <w:hideMark/>
          </w:tcPr>
          <w:p w14:paraId="2C57879C" w14:textId="77777777" w:rsidR="00282AA0" w:rsidRDefault="00282AA0" w:rsidP="006C2609">
            <w:pPr>
              <w:jc w:val="center"/>
              <w:rPr>
                <w:rFonts w:ascii="Times New Roman" w:eastAsia="Times New Roman" w:hAnsi="Times New Roman" w:cs="Times New Roman"/>
                <w:b/>
                <w:bCs/>
                <w:kern w:val="0"/>
                <w:lang w:eastAsia="en-IN" w:bidi="gu-IN"/>
                <w14:ligatures w14:val="none"/>
              </w:rPr>
            </w:pPr>
            <w:r w:rsidRPr="00470871">
              <w:rPr>
                <w:rFonts w:ascii="Times New Roman" w:eastAsia="Times New Roman" w:hAnsi="Times New Roman" w:cs="Times New Roman"/>
                <w:b/>
                <w:bCs/>
                <w:kern w:val="0"/>
                <w:lang w:eastAsia="en-IN" w:bidi="gu-IN"/>
                <w14:ligatures w14:val="none"/>
              </w:rPr>
              <w:t xml:space="preserve">Pioneer </w:t>
            </w:r>
          </w:p>
          <w:p w14:paraId="34FA45A9" w14:textId="77777777" w:rsidR="00282AA0" w:rsidRPr="00470871" w:rsidRDefault="00282AA0" w:rsidP="006C2609">
            <w:pPr>
              <w:jc w:val="center"/>
              <w:rPr>
                <w:rFonts w:ascii="Times New Roman" w:eastAsia="Times New Roman" w:hAnsi="Times New Roman" w:cs="Times New Roman"/>
                <w:b/>
                <w:bCs/>
                <w:kern w:val="0"/>
                <w:lang w:eastAsia="en-IN" w:bidi="gu-IN"/>
                <w14:ligatures w14:val="none"/>
              </w:rPr>
            </w:pPr>
            <w:r w:rsidRPr="00470871">
              <w:rPr>
                <w:rFonts w:ascii="Times New Roman" w:eastAsia="Times New Roman" w:hAnsi="Times New Roman" w:cs="Times New Roman"/>
                <w:b/>
                <w:bCs/>
                <w:kern w:val="0"/>
                <w:lang w:eastAsia="en-IN" w:bidi="gu-IN"/>
                <w14:ligatures w14:val="none"/>
              </w:rPr>
              <w:t>HSBC</w:t>
            </w:r>
          </w:p>
        </w:tc>
        <w:tc>
          <w:tcPr>
            <w:tcW w:w="0" w:type="auto"/>
            <w:vAlign w:val="center"/>
            <w:hideMark/>
          </w:tcPr>
          <w:p w14:paraId="004F4402" w14:textId="77777777" w:rsidR="00282AA0" w:rsidRDefault="00282AA0" w:rsidP="006C2609">
            <w:pPr>
              <w:jc w:val="center"/>
              <w:rPr>
                <w:rFonts w:ascii="Times New Roman" w:eastAsia="Times New Roman" w:hAnsi="Times New Roman" w:cs="Times New Roman"/>
                <w:b/>
                <w:bCs/>
                <w:kern w:val="0"/>
                <w:lang w:eastAsia="en-IN" w:bidi="gu-IN"/>
                <w14:ligatures w14:val="none"/>
              </w:rPr>
            </w:pPr>
            <w:r w:rsidRPr="00470871">
              <w:rPr>
                <w:rFonts w:ascii="Times New Roman" w:eastAsia="Times New Roman" w:hAnsi="Times New Roman" w:cs="Times New Roman"/>
                <w:b/>
                <w:bCs/>
                <w:kern w:val="0"/>
                <w:lang w:eastAsia="en-IN" w:bidi="gu-IN"/>
                <w14:ligatures w14:val="none"/>
              </w:rPr>
              <w:t xml:space="preserve">Follower </w:t>
            </w:r>
          </w:p>
          <w:p w14:paraId="7BF0AB82" w14:textId="77777777" w:rsidR="00282AA0" w:rsidRPr="00470871" w:rsidRDefault="00282AA0" w:rsidP="006C2609">
            <w:pPr>
              <w:jc w:val="center"/>
              <w:rPr>
                <w:rFonts w:ascii="Times New Roman" w:eastAsia="Times New Roman" w:hAnsi="Times New Roman" w:cs="Times New Roman"/>
                <w:b/>
                <w:bCs/>
                <w:kern w:val="0"/>
                <w:lang w:eastAsia="en-IN" w:bidi="gu-IN"/>
                <w14:ligatures w14:val="none"/>
              </w:rPr>
            </w:pPr>
            <w:r w:rsidRPr="00470871">
              <w:rPr>
                <w:rFonts w:ascii="Times New Roman" w:eastAsia="Times New Roman" w:hAnsi="Times New Roman" w:cs="Times New Roman"/>
                <w:b/>
                <w:bCs/>
                <w:kern w:val="0"/>
                <w:lang w:eastAsia="en-IN" w:bidi="gu-IN"/>
                <w14:ligatures w14:val="none"/>
              </w:rPr>
              <w:t xml:space="preserve"> Lloyds</w:t>
            </w:r>
          </w:p>
        </w:tc>
      </w:tr>
      <w:tr w:rsidR="00282AA0" w:rsidRPr="00470871" w14:paraId="39C6CEEE" w14:textId="77777777" w:rsidTr="006C2609">
        <w:trPr>
          <w:tblCellSpacing w:w="15" w:type="dxa"/>
        </w:trPr>
        <w:tc>
          <w:tcPr>
            <w:tcW w:w="0" w:type="auto"/>
            <w:vAlign w:val="center"/>
            <w:hideMark/>
          </w:tcPr>
          <w:p w14:paraId="59C080C5" w14:textId="77777777" w:rsidR="00282AA0" w:rsidRPr="00470871" w:rsidRDefault="00282AA0" w:rsidP="006C2609">
            <w:pPr>
              <w:jc w:val="center"/>
              <w:rPr>
                <w:rFonts w:ascii="Times New Roman" w:eastAsia="Times New Roman" w:hAnsi="Times New Roman" w:cs="Times New Roman"/>
                <w:kern w:val="0"/>
                <w:lang w:eastAsia="en-IN" w:bidi="gu-IN"/>
                <w14:ligatures w14:val="none"/>
              </w:rPr>
            </w:pPr>
            <w:r w:rsidRPr="00470871">
              <w:rPr>
                <w:rFonts w:ascii="Times New Roman" w:eastAsia="Times New Roman" w:hAnsi="Times New Roman" w:cs="Times New Roman"/>
                <w:kern w:val="0"/>
                <w:lang w:eastAsia="en-IN" w:bidi="gu-IN"/>
                <w14:ligatures w14:val="none"/>
              </w:rPr>
              <w:t>Digital banking trends</w:t>
            </w:r>
          </w:p>
        </w:tc>
        <w:tc>
          <w:tcPr>
            <w:tcW w:w="0" w:type="auto"/>
            <w:vAlign w:val="center"/>
            <w:hideMark/>
          </w:tcPr>
          <w:p w14:paraId="4918F044" w14:textId="77777777" w:rsidR="00282AA0" w:rsidRPr="00470871" w:rsidRDefault="00282AA0" w:rsidP="006C2609">
            <w:pPr>
              <w:jc w:val="center"/>
              <w:rPr>
                <w:rFonts w:ascii="Times New Roman" w:eastAsia="Times New Roman" w:hAnsi="Times New Roman" w:cs="Times New Roman"/>
                <w:kern w:val="0"/>
                <w:lang w:eastAsia="en-IN" w:bidi="gu-IN"/>
                <w14:ligatures w14:val="none"/>
              </w:rPr>
            </w:pPr>
            <w:r w:rsidRPr="00470871">
              <w:rPr>
                <w:rFonts w:ascii="Times New Roman" w:eastAsia="Times New Roman" w:hAnsi="Times New Roman" w:cs="Times New Roman"/>
                <w:kern w:val="0"/>
                <w:lang w:eastAsia="en-IN" w:bidi="gu-IN"/>
                <w14:ligatures w14:val="none"/>
              </w:rPr>
              <w:t>Strong global pressures</w:t>
            </w:r>
          </w:p>
        </w:tc>
        <w:tc>
          <w:tcPr>
            <w:tcW w:w="0" w:type="auto"/>
            <w:vAlign w:val="center"/>
            <w:hideMark/>
          </w:tcPr>
          <w:p w14:paraId="5CC62D5A" w14:textId="77777777" w:rsidR="00282AA0" w:rsidRPr="00470871" w:rsidRDefault="00282AA0" w:rsidP="006C2609">
            <w:pPr>
              <w:jc w:val="center"/>
              <w:rPr>
                <w:rFonts w:ascii="Times New Roman" w:eastAsia="Times New Roman" w:hAnsi="Times New Roman" w:cs="Times New Roman"/>
                <w:kern w:val="0"/>
                <w:lang w:eastAsia="en-IN" w:bidi="gu-IN"/>
                <w14:ligatures w14:val="none"/>
              </w:rPr>
            </w:pPr>
            <w:r w:rsidRPr="00470871">
              <w:rPr>
                <w:rFonts w:ascii="Times New Roman" w:eastAsia="Times New Roman" w:hAnsi="Times New Roman" w:cs="Times New Roman"/>
                <w:kern w:val="0"/>
                <w:lang w:eastAsia="en-IN" w:bidi="gu-IN"/>
                <w14:ligatures w14:val="none"/>
              </w:rPr>
              <w:t>UK domestic shift</w:t>
            </w:r>
          </w:p>
        </w:tc>
      </w:tr>
      <w:tr w:rsidR="00282AA0" w:rsidRPr="00470871" w14:paraId="230A3C28" w14:textId="77777777" w:rsidTr="006C2609">
        <w:trPr>
          <w:tblCellSpacing w:w="15" w:type="dxa"/>
        </w:trPr>
        <w:tc>
          <w:tcPr>
            <w:tcW w:w="0" w:type="auto"/>
            <w:vAlign w:val="center"/>
            <w:hideMark/>
          </w:tcPr>
          <w:p w14:paraId="1AFD5642" w14:textId="77777777" w:rsidR="00282AA0" w:rsidRPr="00470871" w:rsidRDefault="00282AA0" w:rsidP="006C2609">
            <w:pPr>
              <w:jc w:val="center"/>
              <w:rPr>
                <w:rFonts w:ascii="Times New Roman" w:eastAsia="Times New Roman" w:hAnsi="Times New Roman" w:cs="Times New Roman"/>
                <w:kern w:val="0"/>
                <w:lang w:eastAsia="en-IN" w:bidi="gu-IN"/>
                <w14:ligatures w14:val="none"/>
              </w:rPr>
            </w:pPr>
            <w:r w:rsidRPr="00470871">
              <w:rPr>
                <w:rFonts w:ascii="Times New Roman" w:eastAsia="Times New Roman" w:hAnsi="Times New Roman" w:cs="Times New Roman"/>
                <w:kern w:val="0"/>
                <w:lang w:eastAsia="en-IN" w:bidi="gu-IN"/>
                <w14:ligatures w14:val="none"/>
              </w:rPr>
              <w:t>Ageing population</w:t>
            </w:r>
          </w:p>
        </w:tc>
        <w:tc>
          <w:tcPr>
            <w:tcW w:w="0" w:type="auto"/>
            <w:vAlign w:val="center"/>
            <w:hideMark/>
          </w:tcPr>
          <w:p w14:paraId="03E2D4A2" w14:textId="77777777" w:rsidR="00282AA0" w:rsidRPr="00470871" w:rsidRDefault="00282AA0" w:rsidP="006C2609">
            <w:pPr>
              <w:jc w:val="center"/>
              <w:rPr>
                <w:rFonts w:ascii="Times New Roman" w:eastAsia="Times New Roman" w:hAnsi="Times New Roman" w:cs="Times New Roman"/>
                <w:kern w:val="0"/>
                <w:lang w:eastAsia="en-IN" w:bidi="gu-IN"/>
                <w14:ligatures w14:val="none"/>
              </w:rPr>
            </w:pPr>
            <w:r w:rsidRPr="00470871">
              <w:rPr>
                <w:rFonts w:ascii="Times New Roman" w:eastAsia="Times New Roman" w:hAnsi="Times New Roman" w:cs="Times New Roman"/>
                <w:kern w:val="0"/>
                <w:lang w:eastAsia="en-IN" w:bidi="gu-IN"/>
                <w14:ligatures w14:val="none"/>
              </w:rPr>
              <w:t>Wealth and retirement markets globally</w:t>
            </w:r>
          </w:p>
        </w:tc>
        <w:tc>
          <w:tcPr>
            <w:tcW w:w="0" w:type="auto"/>
            <w:vAlign w:val="center"/>
            <w:hideMark/>
          </w:tcPr>
          <w:p w14:paraId="3003F63D" w14:textId="77777777" w:rsidR="00282AA0" w:rsidRPr="00470871" w:rsidRDefault="00282AA0" w:rsidP="006C2609">
            <w:pPr>
              <w:jc w:val="center"/>
              <w:rPr>
                <w:rFonts w:ascii="Times New Roman" w:eastAsia="Times New Roman" w:hAnsi="Times New Roman" w:cs="Times New Roman"/>
                <w:kern w:val="0"/>
                <w:lang w:eastAsia="en-IN" w:bidi="gu-IN"/>
                <w14:ligatures w14:val="none"/>
              </w:rPr>
            </w:pPr>
            <w:r w:rsidRPr="00470871">
              <w:rPr>
                <w:rFonts w:ascii="Times New Roman" w:eastAsia="Times New Roman" w:hAnsi="Times New Roman" w:cs="Times New Roman"/>
                <w:kern w:val="0"/>
                <w:lang w:eastAsia="en-IN" w:bidi="gu-IN"/>
                <w14:ligatures w14:val="none"/>
              </w:rPr>
              <w:t>UK retirement market demand</w:t>
            </w:r>
          </w:p>
        </w:tc>
      </w:tr>
      <w:tr w:rsidR="00282AA0" w:rsidRPr="00470871" w14:paraId="65C7DEDF" w14:textId="77777777" w:rsidTr="006C2609">
        <w:trPr>
          <w:tblCellSpacing w:w="15" w:type="dxa"/>
        </w:trPr>
        <w:tc>
          <w:tcPr>
            <w:tcW w:w="0" w:type="auto"/>
            <w:vAlign w:val="center"/>
            <w:hideMark/>
          </w:tcPr>
          <w:p w14:paraId="5AB294A2" w14:textId="77777777" w:rsidR="00282AA0" w:rsidRPr="00470871" w:rsidRDefault="00282AA0" w:rsidP="006C2609">
            <w:pPr>
              <w:jc w:val="center"/>
              <w:rPr>
                <w:rFonts w:ascii="Times New Roman" w:eastAsia="Times New Roman" w:hAnsi="Times New Roman" w:cs="Times New Roman"/>
                <w:kern w:val="0"/>
                <w:lang w:eastAsia="en-IN" w:bidi="gu-IN"/>
                <w14:ligatures w14:val="none"/>
              </w:rPr>
            </w:pPr>
            <w:r w:rsidRPr="00470871">
              <w:rPr>
                <w:rFonts w:ascii="Times New Roman" w:eastAsia="Times New Roman" w:hAnsi="Times New Roman" w:cs="Times New Roman"/>
                <w:kern w:val="0"/>
                <w:lang w:eastAsia="en-IN" w:bidi="gu-IN"/>
                <w14:ligatures w14:val="none"/>
              </w:rPr>
              <w:t>ESG expectations</w:t>
            </w:r>
          </w:p>
        </w:tc>
        <w:tc>
          <w:tcPr>
            <w:tcW w:w="0" w:type="auto"/>
            <w:vAlign w:val="center"/>
            <w:hideMark/>
          </w:tcPr>
          <w:p w14:paraId="0FFCFD58" w14:textId="77777777" w:rsidR="00282AA0" w:rsidRPr="00470871" w:rsidRDefault="00282AA0" w:rsidP="006C2609">
            <w:pPr>
              <w:jc w:val="center"/>
              <w:rPr>
                <w:rFonts w:ascii="Times New Roman" w:eastAsia="Times New Roman" w:hAnsi="Times New Roman" w:cs="Times New Roman"/>
                <w:kern w:val="0"/>
                <w:lang w:eastAsia="en-IN" w:bidi="gu-IN"/>
                <w14:ligatures w14:val="none"/>
              </w:rPr>
            </w:pPr>
            <w:r w:rsidRPr="00470871">
              <w:rPr>
                <w:rFonts w:ascii="Times New Roman" w:eastAsia="Times New Roman" w:hAnsi="Times New Roman" w:cs="Times New Roman"/>
                <w:kern w:val="0"/>
                <w:lang w:eastAsia="en-IN" w:bidi="gu-IN"/>
                <w14:ligatures w14:val="none"/>
              </w:rPr>
              <w:t>High global pressure</w:t>
            </w:r>
          </w:p>
        </w:tc>
        <w:tc>
          <w:tcPr>
            <w:tcW w:w="0" w:type="auto"/>
            <w:vAlign w:val="center"/>
            <w:hideMark/>
          </w:tcPr>
          <w:p w14:paraId="778FE16C" w14:textId="77777777" w:rsidR="00282AA0" w:rsidRPr="00470871" w:rsidRDefault="00282AA0" w:rsidP="006C2609">
            <w:pPr>
              <w:jc w:val="center"/>
              <w:rPr>
                <w:rFonts w:ascii="Times New Roman" w:eastAsia="Times New Roman" w:hAnsi="Times New Roman" w:cs="Times New Roman"/>
                <w:kern w:val="0"/>
                <w:lang w:eastAsia="en-IN" w:bidi="gu-IN"/>
                <w14:ligatures w14:val="none"/>
              </w:rPr>
            </w:pPr>
            <w:r w:rsidRPr="00470871">
              <w:rPr>
                <w:rFonts w:ascii="Times New Roman" w:eastAsia="Times New Roman" w:hAnsi="Times New Roman" w:cs="Times New Roman"/>
                <w:kern w:val="0"/>
                <w:lang w:eastAsia="en-IN" w:bidi="gu-IN"/>
                <w14:ligatures w14:val="none"/>
              </w:rPr>
              <w:t>Moderate but growing pressure</w:t>
            </w:r>
          </w:p>
        </w:tc>
      </w:tr>
      <w:tr w:rsidR="00282AA0" w:rsidRPr="00470871" w14:paraId="458DC0D4" w14:textId="77777777" w:rsidTr="006C2609">
        <w:trPr>
          <w:tblCellSpacing w:w="15" w:type="dxa"/>
        </w:trPr>
        <w:tc>
          <w:tcPr>
            <w:tcW w:w="0" w:type="auto"/>
            <w:vAlign w:val="center"/>
            <w:hideMark/>
          </w:tcPr>
          <w:p w14:paraId="3FBE0DEB" w14:textId="77777777" w:rsidR="00282AA0" w:rsidRPr="00470871" w:rsidRDefault="00282AA0" w:rsidP="006C2609">
            <w:pPr>
              <w:jc w:val="center"/>
              <w:rPr>
                <w:rFonts w:ascii="Times New Roman" w:eastAsia="Times New Roman" w:hAnsi="Times New Roman" w:cs="Times New Roman"/>
                <w:kern w:val="0"/>
                <w:lang w:eastAsia="en-IN" w:bidi="gu-IN"/>
                <w14:ligatures w14:val="none"/>
              </w:rPr>
            </w:pPr>
            <w:r w:rsidRPr="00470871">
              <w:rPr>
                <w:rFonts w:ascii="Times New Roman" w:eastAsia="Times New Roman" w:hAnsi="Times New Roman" w:cs="Times New Roman"/>
                <w:kern w:val="0"/>
                <w:lang w:eastAsia="en-IN" w:bidi="gu-IN"/>
                <w14:ligatures w14:val="none"/>
              </w:rPr>
              <w:lastRenderedPageBreak/>
              <w:t>Public trust</w:t>
            </w:r>
          </w:p>
        </w:tc>
        <w:tc>
          <w:tcPr>
            <w:tcW w:w="0" w:type="auto"/>
            <w:vAlign w:val="center"/>
            <w:hideMark/>
          </w:tcPr>
          <w:p w14:paraId="7928C257" w14:textId="77777777" w:rsidR="00282AA0" w:rsidRPr="00470871" w:rsidRDefault="00282AA0" w:rsidP="006C2609">
            <w:pPr>
              <w:jc w:val="center"/>
              <w:rPr>
                <w:rFonts w:ascii="Times New Roman" w:eastAsia="Times New Roman" w:hAnsi="Times New Roman" w:cs="Times New Roman"/>
                <w:kern w:val="0"/>
                <w:lang w:eastAsia="en-IN" w:bidi="gu-IN"/>
                <w14:ligatures w14:val="none"/>
              </w:rPr>
            </w:pPr>
            <w:r w:rsidRPr="00470871">
              <w:rPr>
                <w:rFonts w:ascii="Times New Roman" w:eastAsia="Times New Roman" w:hAnsi="Times New Roman" w:cs="Times New Roman"/>
                <w:kern w:val="0"/>
                <w:lang w:eastAsia="en-IN" w:bidi="gu-IN"/>
                <w14:ligatures w14:val="none"/>
              </w:rPr>
              <w:t>Major global scandals affect image</w:t>
            </w:r>
          </w:p>
        </w:tc>
        <w:tc>
          <w:tcPr>
            <w:tcW w:w="0" w:type="auto"/>
            <w:vAlign w:val="center"/>
            <w:hideMark/>
          </w:tcPr>
          <w:p w14:paraId="2BB478DF" w14:textId="77777777" w:rsidR="00282AA0" w:rsidRPr="00470871" w:rsidRDefault="00282AA0" w:rsidP="006C2609">
            <w:pPr>
              <w:jc w:val="center"/>
              <w:rPr>
                <w:rFonts w:ascii="Times New Roman" w:eastAsia="Times New Roman" w:hAnsi="Times New Roman" w:cs="Times New Roman"/>
                <w:kern w:val="0"/>
                <w:lang w:eastAsia="en-IN" w:bidi="gu-IN"/>
                <w14:ligatures w14:val="none"/>
              </w:rPr>
            </w:pPr>
            <w:r w:rsidRPr="00470871">
              <w:rPr>
                <w:rFonts w:ascii="Times New Roman" w:eastAsia="Times New Roman" w:hAnsi="Times New Roman" w:cs="Times New Roman"/>
                <w:kern w:val="0"/>
                <w:lang w:eastAsia="en-IN" w:bidi="gu-IN"/>
                <w14:ligatures w14:val="none"/>
              </w:rPr>
              <w:t>More stable but sensitive to closures</w:t>
            </w:r>
          </w:p>
        </w:tc>
      </w:tr>
      <w:tr w:rsidR="00282AA0" w:rsidRPr="00470871" w14:paraId="4646AEAC" w14:textId="77777777" w:rsidTr="006C2609">
        <w:trPr>
          <w:tblCellSpacing w:w="15" w:type="dxa"/>
        </w:trPr>
        <w:tc>
          <w:tcPr>
            <w:tcW w:w="0" w:type="auto"/>
            <w:vAlign w:val="center"/>
            <w:hideMark/>
          </w:tcPr>
          <w:p w14:paraId="6A2B593C" w14:textId="77777777" w:rsidR="00282AA0" w:rsidRPr="00470871" w:rsidRDefault="00282AA0" w:rsidP="006C2609">
            <w:pPr>
              <w:jc w:val="center"/>
              <w:rPr>
                <w:rFonts w:ascii="Times New Roman" w:eastAsia="Times New Roman" w:hAnsi="Times New Roman" w:cs="Times New Roman"/>
                <w:kern w:val="0"/>
                <w:lang w:eastAsia="en-IN" w:bidi="gu-IN"/>
                <w14:ligatures w14:val="none"/>
              </w:rPr>
            </w:pPr>
            <w:r w:rsidRPr="00470871">
              <w:rPr>
                <w:rFonts w:ascii="Times New Roman" w:eastAsia="Times New Roman" w:hAnsi="Times New Roman" w:cs="Times New Roman"/>
                <w:kern w:val="0"/>
                <w:lang w:eastAsia="en-IN" w:bidi="gu-IN"/>
                <w14:ligatures w14:val="none"/>
              </w:rPr>
              <w:t>Cost-of-living</w:t>
            </w:r>
          </w:p>
        </w:tc>
        <w:tc>
          <w:tcPr>
            <w:tcW w:w="0" w:type="auto"/>
            <w:vAlign w:val="center"/>
            <w:hideMark/>
          </w:tcPr>
          <w:p w14:paraId="1C0B32EF" w14:textId="77777777" w:rsidR="00282AA0" w:rsidRPr="00470871" w:rsidRDefault="00282AA0" w:rsidP="006C2609">
            <w:pPr>
              <w:jc w:val="center"/>
              <w:rPr>
                <w:rFonts w:ascii="Times New Roman" w:eastAsia="Times New Roman" w:hAnsi="Times New Roman" w:cs="Times New Roman"/>
                <w:kern w:val="0"/>
                <w:lang w:eastAsia="en-IN" w:bidi="gu-IN"/>
                <w14:ligatures w14:val="none"/>
              </w:rPr>
            </w:pPr>
            <w:r w:rsidRPr="00470871">
              <w:rPr>
                <w:rFonts w:ascii="Times New Roman" w:eastAsia="Times New Roman" w:hAnsi="Times New Roman" w:cs="Times New Roman"/>
                <w:kern w:val="0"/>
                <w:lang w:eastAsia="en-IN" w:bidi="gu-IN"/>
                <w14:ligatures w14:val="none"/>
              </w:rPr>
              <w:t>Moderate impact globally</w:t>
            </w:r>
          </w:p>
        </w:tc>
        <w:tc>
          <w:tcPr>
            <w:tcW w:w="0" w:type="auto"/>
            <w:vAlign w:val="center"/>
            <w:hideMark/>
          </w:tcPr>
          <w:p w14:paraId="74ADB005" w14:textId="77777777" w:rsidR="00282AA0" w:rsidRPr="00470871" w:rsidRDefault="00282AA0" w:rsidP="006C2609">
            <w:pPr>
              <w:jc w:val="center"/>
              <w:rPr>
                <w:rFonts w:ascii="Times New Roman" w:eastAsia="Times New Roman" w:hAnsi="Times New Roman" w:cs="Times New Roman"/>
                <w:kern w:val="0"/>
                <w:lang w:eastAsia="en-IN" w:bidi="gu-IN"/>
                <w14:ligatures w14:val="none"/>
              </w:rPr>
            </w:pPr>
            <w:r w:rsidRPr="00470871">
              <w:rPr>
                <w:rFonts w:ascii="Times New Roman" w:eastAsia="Times New Roman" w:hAnsi="Times New Roman" w:cs="Times New Roman"/>
                <w:kern w:val="0"/>
                <w:lang w:eastAsia="en-IN" w:bidi="gu-IN"/>
                <w14:ligatures w14:val="none"/>
              </w:rPr>
              <w:t>Severe effect domestically</w:t>
            </w:r>
          </w:p>
        </w:tc>
      </w:tr>
    </w:tbl>
    <w:p w14:paraId="2E9FCFA2" w14:textId="77777777" w:rsidR="00C47BB4" w:rsidRPr="005D2A29" w:rsidRDefault="00C47BB4" w:rsidP="00C47BB4">
      <w:pPr>
        <w:rPr>
          <w:rFonts w:cstheme="minorHAnsi"/>
          <w:sz w:val="22"/>
          <w:szCs w:val="22"/>
        </w:rPr>
      </w:pPr>
    </w:p>
    <w:p w14:paraId="4886EE67" w14:textId="77777777" w:rsidR="00C47BB4" w:rsidRPr="005D2A29" w:rsidRDefault="00C47BB4" w:rsidP="00C47BB4">
      <w:pPr>
        <w:rPr>
          <w:rFonts w:cstheme="minorHAnsi"/>
          <w:sz w:val="22"/>
          <w:szCs w:val="22"/>
        </w:rPr>
      </w:pPr>
    </w:p>
    <w:p w14:paraId="49E9A266" w14:textId="765BA554" w:rsidR="00C47BB4" w:rsidRDefault="00C47BB4" w:rsidP="00C47BB4">
      <w:pPr>
        <w:rPr>
          <w:rFonts w:cstheme="minorHAnsi"/>
          <w:sz w:val="22"/>
          <w:szCs w:val="22"/>
        </w:rPr>
      </w:pPr>
      <w:r w:rsidRPr="00FE5D7D">
        <w:rPr>
          <w:rFonts w:cstheme="minorHAnsi"/>
          <w:sz w:val="22"/>
          <w:szCs w:val="22"/>
        </w:rPr>
        <w:t>O</w:t>
      </w:r>
      <w:r w:rsidR="00C967F9" w:rsidRPr="00FE5D7D">
        <w:rPr>
          <w:rFonts w:cstheme="minorHAnsi"/>
          <w:sz w:val="22"/>
          <w:szCs w:val="22"/>
        </w:rPr>
        <w:t xml:space="preserve">pportunities and Threats </w:t>
      </w:r>
      <w:r w:rsidR="00B12800" w:rsidRPr="00FE5D7D">
        <w:rPr>
          <w:rFonts w:cstheme="minorHAnsi"/>
          <w:sz w:val="22"/>
          <w:szCs w:val="22"/>
        </w:rPr>
        <w:t>for</w:t>
      </w:r>
      <w:r w:rsidRPr="00FE5D7D">
        <w:rPr>
          <w:rFonts w:cstheme="minorHAnsi"/>
          <w:sz w:val="22"/>
          <w:szCs w:val="22"/>
        </w:rPr>
        <w:t xml:space="preserve"> </w:t>
      </w:r>
      <w:r w:rsidR="00C967F9" w:rsidRPr="00FE5D7D">
        <w:rPr>
          <w:rFonts w:cstheme="minorHAnsi"/>
          <w:sz w:val="22"/>
          <w:szCs w:val="22"/>
        </w:rPr>
        <w:t>The HSB</w:t>
      </w:r>
      <w:r w:rsidRPr="00FE5D7D">
        <w:rPr>
          <w:rFonts w:cstheme="minorHAnsi"/>
          <w:sz w:val="22"/>
          <w:szCs w:val="22"/>
        </w:rPr>
        <w:t>C</w:t>
      </w:r>
      <w:r w:rsidR="00C967F9" w:rsidRPr="00FE5D7D">
        <w:rPr>
          <w:rFonts w:cstheme="minorHAnsi"/>
          <w:sz w:val="22"/>
          <w:szCs w:val="22"/>
        </w:rPr>
        <w:t xml:space="preserve"> </w:t>
      </w:r>
      <w:r w:rsidRPr="00FE5D7D">
        <w:rPr>
          <w:rFonts w:cstheme="minorHAnsi"/>
          <w:sz w:val="22"/>
          <w:szCs w:val="22"/>
        </w:rPr>
        <w:t>B</w:t>
      </w:r>
      <w:r w:rsidR="00C967F9" w:rsidRPr="00FE5D7D">
        <w:rPr>
          <w:rFonts w:cstheme="minorHAnsi"/>
          <w:sz w:val="22"/>
          <w:szCs w:val="22"/>
        </w:rPr>
        <w:t>ank</w:t>
      </w:r>
    </w:p>
    <w:p w14:paraId="568F4E38" w14:textId="77777777" w:rsidR="00FE5D7D" w:rsidRPr="00FE5D7D" w:rsidRDefault="00FE5D7D" w:rsidP="00C47BB4">
      <w:pPr>
        <w:rPr>
          <w:rFonts w:cstheme="minorHAnsi"/>
          <w:sz w:val="22"/>
          <w:szCs w:val="22"/>
        </w:rPr>
      </w:pPr>
    </w:p>
    <w:p w14:paraId="5CF25763" w14:textId="77777777" w:rsidR="002716AC" w:rsidRPr="00FE5D7D" w:rsidRDefault="00B12800" w:rsidP="002716AC">
      <w:pPr>
        <w:rPr>
          <w:rFonts w:cstheme="minorHAnsi"/>
          <w:sz w:val="22"/>
          <w:szCs w:val="22"/>
        </w:rPr>
      </w:pPr>
      <w:r w:rsidRPr="00FE5D7D">
        <w:rPr>
          <w:rFonts w:cstheme="minorHAnsi"/>
          <w:sz w:val="22"/>
          <w:szCs w:val="22"/>
        </w:rPr>
        <w:t>Opportunities: -</w:t>
      </w:r>
    </w:p>
    <w:p w14:paraId="6CF9193B" w14:textId="77777777" w:rsidR="002716AC" w:rsidRPr="00FE5D7D" w:rsidRDefault="002716AC" w:rsidP="002716AC">
      <w:pPr>
        <w:pStyle w:val="ListParagraph"/>
        <w:numPr>
          <w:ilvl w:val="0"/>
          <w:numId w:val="34"/>
        </w:numPr>
        <w:rPr>
          <w:sz w:val="22"/>
          <w:szCs w:val="22"/>
        </w:rPr>
      </w:pPr>
      <w:r w:rsidRPr="00FE5D7D">
        <w:rPr>
          <w:sz w:val="22"/>
          <w:szCs w:val="22"/>
        </w:rPr>
        <w:t>Expand digital banking globally and develop mobile-first services.</w:t>
      </w:r>
    </w:p>
    <w:p w14:paraId="27DFFD27" w14:textId="77777777" w:rsidR="002716AC" w:rsidRPr="00FE5D7D" w:rsidRDefault="002716AC" w:rsidP="002716AC">
      <w:pPr>
        <w:pStyle w:val="ListParagraph"/>
        <w:numPr>
          <w:ilvl w:val="0"/>
          <w:numId w:val="34"/>
        </w:numPr>
        <w:rPr>
          <w:sz w:val="22"/>
          <w:szCs w:val="22"/>
        </w:rPr>
      </w:pPr>
      <w:r w:rsidRPr="00FE5D7D">
        <w:rPr>
          <w:sz w:val="22"/>
          <w:szCs w:val="22"/>
        </w:rPr>
        <w:t>Launch wealth management, pensions, and insurance products in ageing markets.</w:t>
      </w:r>
    </w:p>
    <w:p w14:paraId="4696B4A9" w14:textId="77777777" w:rsidR="002716AC" w:rsidRPr="00FE5D7D" w:rsidRDefault="002716AC" w:rsidP="002716AC">
      <w:pPr>
        <w:pStyle w:val="ListParagraph"/>
        <w:numPr>
          <w:ilvl w:val="0"/>
          <w:numId w:val="34"/>
        </w:numPr>
        <w:rPr>
          <w:sz w:val="22"/>
          <w:szCs w:val="22"/>
        </w:rPr>
      </w:pPr>
      <w:r w:rsidRPr="00FE5D7D">
        <w:rPr>
          <w:sz w:val="22"/>
          <w:szCs w:val="22"/>
        </w:rPr>
        <w:t>Introduce ESG and sustainable investment products internationally.</w:t>
      </w:r>
    </w:p>
    <w:p w14:paraId="69628E3A" w14:textId="6DE6B410" w:rsidR="002716AC" w:rsidRPr="00FE5D7D" w:rsidRDefault="002716AC" w:rsidP="002716AC">
      <w:pPr>
        <w:pStyle w:val="ListParagraph"/>
        <w:numPr>
          <w:ilvl w:val="0"/>
          <w:numId w:val="34"/>
        </w:numPr>
        <w:rPr>
          <w:rFonts w:cstheme="minorHAnsi"/>
          <w:sz w:val="22"/>
          <w:szCs w:val="22"/>
        </w:rPr>
      </w:pPr>
      <w:r w:rsidRPr="00FE5D7D">
        <w:rPr>
          <w:sz w:val="22"/>
          <w:szCs w:val="22"/>
        </w:rPr>
        <w:t>Serve minority or expatriate populations with cross-border banking and financial inclusion initiatives.</w:t>
      </w:r>
    </w:p>
    <w:p w14:paraId="04E24A57" w14:textId="77777777" w:rsidR="00C47BB4" w:rsidRPr="00FE5D7D" w:rsidRDefault="00C47BB4" w:rsidP="00C47BB4">
      <w:pPr>
        <w:rPr>
          <w:rFonts w:cstheme="minorHAnsi"/>
          <w:sz w:val="22"/>
          <w:szCs w:val="22"/>
        </w:rPr>
      </w:pPr>
    </w:p>
    <w:p w14:paraId="43769C6E" w14:textId="77777777" w:rsidR="002716AC" w:rsidRPr="00FE5D7D" w:rsidRDefault="00B12800" w:rsidP="002716AC">
      <w:pPr>
        <w:rPr>
          <w:rFonts w:cstheme="minorHAnsi"/>
          <w:sz w:val="22"/>
          <w:szCs w:val="22"/>
        </w:rPr>
      </w:pPr>
      <w:r w:rsidRPr="00FE5D7D">
        <w:rPr>
          <w:rFonts w:cstheme="minorHAnsi"/>
          <w:sz w:val="22"/>
          <w:szCs w:val="22"/>
        </w:rPr>
        <w:t>Threats: -</w:t>
      </w:r>
    </w:p>
    <w:p w14:paraId="030F54D5" w14:textId="77777777" w:rsidR="002716AC" w:rsidRPr="00FE5D7D" w:rsidRDefault="002716AC" w:rsidP="002716AC">
      <w:pPr>
        <w:pStyle w:val="ListParagraph"/>
        <w:numPr>
          <w:ilvl w:val="0"/>
          <w:numId w:val="33"/>
        </w:numPr>
        <w:rPr>
          <w:sz w:val="22"/>
          <w:szCs w:val="22"/>
        </w:rPr>
      </w:pPr>
      <w:r w:rsidRPr="00FE5D7D">
        <w:rPr>
          <w:sz w:val="22"/>
          <w:szCs w:val="22"/>
        </w:rPr>
        <w:t>Digital expectations may outpace transformation, giving FinTech competitors an edge.</w:t>
      </w:r>
    </w:p>
    <w:p w14:paraId="532DE72A" w14:textId="77777777" w:rsidR="002716AC" w:rsidRPr="00FE5D7D" w:rsidRDefault="002716AC" w:rsidP="002716AC">
      <w:pPr>
        <w:pStyle w:val="ListParagraph"/>
        <w:numPr>
          <w:ilvl w:val="0"/>
          <w:numId w:val="33"/>
        </w:numPr>
        <w:rPr>
          <w:sz w:val="22"/>
          <w:szCs w:val="22"/>
        </w:rPr>
      </w:pPr>
      <w:r w:rsidRPr="00FE5D7D">
        <w:rPr>
          <w:sz w:val="22"/>
          <w:szCs w:val="22"/>
        </w:rPr>
        <w:t>Cultural and regulatory differences increase operational complexity.</w:t>
      </w:r>
    </w:p>
    <w:p w14:paraId="2922BE32" w14:textId="77777777" w:rsidR="002716AC" w:rsidRPr="00FE5D7D" w:rsidRDefault="002716AC" w:rsidP="002716AC">
      <w:pPr>
        <w:pStyle w:val="ListParagraph"/>
        <w:numPr>
          <w:ilvl w:val="0"/>
          <w:numId w:val="33"/>
        </w:numPr>
        <w:rPr>
          <w:sz w:val="22"/>
          <w:szCs w:val="22"/>
        </w:rPr>
      </w:pPr>
      <w:r w:rsidRPr="00FE5D7D">
        <w:rPr>
          <w:sz w:val="22"/>
          <w:szCs w:val="22"/>
        </w:rPr>
        <w:t>Global trust issues from compliance failures may affect brand reputation.</w:t>
      </w:r>
    </w:p>
    <w:p w14:paraId="03384368" w14:textId="759D285F" w:rsidR="002716AC" w:rsidRPr="00FE5D7D" w:rsidRDefault="002716AC" w:rsidP="002716AC">
      <w:pPr>
        <w:pStyle w:val="ListParagraph"/>
        <w:numPr>
          <w:ilvl w:val="0"/>
          <w:numId w:val="33"/>
        </w:numPr>
        <w:rPr>
          <w:rFonts w:cstheme="minorHAnsi"/>
          <w:sz w:val="22"/>
          <w:szCs w:val="22"/>
        </w:rPr>
      </w:pPr>
      <w:r w:rsidRPr="00FE5D7D">
        <w:rPr>
          <w:sz w:val="22"/>
          <w:szCs w:val="22"/>
        </w:rPr>
        <w:t>Market saturation in mature regions limits traditional customer growth.</w:t>
      </w:r>
    </w:p>
    <w:p w14:paraId="59EDCE35" w14:textId="77777777" w:rsidR="002716AC" w:rsidRPr="00FE5D7D" w:rsidRDefault="002716AC" w:rsidP="00C47BB4">
      <w:pPr>
        <w:rPr>
          <w:rFonts w:cstheme="minorHAnsi"/>
          <w:sz w:val="22"/>
          <w:szCs w:val="22"/>
        </w:rPr>
      </w:pPr>
    </w:p>
    <w:p w14:paraId="6E9E97D3" w14:textId="77777777" w:rsidR="00C47BB4" w:rsidRPr="00FE5D7D" w:rsidRDefault="00C47BB4" w:rsidP="00C47BB4">
      <w:pPr>
        <w:rPr>
          <w:rFonts w:cstheme="minorHAnsi"/>
          <w:sz w:val="22"/>
          <w:szCs w:val="22"/>
        </w:rPr>
      </w:pPr>
    </w:p>
    <w:p w14:paraId="1AF92D13" w14:textId="0ECE1B82" w:rsidR="00C47BB4" w:rsidRPr="00FE5D7D" w:rsidRDefault="00C967F9" w:rsidP="00C47BB4">
      <w:pPr>
        <w:rPr>
          <w:rFonts w:cstheme="minorHAnsi"/>
          <w:sz w:val="22"/>
          <w:szCs w:val="22"/>
        </w:rPr>
      </w:pPr>
      <w:r w:rsidRPr="00FE5D7D">
        <w:rPr>
          <w:rFonts w:cstheme="minorHAnsi"/>
          <w:sz w:val="22"/>
          <w:szCs w:val="22"/>
        </w:rPr>
        <w:t xml:space="preserve">Opportunities and Threats </w:t>
      </w:r>
      <w:r w:rsidR="002716AC" w:rsidRPr="00FE5D7D">
        <w:rPr>
          <w:rFonts w:cstheme="minorHAnsi"/>
          <w:sz w:val="22"/>
          <w:szCs w:val="22"/>
        </w:rPr>
        <w:t>for</w:t>
      </w:r>
      <w:r w:rsidRPr="00FE5D7D">
        <w:rPr>
          <w:rFonts w:cstheme="minorHAnsi"/>
          <w:sz w:val="22"/>
          <w:szCs w:val="22"/>
        </w:rPr>
        <w:t xml:space="preserve"> The</w:t>
      </w:r>
      <w:r w:rsidR="00C47BB4" w:rsidRPr="00FE5D7D">
        <w:rPr>
          <w:rFonts w:cstheme="minorHAnsi"/>
          <w:sz w:val="22"/>
          <w:szCs w:val="22"/>
        </w:rPr>
        <w:t xml:space="preserve"> LLOYDS B</w:t>
      </w:r>
      <w:r w:rsidRPr="00FE5D7D">
        <w:rPr>
          <w:rFonts w:cstheme="minorHAnsi"/>
          <w:sz w:val="22"/>
          <w:szCs w:val="22"/>
        </w:rPr>
        <w:t>ank</w:t>
      </w:r>
    </w:p>
    <w:p w14:paraId="4AC5A289" w14:textId="77777777" w:rsidR="00C47BB4" w:rsidRPr="00FE5D7D" w:rsidRDefault="00C47BB4" w:rsidP="00C47BB4">
      <w:pPr>
        <w:rPr>
          <w:rFonts w:cstheme="minorHAnsi"/>
          <w:sz w:val="22"/>
          <w:szCs w:val="22"/>
        </w:rPr>
      </w:pPr>
    </w:p>
    <w:p w14:paraId="656FC988" w14:textId="77777777" w:rsidR="002716AC" w:rsidRPr="00FE5D7D" w:rsidRDefault="00B12800" w:rsidP="002716AC">
      <w:pPr>
        <w:rPr>
          <w:rFonts w:cstheme="minorHAnsi"/>
          <w:sz w:val="22"/>
          <w:szCs w:val="22"/>
        </w:rPr>
      </w:pPr>
      <w:r w:rsidRPr="00FE5D7D">
        <w:rPr>
          <w:rFonts w:cstheme="minorHAnsi"/>
          <w:sz w:val="22"/>
          <w:szCs w:val="22"/>
        </w:rPr>
        <w:t>Opportunities: -</w:t>
      </w:r>
    </w:p>
    <w:p w14:paraId="36D0A1B3" w14:textId="77777777" w:rsidR="002716AC" w:rsidRPr="00FE5D7D" w:rsidRDefault="002716AC" w:rsidP="002716AC">
      <w:pPr>
        <w:pStyle w:val="ListParagraph"/>
        <w:numPr>
          <w:ilvl w:val="0"/>
          <w:numId w:val="29"/>
        </w:numPr>
        <w:rPr>
          <w:sz w:val="22"/>
          <w:szCs w:val="22"/>
        </w:rPr>
      </w:pPr>
      <w:r w:rsidRPr="00FE5D7D">
        <w:rPr>
          <w:sz w:val="22"/>
          <w:szCs w:val="22"/>
        </w:rPr>
        <w:t>Adopt digital-first services while maintaining hybrid branch access.</w:t>
      </w:r>
    </w:p>
    <w:p w14:paraId="202B31AB" w14:textId="77777777" w:rsidR="002716AC" w:rsidRPr="00FE5D7D" w:rsidRDefault="002716AC" w:rsidP="002716AC">
      <w:pPr>
        <w:pStyle w:val="ListParagraph"/>
        <w:numPr>
          <w:ilvl w:val="0"/>
          <w:numId w:val="29"/>
        </w:numPr>
        <w:rPr>
          <w:sz w:val="22"/>
          <w:szCs w:val="22"/>
        </w:rPr>
      </w:pPr>
      <w:r w:rsidRPr="00FE5D7D">
        <w:rPr>
          <w:sz w:val="22"/>
          <w:szCs w:val="22"/>
        </w:rPr>
        <w:t>Offer retirement, pension, and protection products to meet UK ageing population needs.</w:t>
      </w:r>
    </w:p>
    <w:p w14:paraId="31470A65" w14:textId="77777777" w:rsidR="002716AC" w:rsidRPr="00FE5D7D" w:rsidRDefault="002716AC" w:rsidP="002716AC">
      <w:pPr>
        <w:pStyle w:val="ListParagraph"/>
        <w:numPr>
          <w:ilvl w:val="0"/>
          <w:numId w:val="29"/>
        </w:numPr>
        <w:rPr>
          <w:sz w:val="22"/>
          <w:szCs w:val="22"/>
        </w:rPr>
      </w:pPr>
      <w:r w:rsidRPr="00FE5D7D">
        <w:rPr>
          <w:sz w:val="22"/>
          <w:szCs w:val="22"/>
        </w:rPr>
        <w:t>Enhance reputation through ethical banking practices and ESG initiatives locally.</w:t>
      </w:r>
    </w:p>
    <w:p w14:paraId="0A677909" w14:textId="12B7D3DA" w:rsidR="002716AC" w:rsidRPr="00FE5D7D" w:rsidRDefault="002716AC" w:rsidP="002716AC">
      <w:pPr>
        <w:pStyle w:val="ListParagraph"/>
        <w:numPr>
          <w:ilvl w:val="0"/>
          <w:numId w:val="29"/>
        </w:numPr>
        <w:rPr>
          <w:rFonts w:cstheme="minorHAnsi"/>
          <w:sz w:val="22"/>
          <w:szCs w:val="22"/>
        </w:rPr>
      </w:pPr>
      <w:r w:rsidRPr="00FE5D7D">
        <w:rPr>
          <w:sz w:val="22"/>
          <w:szCs w:val="22"/>
        </w:rPr>
        <w:t>Provide financial well-being programs for cost-of-living support.</w:t>
      </w:r>
    </w:p>
    <w:p w14:paraId="14B95EE2" w14:textId="77777777" w:rsidR="00C47BB4" w:rsidRPr="00FE5D7D" w:rsidRDefault="00C47BB4" w:rsidP="00C47BB4">
      <w:pPr>
        <w:rPr>
          <w:rFonts w:cstheme="minorHAnsi"/>
          <w:sz w:val="22"/>
          <w:szCs w:val="22"/>
        </w:rPr>
      </w:pPr>
    </w:p>
    <w:p w14:paraId="5322739B" w14:textId="77777777" w:rsidR="002716AC" w:rsidRPr="00FE5D7D" w:rsidRDefault="00B12800" w:rsidP="002716AC">
      <w:pPr>
        <w:rPr>
          <w:rFonts w:cstheme="minorHAnsi"/>
          <w:sz w:val="22"/>
          <w:szCs w:val="22"/>
        </w:rPr>
      </w:pPr>
      <w:r w:rsidRPr="00FE5D7D">
        <w:rPr>
          <w:rFonts w:cstheme="minorHAnsi"/>
          <w:sz w:val="22"/>
          <w:szCs w:val="22"/>
        </w:rPr>
        <w:t>Threats: -</w:t>
      </w:r>
    </w:p>
    <w:p w14:paraId="17BB529B" w14:textId="77777777" w:rsidR="002716AC" w:rsidRPr="00FE5D7D" w:rsidRDefault="002716AC" w:rsidP="002716AC">
      <w:pPr>
        <w:pStyle w:val="ListParagraph"/>
        <w:numPr>
          <w:ilvl w:val="0"/>
          <w:numId w:val="28"/>
        </w:numPr>
        <w:rPr>
          <w:sz w:val="22"/>
          <w:szCs w:val="22"/>
        </w:rPr>
      </w:pPr>
      <w:r w:rsidRPr="00FE5D7D">
        <w:rPr>
          <w:sz w:val="22"/>
          <w:szCs w:val="22"/>
        </w:rPr>
        <w:t>Public backlash over branch closures may reduce trust.</w:t>
      </w:r>
    </w:p>
    <w:p w14:paraId="52FBFBBE" w14:textId="77777777" w:rsidR="002716AC" w:rsidRPr="00FE5D7D" w:rsidRDefault="002716AC" w:rsidP="002716AC">
      <w:pPr>
        <w:pStyle w:val="ListParagraph"/>
        <w:numPr>
          <w:ilvl w:val="0"/>
          <w:numId w:val="28"/>
        </w:numPr>
        <w:rPr>
          <w:sz w:val="22"/>
          <w:szCs w:val="22"/>
        </w:rPr>
      </w:pPr>
      <w:r w:rsidRPr="00FE5D7D">
        <w:rPr>
          <w:sz w:val="22"/>
          <w:szCs w:val="22"/>
        </w:rPr>
        <w:t>Rising cost-of-living leads to higher defaults on loans and mortgages.</w:t>
      </w:r>
    </w:p>
    <w:p w14:paraId="52BABDD9" w14:textId="77777777" w:rsidR="002716AC" w:rsidRPr="00FE5D7D" w:rsidRDefault="002716AC" w:rsidP="002716AC">
      <w:pPr>
        <w:pStyle w:val="ListParagraph"/>
        <w:numPr>
          <w:ilvl w:val="0"/>
          <w:numId w:val="28"/>
        </w:numPr>
        <w:rPr>
          <w:sz w:val="22"/>
          <w:szCs w:val="22"/>
        </w:rPr>
      </w:pPr>
      <w:r w:rsidRPr="00FE5D7D">
        <w:rPr>
          <w:sz w:val="22"/>
          <w:szCs w:val="22"/>
        </w:rPr>
        <w:t>High customer expectations for ethical banking could cause reputational risks if unmet.</w:t>
      </w:r>
    </w:p>
    <w:p w14:paraId="425ADF33" w14:textId="10922C50" w:rsidR="002716AC" w:rsidRPr="00FE5D7D" w:rsidRDefault="002716AC" w:rsidP="002716AC">
      <w:pPr>
        <w:pStyle w:val="ListParagraph"/>
        <w:numPr>
          <w:ilvl w:val="0"/>
          <w:numId w:val="28"/>
        </w:numPr>
        <w:rPr>
          <w:rFonts w:cstheme="minorHAnsi"/>
          <w:sz w:val="22"/>
          <w:szCs w:val="22"/>
        </w:rPr>
      </w:pPr>
      <w:r w:rsidRPr="00FE5D7D">
        <w:rPr>
          <w:sz w:val="22"/>
          <w:szCs w:val="22"/>
        </w:rPr>
        <w:t>Older customers resisting digital adoption may raise service costs.</w:t>
      </w:r>
    </w:p>
    <w:p w14:paraId="19828D26" w14:textId="77777777" w:rsidR="00C967F9" w:rsidRDefault="00C967F9" w:rsidP="00C47BB4">
      <w:pPr>
        <w:rPr>
          <w:rFonts w:cstheme="minorHAnsi"/>
          <w:sz w:val="22"/>
          <w:szCs w:val="22"/>
        </w:rPr>
      </w:pPr>
    </w:p>
    <w:p w14:paraId="7F512E50" w14:textId="3901AB78" w:rsidR="00C47BB4" w:rsidRPr="00093DB6" w:rsidRDefault="00C47BB4" w:rsidP="00B12800">
      <w:pPr>
        <w:pStyle w:val="Heading2"/>
        <w:numPr>
          <w:ilvl w:val="1"/>
          <w:numId w:val="20"/>
        </w:numPr>
        <w:rPr>
          <w:sz w:val="28"/>
          <w:szCs w:val="28"/>
        </w:rPr>
      </w:pPr>
      <w:bookmarkStart w:id="14" w:name="_Toc214600045"/>
      <w:bookmarkStart w:id="15" w:name="_Toc214638852"/>
      <w:r w:rsidRPr="00093DB6">
        <w:rPr>
          <w:sz w:val="28"/>
          <w:szCs w:val="28"/>
        </w:rPr>
        <w:t>IMPLIFICATION</w:t>
      </w:r>
      <w:r w:rsidR="00C967F9" w:rsidRPr="00093DB6">
        <w:rPr>
          <w:sz w:val="28"/>
          <w:szCs w:val="28"/>
        </w:rPr>
        <w:t xml:space="preserve"> OF PIONEER AND FOLLOWER BANK</w:t>
      </w:r>
      <w:bookmarkEnd w:id="14"/>
      <w:bookmarkEnd w:id="15"/>
    </w:p>
    <w:p w14:paraId="5C46D362" w14:textId="77777777" w:rsidR="009A0E79" w:rsidRDefault="009A0E79" w:rsidP="00C967F9">
      <w:pPr>
        <w:rPr>
          <w:rFonts w:eastAsiaTheme="majorEastAsia" w:cstheme="minorHAnsi"/>
          <w:sz w:val="22"/>
          <w:szCs w:val="22"/>
        </w:rPr>
      </w:pPr>
    </w:p>
    <w:p w14:paraId="48B990A6" w14:textId="77777777" w:rsidR="00B12800" w:rsidRDefault="009A0E79" w:rsidP="00B12800">
      <w:pPr>
        <w:rPr>
          <w:rFonts w:eastAsiaTheme="majorEastAsia" w:cstheme="minorHAnsi"/>
          <w:sz w:val="22"/>
          <w:szCs w:val="22"/>
        </w:rPr>
      </w:pPr>
      <w:r>
        <w:rPr>
          <w:rFonts w:eastAsiaTheme="majorEastAsia" w:cstheme="minorHAnsi"/>
          <w:sz w:val="22"/>
          <w:szCs w:val="22"/>
        </w:rPr>
        <w:t>Pioneer HSBC Bank</w:t>
      </w:r>
    </w:p>
    <w:p w14:paraId="4A477AB8" w14:textId="0C05772C" w:rsidR="00C967F9" w:rsidRPr="00B12800" w:rsidRDefault="00735ADA" w:rsidP="00B12800">
      <w:pPr>
        <w:pStyle w:val="ListParagraph"/>
        <w:numPr>
          <w:ilvl w:val="0"/>
          <w:numId w:val="19"/>
        </w:numPr>
        <w:rPr>
          <w:rFonts w:eastAsiaTheme="majorEastAsia" w:cstheme="minorHAnsi"/>
          <w:sz w:val="22"/>
          <w:szCs w:val="22"/>
        </w:rPr>
      </w:pPr>
      <w:r w:rsidRPr="00B12800">
        <w:rPr>
          <w:rStyle w:val="Strong"/>
          <w:rFonts w:cstheme="minorHAnsi"/>
          <w:b w:val="0"/>
          <w:bCs w:val="0"/>
          <w:sz w:val="22"/>
          <w:szCs w:val="22"/>
        </w:rPr>
        <w:t>Multi-Jurisdictional Compliance</w:t>
      </w:r>
      <w:r w:rsidRPr="00B12800">
        <w:rPr>
          <w:rStyle w:val="Strong"/>
          <w:rFonts w:cstheme="minorHAnsi"/>
          <w:sz w:val="22"/>
          <w:szCs w:val="22"/>
        </w:rPr>
        <w:t>:</w:t>
      </w:r>
      <w:r w:rsidRPr="00B12800">
        <w:rPr>
          <w:rFonts w:cstheme="minorHAnsi"/>
          <w:sz w:val="22"/>
          <w:szCs w:val="22"/>
        </w:rPr>
        <w:t xml:space="preserve"> HSBC must invest in global risk-management systems and advanced AI to handle conflicting regulations across multiple countries, turning compliance into a competitive advantage.</w:t>
      </w:r>
    </w:p>
    <w:p w14:paraId="5C2ED2C3" w14:textId="77777777" w:rsidR="00C967F9" w:rsidRPr="009A0E79" w:rsidRDefault="00735ADA" w:rsidP="009A0E79">
      <w:pPr>
        <w:pStyle w:val="ListParagraph"/>
        <w:numPr>
          <w:ilvl w:val="0"/>
          <w:numId w:val="19"/>
        </w:numPr>
        <w:rPr>
          <w:rFonts w:cstheme="minorHAnsi"/>
          <w:sz w:val="22"/>
          <w:szCs w:val="22"/>
        </w:rPr>
      </w:pPr>
      <w:r w:rsidRPr="009A0E79">
        <w:rPr>
          <w:rStyle w:val="Strong"/>
          <w:rFonts w:cstheme="minorHAnsi"/>
          <w:b w:val="0"/>
          <w:bCs w:val="0"/>
          <w:sz w:val="22"/>
          <w:szCs w:val="22"/>
        </w:rPr>
        <w:t>Digital &amp; Cross-Border Services</w:t>
      </w:r>
      <w:r w:rsidRPr="009A0E79">
        <w:rPr>
          <w:rStyle w:val="Strong"/>
          <w:rFonts w:cstheme="minorHAnsi"/>
          <w:sz w:val="22"/>
          <w:szCs w:val="22"/>
        </w:rPr>
        <w:t>:</w:t>
      </w:r>
      <w:r w:rsidRPr="009A0E79">
        <w:rPr>
          <w:rFonts w:cstheme="minorHAnsi"/>
          <w:sz w:val="22"/>
          <w:szCs w:val="22"/>
        </w:rPr>
        <w:t xml:space="preserve"> The bank leverages digital transformation and international reach to expand cross-border payments, digital wealth platforms, and premium banking services.</w:t>
      </w:r>
    </w:p>
    <w:p w14:paraId="565BA5FC" w14:textId="2EB87F41" w:rsidR="00C967F9" w:rsidRPr="009A0E79" w:rsidRDefault="00735ADA" w:rsidP="009A0E79">
      <w:pPr>
        <w:pStyle w:val="ListParagraph"/>
        <w:numPr>
          <w:ilvl w:val="0"/>
          <w:numId w:val="19"/>
        </w:numPr>
        <w:rPr>
          <w:rFonts w:cstheme="minorHAnsi"/>
          <w:sz w:val="22"/>
          <w:szCs w:val="22"/>
        </w:rPr>
      </w:pPr>
      <w:r w:rsidRPr="009A0E79">
        <w:rPr>
          <w:rStyle w:val="Strong"/>
          <w:rFonts w:cstheme="minorHAnsi"/>
          <w:b w:val="0"/>
          <w:bCs w:val="0"/>
          <w:sz w:val="22"/>
          <w:szCs w:val="22"/>
        </w:rPr>
        <w:t>Reputation &amp; ESG Leadership</w:t>
      </w:r>
      <w:r w:rsidRPr="009A0E79">
        <w:rPr>
          <w:rStyle w:val="Strong"/>
          <w:rFonts w:cstheme="minorHAnsi"/>
          <w:sz w:val="22"/>
          <w:szCs w:val="22"/>
        </w:rPr>
        <w:t>:</w:t>
      </w:r>
      <w:r w:rsidRPr="009A0E79">
        <w:rPr>
          <w:rFonts w:cstheme="minorHAnsi"/>
          <w:sz w:val="22"/>
          <w:szCs w:val="22"/>
        </w:rPr>
        <w:t xml:space="preserve"> Integrating ESG into branding and products strengthens</w:t>
      </w:r>
      <w:r w:rsidR="009A0E79" w:rsidRPr="009A0E79">
        <w:rPr>
          <w:rFonts w:cstheme="minorHAnsi"/>
          <w:sz w:val="22"/>
          <w:szCs w:val="22"/>
        </w:rPr>
        <w:t xml:space="preserve"> </w:t>
      </w:r>
      <w:r w:rsidRPr="009A0E79">
        <w:rPr>
          <w:rFonts w:cstheme="minorHAnsi"/>
          <w:sz w:val="22"/>
          <w:szCs w:val="22"/>
        </w:rPr>
        <w:t>trust and positions HSBC as a leader in green finance.</w:t>
      </w:r>
    </w:p>
    <w:p w14:paraId="78DA6D31" w14:textId="77777777" w:rsidR="00C967F9" w:rsidRPr="009A0E79" w:rsidRDefault="00735ADA" w:rsidP="009A0E79">
      <w:pPr>
        <w:pStyle w:val="ListParagraph"/>
        <w:numPr>
          <w:ilvl w:val="0"/>
          <w:numId w:val="19"/>
        </w:numPr>
        <w:rPr>
          <w:rFonts w:cstheme="minorHAnsi"/>
          <w:sz w:val="22"/>
          <w:szCs w:val="22"/>
        </w:rPr>
      </w:pPr>
      <w:r w:rsidRPr="009A0E79">
        <w:rPr>
          <w:rStyle w:val="Strong"/>
          <w:rFonts w:cstheme="minorHAnsi"/>
          <w:b w:val="0"/>
          <w:bCs w:val="0"/>
          <w:sz w:val="22"/>
          <w:szCs w:val="22"/>
        </w:rPr>
        <w:t>Global Operations Reallocation</w:t>
      </w:r>
      <w:r w:rsidRPr="009A0E79">
        <w:rPr>
          <w:rStyle w:val="Strong"/>
          <w:rFonts w:cstheme="minorHAnsi"/>
          <w:sz w:val="22"/>
          <w:szCs w:val="22"/>
        </w:rPr>
        <w:t>:</w:t>
      </w:r>
      <w:r w:rsidRPr="009A0E79">
        <w:rPr>
          <w:rFonts w:cstheme="minorHAnsi"/>
          <w:sz w:val="22"/>
          <w:szCs w:val="22"/>
        </w:rPr>
        <w:t xml:space="preserve"> Geopolitical tensions require strategic portfolio diversification and contingency planning for high-risk regions.</w:t>
      </w:r>
    </w:p>
    <w:p w14:paraId="1955C4C9" w14:textId="352F764E" w:rsidR="00735ADA" w:rsidRPr="009A0E79" w:rsidRDefault="00735ADA" w:rsidP="009A0E79">
      <w:pPr>
        <w:pStyle w:val="ListParagraph"/>
        <w:numPr>
          <w:ilvl w:val="0"/>
          <w:numId w:val="19"/>
        </w:numPr>
        <w:rPr>
          <w:rFonts w:cstheme="minorHAnsi"/>
          <w:sz w:val="22"/>
          <w:szCs w:val="22"/>
        </w:rPr>
      </w:pPr>
      <w:r w:rsidRPr="009A0E79">
        <w:rPr>
          <w:rStyle w:val="Strong"/>
          <w:rFonts w:cstheme="minorHAnsi"/>
          <w:b w:val="0"/>
          <w:bCs w:val="0"/>
          <w:sz w:val="22"/>
          <w:szCs w:val="22"/>
        </w:rPr>
        <w:lastRenderedPageBreak/>
        <w:t>Wealth Management &amp; Ageing Populations</w:t>
      </w:r>
      <w:r w:rsidRPr="009A0E79">
        <w:rPr>
          <w:rStyle w:val="Strong"/>
          <w:rFonts w:cstheme="minorHAnsi"/>
          <w:sz w:val="22"/>
          <w:szCs w:val="22"/>
        </w:rPr>
        <w:t>:</w:t>
      </w:r>
      <w:r w:rsidRPr="009A0E79">
        <w:rPr>
          <w:rFonts w:cstheme="minorHAnsi"/>
          <w:sz w:val="22"/>
          <w:szCs w:val="22"/>
        </w:rPr>
        <w:t xml:space="preserve"> Ageing demographics drive expansion in retirement, insurance, and wealth advisory services, particularly in Asia.</w:t>
      </w:r>
    </w:p>
    <w:p w14:paraId="777ECF68" w14:textId="77777777" w:rsidR="00B12800" w:rsidRDefault="00B12800" w:rsidP="00B12800">
      <w:pPr>
        <w:rPr>
          <w:rFonts w:eastAsiaTheme="majorEastAsia" w:cstheme="minorHAnsi"/>
          <w:sz w:val="22"/>
          <w:szCs w:val="22"/>
        </w:rPr>
      </w:pPr>
    </w:p>
    <w:p w14:paraId="10357080" w14:textId="3391B2A2" w:rsidR="00B12800" w:rsidRPr="00B12800" w:rsidRDefault="009A0E79" w:rsidP="00B12800">
      <w:pPr>
        <w:rPr>
          <w:rFonts w:eastAsiaTheme="majorEastAsia" w:cstheme="minorHAnsi"/>
          <w:sz w:val="22"/>
          <w:szCs w:val="22"/>
        </w:rPr>
      </w:pPr>
      <w:r w:rsidRPr="00B12800">
        <w:rPr>
          <w:rFonts w:eastAsiaTheme="majorEastAsia" w:cstheme="minorHAnsi"/>
          <w:sz w:val="22"/>
          <w:szCs w:val="22"/>
        </w:rPr>
        <w:t xml:space="preserve">Follower </w:t>
      </w:r>
      <w:r w:rsidR="00735ADA" w:rsidRPr="00B12800">
        <w:rPr>
          <w:rFonts w:eastAsiaTheme="majorEastAsia" w:cstheme="minorHAnsi"/>
          <w:sz w:val="22"/>
          <w:szCs w:val="22"/>
        </w:rPr>
        <w:t>LLOYDS Bank</w:t>
      </w:r>
      <w:r w:rsidR="00B12800" w:rsidRPr="00B12800">
        <w:rPr>
          <w:rFonts w:eastAsiaTheme="majorEastAsia" w:cstheme="minorHAnsi"/>
          <w:sz w:val="22"/>
          <w:szCs w:val="22"/>
        </w:rPr>
        <w:t xml:space="preserve"> </w:t>
      </w:r>
    </w:p>
    <w:p w14:paraId="21E399D8" w14:textId="77777777" w:rsidR="00B12800" w:rsidRDefault="00735ADA" w:rsidP="003F2233">
      <w:pPr>
        <w:pStyle w:val="ListParagraph"/>
        <w:numPr>
          <w:ilvl w:val="0"/>
          <w:numId w:val="18"/>
        </w:numPr>
        <w:rPr>
          <w:rFonts w:cstheme="minorHAnsi"/>
          <w:sz w:val="22"/>
          <w:szCs w:val="22"/>
        </w:rPr>
      </w:pPr>
      <w:r w:rsidRPr="00B12800">
        <w:rPr>
          <w:rStyle w:val="Strong"/>
          <w:rFonts w:cstheme="minorHAnsi"/>
          <w:b w:val="0"/>
          <w:bCs w:val="0"/>
          <w:sz w:val="22"/>
          <w:szCs w:val="22"/>
        </w:rPr>
        <w:t>UK Regulation &amp; Domestic Stability</w:t>
      </w:r>
      <w:r w:rsidRPr="00B12800">
        <w:rPr>
          <w:rStyle w:val="Strong"/>
          <w:rFonts w:cstheme="minorHAnsi"/>
          <w:sz w:val="22"/>
          <w:szCs w:val="22"/>
        </w:rPr>
        <w:t>:</w:t>
      </w:r>
      <w:r w:rsidRPr="00B12800">
        <w:rPr>
          <w:rFonts w:cstheme="minorHAnsi"/>
          <w:sz w:val="22"/>
          <w:szCs w:val="22"/>
        </w:rPr>
        <w:t xml:space="preserve"> Align strategy with government priorities, maintain capital buffers, and ensure transparent consumer protection. Focus on efficient compliance rather than global innovation.</w:t>
      </w:r>
    </w:p>
    <w:p w14:paraId="65E6DF26" w14:textId="15B02762" w:rsidR="00735ADA" w:rsidRPr="00B12800" w:rsidRDefault="00735ADA" w:rsidP="003F2233">
      <w:pPr>
        <w:pStyle w:val="ListParagraph"/>
        <w:numPr>
          <w:ilvl w:val="0"/>
          <w:numId w:val="18"/>
        </w:numPr>
        <w:rPr>
          <w:rFonts w:cstheme="minorHAnsi"/>
          <w:sz w:val="22"/>
          <w:szCs w:val="22"/>
        </w:rPr>
      </w:pPr>
      <w:r w:rsidRPr="00B12800">
        <w:rPr>
          <w:rStyle w:val="Strong"/>
          <w:rFonts w:cstheme="minorHAnsi"/>
          <w:b w:val="0"/>
          <w:bCs w:val="0"/>
          <w:sz w:val="22"/>
          <w:szCs w:val="22"/>
        </w:rPr>
        <w:t>Digital Transformation &amp; Branch Strategy</w:t>
      </w:r>
      <w:r w:rsidRPr="00B12800">
        <w:rPr>
          <w:rStyle w:val="Strong"/>
          <w:rFonts w:cstheme="minorHAnsi"/>
          <w:sz w:val="22"/>
          <w:szCs w:val="22"/>
        </w:rPr>
        <w:t>:</w:t>
      </w:r>
      <w:r w:rsidRPr="00B12800">
        <w:rPr>
          <w:rFonts w:cstheme="minorHAnsi"/>
          <w:sz w:val="22"/>
          <w:szCs w:val="22"/>
        </w:rPr>
        <w:t xml:space="preserve"> Balance growth in digital banking with careful</w:t>
      </w:r>
      <w:r w:rsidR="009A0E79" w:rsidRPr="00B12800">
        <w:rPr>
          <w:rFonts w:cstheme="minorHAnsi"/>
          <w:sz w:val="22"/>
          <w:szCs w:val="22"/>
        </w:rPr>
        <w:t xml:space="preserve"> </w:t>
      </w:r>
      <w:r w:rsidRPr="00B12800">
        <w:rPr>
          <w:rFonts w:cstheme="minorHAnsi"/>
          <w:sz w:val="22"/>
          <w:szCs w:val="22"/>
        </w:rPr>
        <w:t>branch closures, adopting a hybrid model to serve both tech-savvy and older customers.</w:t>
      </w:r>
    </w:p>
    <w:p w14:paraId="650BB18F" w14:textId="77777777" w:rsidR="00735ADA" w:rsidRPr="005D2A29" w:rsidRDefault="00735ADA" w:rsidP="009A0E79">
      <w:pPr>
        <w:pStyle w:val="NormalWeb"/>
        <w:numPr>
          <w:ilvl w:val="0"/>
          <w:numId w:val="18"/>
        </w:numPr>
        <w:rPr>
          <w:rFonts w:asciiTheme="minorHAnsi" w:hAnsiTheme="minorHAnsi" w:cstheme="minorHAnsi"/>
          <w:sz w:val="22"/>
          <w:szCs w:val="22"/>
        </w:rPr>
      </w:pPr>
      <w:r w:rsidRPr="005D2A29">
        <w:rPr>
          <w:rStyle w:val="Strong"/>
          <w:rFonts w:asciiTheme="minorHAnsi" w:hAnsiTheme="minorHAnsi" w:cstheme="minorHAnsi"/>
          <w:b w:val="0"/>
          <w:bCs w:val="0"/>
          <w:sz w:val="22"/>
          <w:szCs w:val="22"/>
        </w:rPr>
        <w:t>Mortgages &amp; Retail Banking Growth</w:t>
      </w:r>
      <w:r w:rsidRPr="005D2A29">
        <w:rPr>
          <w:rStyle w:val="Strong"/>
          <w:rFonts w:asciiTheme="minorHAnsi" w:hAnsiTheme="minorHAnsi" w:cstheme="minorHAnsi"/>
          <w:sz w:val="22"/>
          <w:szCs w:val="22"/>
        </w:rPr>
        <w:t>:</w:t>
      </w:r>
      <w:r w:rsidRPr="005D2A29">
        <w:rPr>
          <w:rFonts w:asciiTheme="minorHAnsi" w:hAnsiTheme="minorHAnsi" w:cstheme="minorHAnsi"/>
          <w:sz w:val="22"/>
          <w:szCs w:val="22"/>
        </w:rPr>
        <w:t xml:space="preserve"> Leverage dominance in mortgages and adapt pricing to housing policies and Bank of England interest rate changes.</w:t>
      </w:r>
    </w:p>
    <w:p w14:paraId="414C2DAF" w14:textId="77777777" w:rsidR="009A0E79" w:rsidRDefault="00735ADA" w:rsidP="009A0E79">
      <w:pPr>
        <w:pStyle w:val="NormalWeb"/>
        <w:numPr>
          <w:ilvl w:val="0"/>
          <w:numId w:val="18"/>
        </w:numPr>
        <w:rPr>
          <w:rFonts w:asciiTheme="minorHAnsi" w:hAnsiTheme="minorHAnsi" w:cstheme="minorHAnsi"/>
          <w:sz w:val="22"/>
          <w:szCs w:val="22"/>
        </w:rPr>
      </w:pPr>
      <w:r w:rsidRPr="005D2A29">
        <w:rPr>
          <w:rStyle w:val="Strong"/>
          <w:rFonts w:asciiTheme="minorHAnsi" w:hAnsiTheme="minorHAnsi" w:cstheme="minorHAnsi"/>
          <w:b w:val="0"/>
          <w:bCs w:val="0"/>
          <w:sz w:val="22"/>
          <w:szCs w:val="22"/>
        </w:rPr>
        <w:t>Ethical Branding &amp; Social Responsibility</w:t>
      </w:r>
      <w:r w:rsidRPr="005D2A29">
        <w:rPr>
          <w:rStyle w:val="Strong"/>
          <w:rFonts w:asciiTheme="minorHAnsi" w:hAnsiTheme="minorHAnsi" w:cstheme="minorHAnsi"/>
          <w:sz w:val="22"/>
          <w:szCs w:val="22"/>
        </w:rPr>
        <w:t>:</w:t>
      </w:r>
      <w:r w:rsidRPr="005D2A29">
        <w:rPr>
          <w:rFonts w:asciiTheme="minorHAnsi" w:hAnsiTheme="minorHAnsi" w:cstheme="minorHAnsi"/>
          <w:sz w:val="22"/>
          <w:szCs w:val="22"/>
        </w:rPr>
        <w:t xml:space="preserve"> Strengthen reputation as a trusted UK bank through financial wellbeing programs, inclusive services, and responsible lending.</w:t>
      </w:r>
      <w:r w:rsidR="009A0E79">
        <w:rPr>
          <w:rFonts w:asciiTheme="minorHAnsi" w:hAnsiTheme="minorHAnsi" w:cstheme="minorHAnsi"/>
          <w:sz w:val="22"/>
          <w:szCs w:val="22"/>
        </w:rPr>
        <w:t xml:space="preserve"> </w:t>
      </w:r>
    </w:p>
    <w:p w14:paraId="4144C2D1" w14:textId="484FB504" w:rsidR="00735ADA" w:rsidRDefault="00735ADA" w:rsidP="00C47BB4">
      <w:pPr>
        <w:pStyle w:val="NormalWeb"/>
        <w:numPr>
          <w:ilvl w:val="0"/>
          <w:numId w:val="18"/>
        </w:numPr>
        <w:rPr>
          <w:rFonts w:asciiTheme="minorHAnsi" w:hAnsiTheme="minorHAnsi" w:cstheme="minorHAnsi"/>
          <w:sz w:val="22"/>
          <w:szCs w:val="22"/>
        </w:rPr>
      </w:pPr>
      <w:r w:rsidRPr="005D2A29">
        <w:rPr>
          <w:rStyle w:val="Strong"/>
          <w:rFonts w:asciiTheme="minorHAnsi" w:hAnsiTheme="minorHAnsi" w:cstheme="minorHAnsi"/>
          <w:b w:val="0"/>
          <w:bCs w:val="0"/>
          <w:sz w:val="22"/>
          <w:szCs w:val="22"/>
        </w:rPr>
        <w:t>Credit Risk Management</w:t>
      </w:r>
      <w:r w:rsidRPr="005D2A29">
        <w:rPr>
          <w:rStyle w:val="Strong"/>
          <w:rFonts w:asciiTheme="minorHAnsi" w:hAnsiTheme="minorHAnsi" w:cstheme="minorHAnsi"/>
          <w:sz w:val="22"/>
          <w:szCs w:val="22"/>
        </w:rPr>
        <w:t>:</w:t>
      </w:r>
      <w:r w:rsidRPr="005D2A29">
        <w:rPr>
          <w:rFonts w:asciiTheme="minorHAnsi" w:hAnsiTheme="minorHAnsi" w:cstheme="minorHAnsi"/>
          <w:sz w:val="22"/>
          <w:szCs w:val="22"/>
        </w:rPr>
        <w:t xml:space="preserve"> Address rising defaults from the cost-of-living crisis by improving risk models, monitoring loans, and offering debt-support solutions</w:t>
      </w:r>
      <w:r w:rsidR="003C5B5B">
        <w:rPr>
          <w:rFonts w:asciiTheme="minorHAnsi" w:hAnsiTheme="minorHAnsi" w:cstheme="minorHAnsi"/>
          <w:sz w:val="22"/>
          <w:szCs w:val="22"/>
        </w:rPr>
        <w:t>.</w:t>
      </w:r>
    </w:p>
    <w:p w14:paraId="196DE579" w14:textId="77777777" w:rsidR="003C5B5B" w:rsidRPr="003C5B5B" w:rsidRDefault="003C5B5B" w:rsidP="003C5B5B">
      <w:pPr>
        <w:pStyle w:val="NormalWeb"/>
        <w:ind w:left="720"/>
        <w:rPr>
          <w:rFonts w:asciiTheme="minorHAnsi" w:hAnsiTheme="minorHAnsi" w:cstheme="minorHAnsi"/>
          <w:sz w:val="22"/>
          <w:szCs w:val="22"/>
        </w:rPr>
      </w:pPr>
    </w:p>
    <w:p w14:paraId="1EEF8E86" w14:textId="5DF01608" w:rsidR="00E07DAD" w:rsidRPr="00B12800" w:rsidRDefault="00735ADA" w:rsidP="00B12800">
      <w:pPr>
        <w:pStyle w:val="Heading1"/>
        <w:numPr>
          <w:ilvl w:val="0"/>
          <w:numId w:val="20"/>
        </w:numPr>
        <w:rPr>
          <w:rStyle w:val="Heading1Char"/>
        </w:rPr>
      </w:pPr>
      <w:bookmarkStart w:id="16" w:name="_Toc214600046"/>
      <w:bookmarkStart w:id="17" w:name="_Toc214638853"/>
      <w:r w:rsidRPr="00B12800">
        <w:rPr>
          <w:rStyle w:val="Heading1Char"/>
        </w:rPr>
        <w:t>Strategic Responses of Pioneering and Follower Organisations</w:t>
      </w:r>
      <w:bookmarkEnd w:id="16"/>
      <w:bookmarkEnd w:id="17"/>
    </w:p>
    <w:p w14:paraId="66B410B3" w14:textId="77777777" w:rsidR="00E07DAD" w:rsidRPr="005D2A29" w:rsidRDefault="00E07DAD" w:rsidP="00E07DAD">
      <w:pPr>
        <w:rPr>
          <w:rStyle w:val="Heading1Char"/>
          <w:rFonts w:asciiTheme="minorHAnsi" w:hAnsiTheme="minorHAnsi" w:cstheme="minorHAnsi"/>
          <w:b/>
          <w:bCs/>
          <w:color w:val="000000" w:themeColor="text1"/>
          <w:sz w:val="22"/>
          <w:szCs w:val="22"/>
        </w:rPr>
      </w:pPr>
    </w:p>
    <w:p w14:paraId="33A888B3" w14:textId="52E3F82D" w:rsidR="005D2A29" w:rsidRPr="00093DB6" w:rsidRDefault="00735ADA" w:rsidP="00B12800">
      <w:pPr>
        <w:pStyle w:val="Heading2"/>
        <w:numPr>
          <w:ilvl w:val="1"/>
          <w:numId w:val="20"/>
        </w:numPr>
        <w:rPr>
          <w:sz w:val="28"/>
          <w:szCs w:val="28"/>
        </w:rPr>
      </w:pPr>
      <w:bookmarkStart w:id="18" w:name="_Toc214600047"/>
      <w:bookmarkStart w:id="19" w:name="_Toc214638854"/>
      <w:r w:rsidRPr="00093DB6">
        <w:rPr>
          <w:sz w:val="28"/>
          <w:szCs w:val="28"/>
        </w:rPr>
        <w:t>Pioneering Organisations’ Strategic Responses</w:t>
      </w:r>
      <w:bookmarkEnd w:id="18"/>
      <w:bookmarkEnd w:id="19"/>
      <w:r w:rsidR="000945D8" w:rsidRPr="00093DB6">
        <w:rPr>
          <w:sz w:val="28"/>
          <w:szCs w:val="28"/>
        </w:rPr>
        <w:t xml:space="preserve"> </w:t>
      </w:r>
    </w:p>
    <w:p w14:paraId="47BD91BE" w14:textId="77777777" w:rsidR="00B12800" w:rsidRDefault="00B12800" w:rsidP="00E07DAD">
      <w:pPr>
        <w:rPr>
          <w:rFonts w:cstheme="minorHAnsi"/>
          <w:sz w:val="22"/>
          <w:szCs w:val="22"/>
        </w:rPr>
      </w:pPr>
    </w:p>
    <w:p w14:paraId="1E1E1955" w14:textId="0EB4C386" w:rsidR="00793041" w:rsidRPr="005D2A29" w:rsidRDefault="00793041" w:rsidP="00E07DAD">
      <w:pPr>
        <w:rPr>
          <w:rFonts w:cstheme="minorHAnsi"/>
          <w:sz w:val="22"/>
          <w:szCs w:val="22"/>
        </w:rPr>
      </w:pPr>
      <w:r w:rsidRPr="005D2A29">
        <w:rPr>
          <w:rFonts w:cstheme="minorHAnsi"/>
          <w:sz w:val="22"/>
          <w:szCs w:val="22"/>
        </w:rPr>
        <w:t>HSBC, as a pioneering global bank, navigates a complex political and social macro-environment by responding proactively to challenges and opportunities. Politically, the bank addresses stringent global regulations, post-Brexit divergence, and trade/green finance incentives through multi-jurisdictional compliance systems, AI-driven monitoring, and ESG-focused products, turning regulatory pressures into strategic advantages. Socially, HSBC adapts to digital banking trends, ageing populations, and trust issues by expanding digital platforms, wealth management services, and customer remediation strategies, maintaining competitiveness and market confidence.</w:t>
      </w:r>
    </w:p>
    <w:p w14:paraId="03BE85A9" w14:textId="77777777" w:rsidR="00793041" w:rsidRPr="00FE5D7D" w:rsidRDefault="00793041" w:rsidP="00793041">
      <w:pPr>
        <w:pStyle w:val="NormalWeb"/>
        <w:rPr>
          <w:rFonts w:asciiTheme="minorHAnsi" w:hAnsiTheme="minorHAnsi" w:cstheme="minorHAnsi"/>
          <w:sz w:val="22"/>
          <w:szCs w:val="22"/>
        </w:rPr>
      </w:pPr>
      <w:r w:rsidRPr="00FE5D7D">
        <w:rPr>
          <w:rFonts w:asciiTheme="minorHAnsi" w:hAnsiTheme="minorHAnsi" w:cstheme="minorHAnsi"/>
          <w:sz w:val="22"/>
          <w:szCs w:val="22"/>
        </w:rPr>
        <w:t xml:space="preserve">Using Ansoff’s Growth Matrix, HSBC pursues </w:t>
      </w:r>
      <w:r w:rsidRPr="00FE5D7D">
        <w:rPr>
          <w:rStyle w:val="Strong"/>
          <w:rFonts w:asciiTheme="minorHAnsi" w:hAnsiTheme="minorHAnsi" w:cstheme="minorHAnsi"/>
          <w:sz w:val="22"/>
          <w:szCs w:val="22"/>
        </w:rPr>
        <w:t>market penetration</w:t>
      </w:r>
      <w:r w:rsidRPr="00FE5D7D">
        <w:rPr>
          <w:rFonts w:asciiTheme="minorHAnsi" w:hAnsiTheme="minorHAnsi" w:cstheme="minorHAnsi"/>
          <w:sz w:val="22"/>
          <w:szCs w:val="22"/>
        </w:rPr>
        <w:t xml:space="preserve"> (enhancing services in existing regions), </w:t>
      </w:r>
      <w:r w:rsidRPr="00FE5D7D">
        <w:rPr>
          <w:rStyle w:val="Strong"/>
          <w:rFonts w:asciiTheme="minorHAnsi" w:hAnsiTheme="minorHAnsi" w:cstheme="minorHAnsi"/>
          <w:sz w:val="22"/>
          <w:szCs w:val="22"/>
        </w:rPr>
        <w:t>product development</w:t>
      </w:r>
      <w:r w:rsidRPr="00FE5D7D">
        <w:rPr>
          <w:rFonts w:asciiTheme="minorHAnsi" w:hAnsiTheme="minorHAnsi" w:cstheme="minorHAnsi"/>
          <w:sz w:val="22"/>
          <w:szCs w:val="22"/>
        </w:rPr>
        <w:t xml:space="preserve"> (ESG loans, sustainable investments), </w:t>
      </w:r>
      <w:r w:rsidRPr="00FE5D7D">
        <w:rPr>
          <w:rStyle w:val="Strong"/>
          <w:rFonts w:asciiTheme="minorHAnsi" w:hAnsiTheme="minorHAnsi" w:cstheme="minorHAnsi"/>
          <w:sz w:val="22"/>
          <w:szCs w:val="22"/>
        </w:rPr>
        <w:t>market development</w:t>
      </w:r>
      <w:r w:rsidRPr="00FE5D7D">
        <w:rPr>
          <w:rFonts w:asciiTheme="minorHAnsi" w:hAnsiTheme="minorHAnsi" w:cstheme="minorHAnsi"/>
          <w:sz w:val="22"/>
          <w:szCs w:val="22"/>
        </w:rPr>
        <w:t xml:space="preserve"> (expanding into emerging markets and minority communities), and </w:t>
      </w:r>
      <w:r w:rsidRPr="00FE5D7D">
        <w:rPr>
          <w:rStyle w:val="Strong"/>
          <w:rFonts w:asciiTheme="minorHAnsi" w:hAnsiTheme="minorHAnsi" w:cstheme="minorHAnsi"/>
          <w:sz w:val="22"/>
          <w:szCs w:val="22"/>
        </w:rPr>
        <w:t>diversification</w:t>
      </w:r>
      <w:r w:rsidRPr="00FE5D7D">
        <w:rPr>
          <w:rFonts w:asciiTheme="minorHAnsi" w:hAnsiTheme="minorHAnsi" w:cstheme="minorHAnsi"/>
          <w:sz w:val="22"/>
          <w:szCs w:val="22"/>
        </w:rPr>
        <w:t xml:space="preserve"> (FinTech partnerships, crypto-linked products).</w:t>
      </w:r>
    </w:p>
    <w:p w14:paraId="6D1FAF08" w14:textId="77777777" w:rsidR="00E07DAD" w:rsidRPr="005D2A29" w:rsidRDefault="00793041" w:rsidP="00E07DAD">
      <w:pPr>
        <w:pStyle w:val="NormalWeb"/>
        <w:rPr>
          <w:rFonts w:asciiTheme="minorHAnsi" w:hAnsiTheme="minorHAnsi" w:cstheme="minorHAnsi"/>
          <w:sz w:val="22"/>
          <w:szCs w:val="22"/>
        </w:rPr>
      </w:pPr>
      <w:r w:rsidRPr="005D2A29">
        <w:rPr>
          <w:rFonts w:asciiTheme="minorHAnsi" w:hAnsiTheme="minorHAnsi" w:cstheme="minorHAnsi"/>
          <w:sz w:val="22"/>
          <w:szCs w:val="22"/>
        </w:rPr>
        <w:t>HSBC’s strengths include a global footprint, strong regulatory compliance, and innovation capacity, while weaknesses involve high operational costs and coordination challenges. Opportunities arise from political support for sustainability and social trends like digital adoption, while threats include political instability and rapidly evolving customer expectations. Overall, HSBC exemplifies a pioneering firm that strategically balances innovation, risk diversification, and long-term growth.</w:t>
      </w:r>
    </w:p>
    <w:p w14:paraId="7504D0E5" w14:textId="161CA86D" w:rsidR="009A0E79" w:rsidRPr="00093DB6" w:rsidRDefault="00E07DAD" w:rsidP="00093DB6">
      <w:pPr>
        <w:pStyle w:val="Heading2"/>
        <w:numPr>
          <w:ilvl w:val="1"/>
          <w:numId w:val="20"/>
        </w:numPr>
        <w:rPr>
          <w:sz w:val="28"/>
          <w:szCs w:val="28"/>
        </w:rPr>
      </w:pPr>
      <w:r w:rsidRPr="00093DB6">
        <w:rPr>
          <w:sz w:val="28"/>
          <w:szCs w:val="28"/>
        </w:rPr>
        <w:t xml:space="preserve"> </w:t>
      </w:r>
      <w:bookmarkStart w:id="20" w:name="_Toc214600048"/>
      <w:bookmarkStart w:id="21" w:name="_Toc214638855"/>
      <w:r w:rsidR="00793041" w:rsidRPr="00093DB6">
        <w:rPr>
          <w:sz w:val="28"/>
          <w:szCs w:val="28"/>
        </w:rPr>
        <w:t>Follower Organisations’ Strategic Responses</w:t>
      </w:r>
      <w:bookmarkEnd w:id="20"/>
      <w:bookmarkEnd w:id="21"/>
    </w:p>
    <w:p w14:paraId="6E601CD9" w14:textId="34E757DB" w:rsidR="00793041" w:rsidRDefault="00793041" w:rsidP="009A0E79">
      <w:pPr>
        <w:pStyle w:val="NormalWeb"/>
        <w:rPr>
          <w:rFonts w:cstheme="minorHAnsi"/>
          <w:sz w:val="22"/>
          <w:szCs w:val="22"/>
        </w:rPr>
      </w:pPr>
      <w:r w:rsidRPr="009A0E79">
        <w:rPr>
          <w:rFonts w:cstheme="minorHAnsi"/>
          <w:sz w:val="22"/>
          <w:szCs w:val="22"/>
        </w:rPr>
        <w:t xml:space="preserve">Follower organisations like Lloyds Banking Group operate primarily in established domestic markets, focusing on stability, operational efficiency, and regulatory compliance rather than pursuing global expansion or radical innovation, which enables them to sustain competitiveness while managing risk in heavily regulated environments. Politically, Lloyds is highly exposed to UK-specific regulatory changes, housing policies, and taxation, with FCA investigations into car finance and insurance products prompting the bank to set aside £450m for potential fines and remediation in 2024. In response, Lloyds strengthens governance, enhances customer communication, and ensures </w:t>
      </w:r>
      <w:r w:rsidRPr="009A0E79">
        <w:rPr>
          <w:rFonts w:cstheme="minorHAnsi"/>
          <w:sz w:val="22"/>
          <w:szCs w:val="22"/>
        </w:rPr>
        <w:lastRenderedPageBreak/>
        <w:t>compliance, similar to Barclays and NatWest, which also prioritise domestic regulatory management. Socially, Lloyds adapts to digital banking adoption, ageing populations, ESG expectations, and cost-of-living pressures by implementing a hybrid digital-branch strategy, developing targeted pensions, protection products, and advisory services, and leveraging its reputation for transparency, responsible lending, and customer-centric services. Using Ansoff’s Growth Matrix, Lloyds pursues market penetration by enhancing mortgages, savings, and retail banking offerings; product development through green mortgages, sustainable home loans, and pension advisory services; limited market development in niche UK segments such as SMEs or underserved regions; and selective diversification via FinTech partnerships and insurance-related products, primarily domestically focused. This follower strategy is characterised by risk aversion, incremental innovation, and compliance-driven growth, with strengths including strong domestic trust, regulatory alignment, and adaptability to social trends. However, limitations include restricted international exposure, dependence on market stability, and vulnerability to UK-specific political or economic shocks. Opportunities arise from government-backed housing and SME schemes, as well as rising ESG and financial inclusion awareness, while threats include cost-of-living pressures, public backlash over branch closures, and challenges posed by the demographic digital divide. Industry examples such as Barclays’ domestic-focused digital-branch balance and NatWest’s SME and green finance initiatives illustrate how follower banks maintain competitiveness within the UK market</w:t>
      </w:r>
      <w:r w:rsidR="009A0E79">
        <w:rPr>
          <w:rFonts w:cstheme="minorHAnsi"/>
          <w:sz w:val="22"/>
          <w:szCs w:val="22"/>
        </w:rPr>
        <w:t>.</w:t>
      </w:r>
    </w:p>
    <w:p w14:paraId="7F1ED24B" w14:textId="18FE5978" w:rsidR="009A0E79" w:rsidRPr="00B62CB4" w:rsidRDefault="009A0E79" w:rsidP="00B62CB4">
      <w:pPr>
        <w:pStyle w:val="Heading2"/>
        <w:numPr>
          <w:ilvl w:val="1"/>
          <w:numId w:val="20"/>
        </w:numPr>
        <w:rPr>
          <w:rFonts w:asciiTheme="minorHAnsi" w:hAnsiTheme="minorHAnsi"/>
          <w:sz w:val="28"/>
          <w:szCs w:val="28"/>
        </w:rPr>
      </w:pPr>
      <w:bookmarkStart w:id="22" w:name="_Toc214638856"/>
      <w:r w:rsidRPr="00B62CB4">
        <w:rPr>
          <w:sz w:val="28"/>
          <w:szCs w:val="28"/>
        </w:rPr>
        <w:t xml:space="preserve">Cross Analysis of pioneer and follower bank </w:t>
      </w:r>
      <w:r w:rsidR="00B62CB4" w:rsidRPr="00B62CB4">
        <w:rPr>
          <w:sz w:val="28"/>
          <w:szCs w:val="28"/>
        </w:rPr>
        <w:t>Strategic Responses</w:t>
      </w:r>
      <w:bookmarkEnd w:id="22"/>
    </w:p>
    <w:p w14:paraId="34047FA0" w14:textId="77777777" w:rsidR="003C5B5B" w:rsidRDefault="00793041" w:rsidP="00793041">
      <w:pPr>
        <w:pStyle w:val="NormalWeb"/>
        <w:rPr>
          <w:rFonts w:asciiTheme="minorHAnsi" w:hAnsiTheme="minorHAnsi" w:cstheme="minorHAnsi"/>
          <w:sz w:val="22"/>
          <w:szCs w:val="22"/>
        </w:rPr>
      </w:pPr>
      <w:r w:rsidRPr="005D2A29">
        <w:rPr>
          <w:rFonts w:asciiTheme="minorHAnsi" w:hAnsiTheme="minorHAnsi" w:cstheme="minorHAnsi"/>
          <w:sz w:val="22"/>
          <w:szCs w:val="22"/>
        </w:rPr>
        <w:t>In the UK banking sector, political and social actors have a significant impact on operational and strategic decisions. Political factors, including government policies, regulatory bodies, taxation, and compliance frameworks, directly shape banks’ operating environments. For instance, HSBC faced major enforcement actions in 2024, including a £57.42m PRA fine for historic failings in the Financial Services Compensation Scheme and a £6.28m FCA fine for unfair treatment of customers in financial difficulty, requiring £185m in customer redress. These examples highlight the high regulatory scrutiny that drives operational, marketing, and governance responses. Similarly, Lloyds Banking Group has faced regulatory exposure in car-loan and insurance products, setting aside £450m for potential redress, showing how compliance priorities influence customer communication, trust-building, and operational controls.</w:t>
      </w:r>
    </w:p>
    <w:p w14:paraId="6658F33E" w14:textId="3A2EE498" w:rsidR="00793041" w:rsidRPr="005D2A29" w:rsidRDefault="00793041" w:rsidP="00793041">
      <w:pPr>
        <w:pStyle w:val="NormalWeb"/>
        <w:rPr>
          <w:rFonts w:asciiTheme="minorHAnsi" w:hAnsiTheme="minorHAnsi" w:cstheme="minorHAnsi"/>
          <w:sz w:val="22"/>
          <w:szCs w:val="22"/>
        </w:rPr>
      </w:pPr>
      <w:r w:rsidRPr="005D2A29">
        <w:rPr>
          <w:rFonts w:asciiTheme="minorHAnsi" w:hAnsiTheme="minorHAnsi" w:cstheme="minorHAnsi"/>
          <w:sz w:val="22"/>
          <w:szCs w:val="22"/>
        </w:rPr>
        <w:t>Political actor changes have different implications for pioneers like HSBC and followers like Lloyds. HSBC’s international exposure means global political tensions and trade policies are highly impactful, while post-Brexit divergence necessitates separate compliance systems for UK and EU markets. HSBC leverages opportunities such as trade agreements and green finance incentives, developing ESG loans and cross-border banking services. Lloyds, with a UK-focused model, is more vulnerable to domestic regulatory and housing policy changes, yet benefits from government-backed mortgage and SME lending schemes. For example, Lloyds’ dominance in mortgages allows it to capitalize on housing incentives, while regulatory pressures on high-risk lenders enhance its competitive stability.</w:t>
      </w:r>
    </w:p>
    <w:p w14:paraId="561C697B" w14:textId="2808FF64" w:rsidR="003C5B5B" w:rsidRDefault="00793041" w:rsidP="003C5B5B">
      <w:pPr>
        <w:pStyle w:val="NormalWeb"/>
        <w:rPr>
          <w:rFonts w:asciiTheme="minorHAnsi" w:hAnsiTheme="minorHAnsi" w:cstheme="minorHAnsi"/>
          <w:sz w:val="22"/>
          <w:szCs w:val="22"/>
        </w:rPr>
      </w:pPr>
      <w:r w:rsidRPr="005D2A29">
        <w:rPr>
          <w:rFonts w:asciiTheme="minorHAnsi" w:hAnsiTheme="minorHAnsi" w:cstheme="minorHAnsi"/>
          <w:sz w:val="22"/>
          <w:szCs w:val="22"/>
        </w:rPr>
        <w:t xml:space="preserve">Social actor changes are equally significant. Digital banking trends, ageing populations, ESG expectations, public trust issues, and cost-of-living pressures shape service delivery and product innovation. HSBC addresses these through AI-driven digital platforms, mobile banking, cross-border services, ESG and sustainable investment products, and targeted wealth management solutions for ageing populations. This mirrors industry trends where global banks like Standard Chartered and Citi also expand digital and ESG-focused offerings to capture international markets. Lloyds, meanwhile, focuses on domestic digital adoption while balancing branch closures, addressing financial well-being, and offering inclusive services, similar to Barclays’ UK-focused branch-digital hybrid </w:t>
      </w:r>
      <w:r w:rsidR="009A0E79" w:rsidRPr="005D2A29">
        <w:rPr>
          <w:rFonts w:asciiTheme="minorHAnsi" w:hAnsiTheme="minorHAnsi" w:cstheme="minorHAnsi"/>
          <w:sz w:val="22"/>
          <w:szCs w:val="22"/>
        </w:rPr>
        <w:t>strategy. Strategically</w:t>
      </w:r>
      <w:r w:rsidRPr="005D2A29">
        <w:rPr>
          <w:rFonts w:asciiTheme="minorHAnsi" w:hAnsiTheme="minorHAnsi" w:cstheme="minorHAnsi"/>
          <w:sz w:val="22"/>
          <w:szCs w:val="22"/>
        </w:rPr>
        <w:t xml:space="preserve">, HSBC responds to external challenges by investing in multi-jurisdictional compliance systems, expanding digital and cross-border services, and developing ESG and wealth management products. Geopolitical tensions drive portfolio diversification and contingency planning, while </w:t>
      </w:r>
      <w:r w:rsidRPr="005D2A29">
        <w:rPr>
          <w:rFonts w:asciiTheme="minorHAnsi" w:hAnsiTheme="minorHAnsi" w:cstheme="minorHAnsi"/>
          <w:sz w:val="22"/>
          <w:szCs w:val="22"/>
        </w:rPr>
        <w:lastRenderedPageBreak/>
        <w:t>regulatory fines reinforce the importance of reputation management and customer trust. Lloyds emphasizes UK regulatory alignment, hybrid digital-branch banking, mortgage and retail growth, and ethical branding to maintain domestic competitiveness.</w:t>
      </w:r>
    </w:p>
    <w:p w14:paraId="7D59B7D8" w14:textId="77777777" w:rsidR="002C2F0D" w:rsidRPr="00FE5D7D" w:rsidRDefault="002C2F0D" w:rsidP="002C2F0D">
      <w:pPr>
        <w:pStyle w:val="NormalWeb"/>
        <w:rPr>
          <w:rFonts w:asciiTheme="minorHAnsi" w:hAnsiTheme="minorHAnsi" w:cstheme="minorHAnsi"/>
          <w:sz w:val="22"/>
          <w:szCs w:val="22"/>
        </w:rPr>
      </w:pPr>
      <w:r w:rsidRPr="00FE5D7D">
        <w:rPr>
          <w:rFonts w:asciiTheme="minorHAnsi" w:hAnsiTheme="minorHAnsi" w:cstheme="minorHAnsi"/>
          <w:sz w:val="22"/>
          <w:szCs w:val="22"/>
        </w:rPr>
        <w:t>A comparison of political actor impacts shows HSBC is more exposed to global political tensions and trade policies due to its international presence, while Lloyds is more affected by UK-specific regulations, taxation, and housing policies. Each bank faces unique opportunities and threats: HSBC can expand global ESG products and cross-border services but must manage geopolitical risks and costly compliance; Lloyds benefits from UK housing schemes and domestic green finance support but faces high regulatory costs and reputational risks linked to branch closures.</w:t>
      </w:r>
    </w:p>
    <w:p w14:paraId="75EED10D" w14:textId="77777777" w:rsidR="002C2F0D" w:rsidRPr="00FE5D7D" w:rsidRDefault="002C2F0D" w:rsidP="002C2F0D">
      <w:pPr>
        <w:pStyle w:val="NormalWeb"/>
        <w:rPr>
          <w:rFonts w:asciiTheme="minorHAnsi" w:hAnsiTheme="minorHAnsi" w:cstheme="minorHAnsi"/>
          <w:sz w:val="22"/>
          <w:szCs w:val="22"/>
        </w:rPr>
      </w:pPr>
      <w:r w:rsidRPr="00FE5D7D">
        <w:rPr>
          <w:rFonts w:asciiTheme="minorHAnsi" w:hAnsiTheme="minorHAnsi" w:cstheme="minorHAnsi"/>
          <w:sz w:val="22"/>
          <w:szCs w:val="22"/>
        </w:rPr>
        <w:t>Social changes also affect the two banks differently. HSBC responds to global digital banking demands, ESG expectations, and ageing populations across multiple markets. Lloyds focuses on domestic digital adoption, ethical banking, and supporting customers during the cost-of-living crisis.</w:t>
      </w:r>
    </w:p>
    <w:p w14:paraId="50BAD484" w14:textId="77777777" w:rsidR="00093DB6" w:rsidRPr="005D2A29" w:rsidRDefault="00093DB6" w:rsidP="003C5B5B">
      <w:pPr>
        <w:pStyle w:val="NormalWeb"/>
        <w:rPr>
          <w:rFonts w:asciiTheme="minorHAnsi" w:hAnsiTheme="minorHAnsi" w:cstheme="minorHAnsi"/>
          <w:sz w:val="22"/>
          <w:szCs w:val="22"/>
        </w:rPr>
      </w:pPr>
    </w:p>
    <w:p w14:paraId="7B5B6777" w14:textId="230A4D3D" w:rsidR="00E07DAD" w:rsidRPr="005D2A29" w:rsidRDefault="00E07DAD" w:rsidP="00B12800">
      <w:pPr>
        <w:pStyle w:val="Heading1"/>
        <w:numPr>
          <w:ilvl w:val="0"/>
          <w:numId w:val="20"/>
        </w:numPr>
      </w:pPr>
      <w:bookmarkStart w:id="23" w:name="_Toc214600049"/>
      <w:bookmarkStart w:id="24" w:name="_Toc214638857"/>
      <w:r w:rsidRPr="005D2A29">
        <w:t>CONCLUSION</w:t>
      </w:r>
      <w:bookmarkEnd w:id="23"/>
      <w:bookmarkEnd w:id="24"/>
    </w:p>
    <w:p w14:paraId="5D5F44B6" w14:textId="77777777" w:rsidR="00093DB6" w:rsidRDefault="00093DB6" w:rsidP="00E07DAD">
      <w:pPr>
        <w:rPr>
          <w:rFonts w:cstheme="minorHAnsi"/>
          <w:sz w:val="22"/>
          <w:szCs w:val="22"/>
        </w:rPr>
      </w:pPr>
    </w:p>
    <w:p w14:paraId="4CBB5ECF" w14:textId="2B650436" w:rsidR="00E07DAD" w:rsidRPr="005D2A29" w:rsidRDefault="00E07DAD" w:rsidP="00E07DAD">
      <w:pPr>
        <w:rPr>
          <w:rFonts w:cstheme="minorHAnsi"/>
          <w:sz w:val="22"/>
          <w:szCs w:val="22"/>
        </w:rPr>
      </w:pPr>
      <w:r w:rsidRPr="005D2A29">
        <w:rPr>
          <w:rFonts w:cstheme="minorHAnsi"/>
          <w:sz w:val="22"/>
          <w:szCs w:val="22"/>
        </w:rPr>
        <w:t>Political and social macro-environmental forces strongly influence the strategies of UK banks, but pioneers and followers exhibit different responses. As a global pioneering bank, HSBC applies innovation, international diversification, and sophisticated compliance and digital systems to convert political and social challenges into opportunities. With leading positions in various regions across the world, HSBC is achieving geopolitical risk management by expanding digital offerings and eventually ESG capabilities, besides cross-border growth.</w:t>
      </w:r>
    </w:p>
    <w:p w14:paraId="36021B1F" w14:textId="77777777" w:rsidR="00E07DAD" w:rsidRPr="005D2A29" w:rsidRDefault="00E07DAD" w:rsidP="00E07DAD">
      <w:pPr>
        <w:rPr>
          <w:rFonts w:cstheme="minorHAnsi"/>
          <w:sz w:val="22"/>
          <w:szCs w:val="22"/>
        </w:rPr>
      </w:pPr>
      <w:r w:rsidRPr="005D2A29">
        <w:rPr>
          <w:rFonts w:cstheme="minorHAnsi"/>
          <w:sz w:val="22"/>
          <w:szCs w:val="22"/>
        </w:rPr>
        <w:t>Lloyds stands as a follower organisation that is more risk-averse and UK-focused. Because of this, the strategy for Lloyds becomes dictated by domestic regulations, housing policies, and social issues such as digital adoption and cost-of-living crises. Lloyds places much emphasis on compliance, customer trust, operational efficiency, and gradual product development; however, this equally jeopardizes growth prospects and increases vulnerabilities toward UK-specific shocks.</w:t>
      </w:r>
    </w:p>
    <w:p w14:paraId="744F3664" w14:textId="2AFF5AAB" w:rsidR="00E07DAD" w:rsidRDefault="00E07DAD" w:rsidP="00E07DAD">
      <w:pPr>
        <w:rPr>
          <w:rFonts w:cstheme="minorHAnsi"/>
          <w:sz w:val="22"/>
          <w:szCs w:val="22"/>
        </w:rPr>
      </w:pPr>
      <w:r w:rsidRPr="005D2A29">
        <w:rPr>
          <w:rFonts w:cstheme="minorHAnsi"/>
          <w:sz w:val="22"/>
          <w:szCs w:val="22"/>
        </w:rPr>
        <w:t>Overall, HSBC competes through global innovation and diversification, while Lloyds competes through domestic stability and trusted service. Yet both demonstrate that success is all about adapting strategy to the politics and social forces, though their particular approach markedly varies given their roles as pioneer and follower.</w:t>
      </w:r>
    </w:p>
    <w:p w14:paraId="42210CAF" w14:textId="77777777" w:rsidR="004C1F9F" w:rsidRDefault="004C1F9F" w:rsidP="00E07DAD">
      <w:pPr>
        <w:rPr>
          <w:rFonts w:cstheme="minorHAnsi"/>
          <w:sz w:val="22"/>
          <w:szCs w:val="22"/>
        </w:rPr>
      </w:pPr>
    </w:p>
    <w:p w14:paraId="67BE60D8" w14:textId="77777777" w:rsidR="005D2A29" w:rsidRDefault="005D2A29" w:rsidP="00E07DAD">
      <w:pPr>
        <w:rPr>
          <w:rFonts w:cstheme="minorHAnsi"/>
          <w:sz w:val="22"/>
          <w:szCs w:val="22"/>
        </w:rPr>
      </w:pPr>
    </w:p>
    <w:p w14:paraId="5448E830" w14:textId="6591FB87" w:rsidR="005D2A29" w:rsidRDefault="005D2A29" w:rsidP="00093DB6">
      <w:pPr>
        <w:pStyle w:val="Heading1"/>
        <w:numPr>
          <w:ilvl w:val="0"/>
          <w:numId w:val="20"/>
        </w:numPr>
      </w:pPr>
      <w:bookmarkStart w:id="25" w:name="_Toc214600050"/>
      <w:bookmarkStart w:id="26" w:name="_Toc214638858"/>
      <w:r>
        <w:t>REFERENCES</w:t>
      </w:r>
      <w:bookmarkEnd w:id="25"/>
      <w:bookmarkEnd w:id="26"/>
    </w:p>
    <w:p w14:paraId="1C9C2B75" w14:textId="77777777" w:rsidR="005D2A29" w:rsidRDefault="005D2A29" w:rsidP="005D2A29">
      <w:pPr>
        <w:pStyle w:val="NormalWeb"/>
      </w:pPr>
      <w:r>
        <w:t xml:space="preserve">Financial Conduct Authority (FCA), 2024. </w:t>
      </w:r>
      <w:r>
        <w:rPr>
          <w:rStyle w:val="Emphasis"/>
        </w:rPr>
        <w:t>FCA fines HSBC £6.28M for mistreatment of customers in financial difficulty</w:t>
      </w:r>
      <w:r>
        <w:t xml:space="preserve">. [online] Available at: </w:t>
      </w:r>
      <w:hyperlink r:id="rId9" w:tgtFrame="_new" w:history="1">
        <w:r>
          <w:rPr>
            <w:rStyle w:val="Hyperlink"/>
            <w:rFonts w:eastAsiaTheme="majorEastAsia"/>
          </w:rPr>
          <w:t>https://www.fca.org.uk/news/press-releases/fca-fines-hsbc-6-million-over-treatment-customers-financial-difficulty</w:t>
        </w:r>
      </w:hyperlink>
      <w:r>
        <w:t xml:space="preserve"> [Accessed 21 November 2025].</w:t>
      </w:r>
    </w:p>
    <w:p w14:paraId="2E3BD6A3" w14:textId="77777777" w:rsidR="005D2A29" w:rsidRDefault="005D2A29" w:rsidP="005D2A29">
      <w:pPr>
        <w:pStyle w:val="NormalWeb"/>
      </w:pPr>
      <w:r>
        <w:t xml:space="preserve">Financial Conduct Authority (FCA), 2025. </w:t>
      </w:r>
      <w:r>
        <w:rPr>
          <w:rStyle w:val="Emphasis"/>
        </w:rPr>
        <w:t>Annual Report 2024</w:t>
      </w:r>
      <w:r>
        <w:rPr>
          <w:rStyle w:val="Emphasis"/>
        </w:rPr>
        <w:noBreakHyphen/>
        <w:t>25</w:t>
      </w:r>
      <w:r>
        <w:t xml:space="preserve">. [online] Available at: </w:t>
      </w:r>
      <w:hyperlink r:id="rId10" w:tgtFrame="_new" w:history="1">
        <w:r>
          <w:rPr>
            <w:rStyle w:val="Hyperlink"/>
            <w:rFonts w:eastAsiaTheme="majorEastAsia"/>
          </w:rPr>
          <w:t>https://www.fca.org.uk/publication/annual-reports/annual-report-2024-25.pdf</w:t>
        </w:r>
      </w:hyperlink>
      <w:r>
        <w:t xml:space="preserve"> [Accessed 21 November 2025].</w:t>
      </w:r>
    </w:p>
    <w:p w14:paraId="48A5E85B" w14:textId="77777777" w:rsidR="005D2A29" w:rsidRDefault="005D2A29" w:rsidP="005D2A29">
      <w:pPr>
        <w:pStyle w:val="NormalWeb"/>
      </w:pPr>
      <w:r>
        <w:lastRenderedPageBreak/>
        <w:t xml:space="preserve">The Guardian, 2024a. </w:t>
      </w:r>
      <w:r>
        <w:rPr>
          <w:rStyle w:val="Emphasis"/>
        </w:rPr>
        <w:t xml:space="preserve">Lloyds sets aside £450m for car-loan fines and </w:t>
      </w:r>
      <w:proofErr w:type="spellStart"/>
      <w:r>
        <w:rPr>
          <w:rStyle w:val="Emphasis"/>
        </w:rPr>
        <w:t>payouts</w:t>
      </w:r>
      <w:proofErr w:type="spellEnd"/>
      <w:r>
        <w:t xml:space="preserve">. [online] 22 February. Available at: </w:t>
      </w:r>
      <w:hyperlink r:id="rId11" w:tgtFrame="_new" w:history="1">
        <w:r>
          <w:rPr>
            <w:rStyle w:val="Hyperlink"/>
            <w:rFonts w:eastAsiaTheme="majorEastAsia"/>
          </w:rPr>
          <w:t>https://www.theguardian.com/business/2024/feb/22/lloyds-car-loan-fines-bank-profits-fca</w:t>
        </w:r>
      </w:hyperlink>
      <w:r>
        <w:t xml:space="preserve"> [Accessed 21 November 2025].</w:t>
      </w:r>
    </w:p>
    <w:p w14:paraId="1FCFCD4B" w14:textId="77777777" w:rsidR="005D2A29" w:rsidRDefault="005D2A29" w:rsidP="005D2A29">
      <w:pPr>
        <w:pStyle w:val="NormalWeb"/>
      </w:pPr>
      <w:r>
        <w:t xml:space="preserve">The Guardian, 2024b. </w:t>
      </w:r>
      <w:r>
        <w:rPr>
          <w:rStyle w:val="Emphasis"/>
        </w:rPr>
        <w:t>Lloyds suspends commission payments after ruling on UK car finance</w:t>
      </w:r>
      <w:r>
        <w:t xml:space="preserve">. [online] 30 October. Available at: </w:t>
      </w:r>
      <w:hyperlink r:id="rId12" w:tgtFrame="_new" w:history="1">
        <w:r>
          <w:rPr>
            <w:rStyle w:val="Hyperlink"/>
            <w:rFonts w:eastAsiaTheme="majorEastAsia"/>
          </w:rPr>
          <w:t>https://www.theguardian.com/business/2024/oct/30/lloyds-suspends-commission-payments-after-seismic-ruling-on-uk-car-finance</w:t>
        </w:r>
      </w:hyperlink>
      <w:r>
        <w:t xml:space="preserve"> [Accessed 21 November 2025].</w:t>
      </w:r>
    </w:p>
    <w:p w14:paraId="02036EBF" w14:textId="77777777" w:rsidR="005D2A29" w:rsidRDefault="005D2A29" w:rsidP="005D2A29">
      <w:pPr>
        <w:pStyle w:val="NormalWeb"/>
      </w:pPr>
      <w:r>
        <w:t xml:space="preserve">The Guardian, 2025. </w:t>
      </w:r>
      <w:r>
        <w:rPr>
          <w:rStyle w:val="Emphasis"/>
        </w:rPr>
        <w:t>Lloyds puts aside a further £700m for car</w:t>
      </w:r>
      <w:r>
        <w:rPr>
          <w:rStyle w:val="Emphasis"/>
        </w:rPr>
        <w:noBreakHyphen/>
        <w:t>finance compensation</w:t>
      </w:r>
      <w:r>
        <w:t xml:space="preserve">. [online] 20 February. Available at: </w:t>
      </w:r>
      <w:hyperlink r:id="rId13" w:tgtFrame="_new" w:history="1">
        <w:r>
          <w:rPr>
            <w:rStyle w:val="Hyperlink"/>
            <w:rFonts w:eastAsiaTheme="majorEastAsia"/>
          </w:rPr>
          <w:t>https://www.theguardian.com/business/2025/feb/20/lloyds-puts-aside-another-700m-for-compensation-over-car-finance-scandal</w:t>
        </w:r>
      </w:hyperlink>
      <w:r>
        <w:t xml:space="preserve"> [Accessed 21 November 2025].</w:t>
      </w:r>
    </w:p>
    <w:p w14:paraId="58BC4736" w14:textId="77777777" w:rsidR="005D2A29" w:rsidRDefault="005D2A29" w:rsidP="005D2A29">
      <w:pPr>
        <w:pStyle w:val="NormalWeb"/>
      </w:pPr>
      <w:r>
        <w:t xml:space="preserve">ITV News, 2024. </w:t>
      </w:r>
      <w:r>
        <w:rPr>
          <w:rStyle w:val="Emphasis"/>
        </w:rPr>
        <w:t>Lloyds sets aside £450m over mis-sold car finance investigation</w:t>
      </w:r>
      <w:r>
        <w:t xml:space="preserve">. [online] Available at: </w:t>
      </w:r>
      <w:hyperlink r:id="rId14" w:tgtFrame="_new" w:history="1">
        <w:r>
          <w:rPr>
            <w:rStyle w:val="Hyperlink"/>
            <w:rFonts w:eastAsiaTheme="majorEastAsia"/>
          </w:rPr>
          <w:t>https://www.itv.com/news/2024-02-22/lloyds-sets-aside-450m-over-mis-sold-car-finance-investigation</w:t>
        </w:r>
      </w:hyperlink>
      <w:r>
        <w:t xml:space="preserve"> [Accessed 21 November 2025].</w:t>
      </w:r>
    </w:p>
    <w:p w14:paraId="4A04DACE" w14:textId="77777777" w:rsidR="005D2A29" w:rsidRDefault="005D2A29" w:rsidP="005D2A29">
      <w:pPr>
        <w:pStyle w:val="NormalWeb"/>
      </w:pPr>
      <w:r>
        <w:t xml:space="preserve">Lloyds Banking Group, 2025a. </w:t>
      </w:r>
      <w:r>
        <w:rPr>
          <w:rStyle w:val="Emphasis"/>
        </w:rPr>
        <w:t>2024 Q4 Form 20-F</w:t>
      </w:r>
      <w:r>
        <w:t xml:space="preserve">. [online] Available at: </w:t>
      </w:r>
      <w:hyperlink r:id="rId15" w:tgtFrame="_new" w:history="1">
        <w:r>
          <w:rPr>
            <w:rStyle w:val="Hyperlink"/>
            <w:rFonts w:eastAsiaTheme="majorEastAsia"/>
          </w:rPr>
          <w:t>https://www.lloydsbankinggroup.com/assets/pdfs/investors/financial-performance/lloyds-banking-group-plc/2024/q4/2024-lbg-form-20f.pdf</w:t>
        </w:r>
      </w:hyperlink>
      <w:r>
        <w:t xml:space="preserve"> [Accessed 21 November 2025].</w:t>
      </w:r>
    </w:p>
    <w:p w14:paraId="374AE8CD" w14:textId="77777777" w:rsidR="005D2A29" w:rsidRDefault="005D2A29" w:rsidP="005D2A29">
      <w:pPr>
        <w:pStyle w:val="NormalWeb"/>
      </w:pPr>
      <w:r>
        <w:t xml:space="preserve">Lloyds Banking Group, 2025b. </w:t>
      </w:r>
      <w:r>
        <w:rPr>
          <w:rStyle w:val="Emphasis"/>
        </w:rPr>
        <w:t>HY 2025 Shareholder FAQs</w:t>
      </w:r>
      <w:r>
        <w:t xml:space="preserve">. [online] Available at: </w:t>
      </w:r>
      <w:hyperlink r:id="rId16" w:tgtFrame="_new" w:history="1">
        <w:r>
          <w:rPr>
            <w:rStyle w:val="Hyperlink"/>
            <w:rFonts w:eastAsiaTheme="majorEastAsia"/>
          </w:rPr>
          <w:t>https://www.lloydsbankinggroup.com/assets/pdfs/investors/financial-performance/lloyds-banking-group-plc/2025/q2/2025-lbg-hy-shareholder-faqs.pdf</w:t>
        </w:r>
      </w:hyperlink>
      <w:r>
        <w:t xml:space="preserve"> [Accessed 21 November 2025].</w:t>
      </w:r>
    </w:p>
    <w:p w14:paraId="4FD1E3C1" w14:textId="77777777" w:rsidR="005D2A29" w:rsidRDefault="005D2A29" w:rsidP="005D2A29">
      <w:pPr>
        <w:pStyle w:val="NormalWeb"/>
      </w:pPr>
      <w:r>
        <w:t xml:space="preserve">Standard, 2025. </w:t>
      </w:r>
      <w:r>
        <w:rPr>
          <w:rStyle w:val="Emphasis"/>
        </w:rPr>
        <w:t xml:space="preserve">Lloyds warns of ‘material’ extra provision needed for car finance </w:t>
      </w:r>
      <w:proofErr w:type="spellStart"/>
      <w:r>
        <w:rPr>
          <w:rStyle w:val="Emphasis"/>
        </w:rPr>
        <w:t>payouts</w:t>
      </w:r>
      <w:proofErr w:type="spellEnd"/>
      <w:r>
        <w:t xml:space="preserve">. [online] Available at: </w:t>
      </w:r>
      <w:hyperlink r:id="rId17" w:tgtFrame="_new" w:history="1">
        <w:r>
          <w:rPr>
            <w:rStyle w:val="Hyperlink"/>
            <w:rFonts w:eastAsiaTheme="majorEastAsia"/>
          </w:rPr>
          <w:t>https://www.standard.co.uk/business/business-news/lloyds-banking-group-financial-conduct-authority-shares-shore-capital-schroders-b1252011.html</w:t>
        </w:r>
      </w:hyperlink>
      <w:r>
        <w:t xml:space="preserve"> [Accessed 21 November 2025].</w:t>
      </w:r>
    </w:p>
    <w:p w14:paraId="004084D1" w14:textId="77777777" w:rsidR="006A7A7E" w:rsidRDefault="006A7A7E" w:rsidP="006A7A7E">
      <w:pPr>
        <w:pStyle w:val="NormalWeb"/>
      </w:pPr>
      <w:r>
        <w:t xml:space="preserve">Kotler, P., Keller, K.L., Ang, S.H., Leong, S.M. and Tan, C.T., 2023. </w:t>
      </w:r>
      <w:r>
        <w:rPr>
          <w:rStyle w:val="Emphasis"/>
        </w:rPr>
        <w:t>Marketing Management: An Asian Perspective</w:t>
      </w:r>
      <w:r>
        <w:t>. 8th ed. Harlow: Pearson.</w:t>
      </w:r>
    </w:p>
    <w:p w14:paraId="4633F2F5" w14:textId="77777777" w:rsidR="006A7A7E" w:rsidRDefault="006A7A7E" w:rsidP="006A7A7E">
      <w:pPr>
        <w:pStyle w:val="NormalWeb"/>
      </w:pPr>
      <w:r>
        <w:t xml:space="preserve">Jobber, D. and Ellis-Chadwick, F., 2022. </w:t>
      </w:r>
      <w:r>
        <w:rPr>
          <w:rStyle w:val="Emphasis"/>
        </w:rPr>
        <w:t>Principles and Practice of Marketing</w:t>
      </w:r>
      <w:r>
        <w:t>. 9th ed. London: McGraw-Hill Education.</w:t>
      </w:r>
    </w:p>
    <w:p w14:paraId="51FC8136" w14:textId="77777777" w:rsidR="006A7A7E" w:rsidRDefault="006A7A7E" w:rsidP="006A7A7E">
      <w:pPr>
        <w:pStyle w:val="NormalWeb"/>
      </w:pPr>
      <w:r>
        <w:t xml:space="preserve">Chernev, A., 2022. </w:t>
      </w:r>
      <w:r>
        <w:rPr>
          <w:rStyle w:val="Emphasis"/>
        </w:rPr>
        <w:t>Strategic Marketing Management</w:t>
      </w:r>
      <w:r>
        <w:t>. 9th ed. Chicago: Cerebellum Press.</w:t>
      </w:r>
    </w:p>
    <w:p w14:paraId="5EF5E588" w14:textId="77777777" w:rsidR="006A7A7E" w:rsidRDefault="006A7A7E" w:rsidP="006A7A7E">
      <w:pPr>
        <w:pStyle w:val="NormalWeb"/>
      </w:pPr>
      <w:r>
        <w:t xml:space="preserve">Blythe, J., 2021. </w:t>
      </w:r>
      <w:r>
        <w:rPr>
          <w:rStyle w:val="Emphasis"/>
        </w:rPr>
        <w:t>Essentials of Marketing</w:t>
      </w:r>
      <w:r>
        <w:t>. 7th ed. London: Pearson Education.</w:t>
      </w:r>
    </w:p>
    <w:p w14:paraId="1A738859" w14:textId="77777777" w:rsidR="006A7A7E" w:rsidRDefault="006A7A7E" w:rsidP="006A7A7E">
      <w:pPr>
        <w:pStyle w:val="NormalWeb"/>
      </w:pPr>
      <w:r>
        <w:t xml:space="preserve">Cadogan, J.W., Diamantopoulos, A. and </w:t>
      </w:r>
      <w:proofErr w:type="spellStart"/>
      <w:r>
        <w:t>Simintiras</w:t>
      </w:r>
      <w:proofErr w:type="spellEnd"/>
      <w:r>
        <w:t xml:space="preserve">, A.C., 2020. </w:t>
      </w:r>
      <w:r>
        <w:rPr>
          <w:rStyle w:val="Emphasis"/>
        </w:rPr>
        <w:t>Export Marketing: A Strategic Perspective on Market Selection, Competitive Positioning and Marketing Mix</w:t>
      </w:r>
      <w:r>
        <w:t>. Oxford: Routledge.</w:t>
      </w:r>
    </w:p>
    <w:p w14:paraId="5D426E0F" w14:textId="77777777" w:rsidR="006A7A7E" w:rsidRDefault="006A7A7E" w:rsidP="006A7A7E">
      <w:pPr>
        <w:pStyle w:val="NormalWeb"/>
      </w:pPr>
      <w:r>
        <w:t xml:space="preserve">Rothaermel, F.T., 2021. </w:t>
      </w:r>
      <w:r>
        <w:rPr>
          <w:rStyle w:val="Emphasis"/>
        </w:rPr>
        <w:t>Strategic Management</w:t>
      </w:r>
      <w:r>
        <w:t>. 4th ed. New York: McGraw-Hill.</w:t>
      </w:r>
    </w:p>
    <w:p w14:paraId="11E1D7DB" w14:textId="25734B6D" w:rsidR="004C1F9F" w:rsidRDefault="004C1F9F" w:rsidP="006A7A7E">
      <w:pPr>
        <w:pStyle w:val="NormalWeb"/>
      </w:pPr>
      <w:r>
        <w:t xml:space="preserve">Bank of England, 2024. </w:t>
      </w:r>
      <w:r>
        <w:rPr>
          <w:rStyle w:val="Emphasis"/>
        </w:rPr>
        <w:t>Financial Stability Report – November 2024</w:t>
      </w:r>
      <w:r>
        <w:t xml:space="preserve">. [online] Available at: </w:t>
      </w:r>
      <w:hyperlink r:id="rId18" w:tgtFrame="_new" w:history="1">
        <w:r>
          <w:rPr>
            <w:rStyle w:val="Hyperlink"/>
          </w:rPr>
          <w:t>https://www.bankofengland.co.uk/financial-stability-report/2024/november-2024</w:t>
        </w:r>
      </w:hyperlink>
      <w:r>
        <w:t xml:space="preserve"> [Accessed </w:t>
      </w:r>
      <w:r>
        <w:lastRenderedPageBreak/>
        <w:t>21 November 2025].</w:t>
      </w:r>
      <w:r>
        <w:br/>
        <w:t> </w:t>
      </w:r>
      <w:r>
        <w:br/>
        <w:t xml:space="preserve">Bank of England, 2024. </w:t>
      </w:r>
      <w:r>
        <w:rPr>
          <w:rStyle w:val="Emphasis"/>
        </w:rPr>
        <w:t>Financial Stability Report – June 2024</w:t>
      </w:r>
      <w:r>
        <w:t xml:space="preserve">. [online] Available at: </w:t>
      </w:r>
      <w:hyperlink r:id="rId19" w:tgtFrame="_new" w:history="1">
        <w:r>
          <w:rPr>
            <w:rStyle w:val="Hyperlink"/>
          </w:rPr>
          <w:t>https://www.bankofengland.co.uk/financial-stability-report/2024/june-2024</w:t>
        </w:r>
      </w:hyperlink>
      <w:r>
        <w:t xml:space="preserve"> [Accessed 21 November 2025].</w:t>
      </w:r>
      <w:r>
        <w:br/>
        <w:t> </w:t>
      </w:r>
      <w:r>
        <w:br/>
        <w:t xml:space="preserve">Bank of England / Prudential Regulation Authority, 2025. </w:t>
      </w:r>
      <w:r>
        <w:rPr>
          <w:rStyle w:val="Emphasis"/>
        </w:rPr>
        <w:t>PRA Annual Report 2024/25</w:t>
      </w:r>
      <w:r>
        <w:t xml:space="preserve">. [online] Available at: </w:t>
      </w:r>
      <w:hyperlink r:id="rId20" w:tgtFrame="_new" w:history="1">
        <w:r>
          <w:rPr>
            <w:rStyle w:val="Hyperlink"/>
          </w:rPr>
          <w:t>https://www.bankofengland.co.uk/prudential-regulation/publication/2025/june/pra-annual-report-2024-25</w:t>
        </w:r>
      </w:hyperlink>
      <w:r>
        <w:t xml:space="preserve"> [Accessed 21 November 2025].</w:t>
      </w:r>
      <w:r>
        <w:br/>
        <w:t> </w:t>
      </w:r>
      <w:r>
        <w:br/>
        <w:t xml:space="preserve">HSBC UK Bank plc, 2024. </w:t>
      </w:r>
      <w:r>
        <w:rPr>
          <w:rStyle w:val="Emphasis"/>
        </w:rPr>
        <w:t>Annual Report and Accounts 2024</w:t>
      </w:r>
      <w:r>
        <w:t xml:space="preserve">. [online] Available at: </w:t>
      </w:r>
      <w:hyperlink r:id="rId21" w:tgtFrame="_new" w:history="1">
        <w:r>
          <w:rPr>
            <w:rStyle w:val="Hyperlink"/>
          </w:rPr>
          <w:t>https://www.hsbc.com/-/files/hsbc/investors/hsbc-results/2024/annual/pdfs/hsbc-uk-bank-plc/250219-annual-report-and-accounts-2024.pdf</w:t>
        </w:r>
      </w:hyperlink>
      <w:r>
        <w:t xml:space="preserve"> [Accessed 21 November 2025].</w:t>
      </w:r>
      <w:r>
        <w:br/>
        <w:t> </w:t>
      </w:r>
      <w:r>
        <w:br/>
      </w:r>
      <w:proofErr w:type="spellStart"/>
      <w:r>
        <w:t>InfluenceMap</w:t>
      </w:r>
      <w:proofErr w:type="spellEnd"/>
      <w:r>
        <w:t xml:space="preserve">, 2025. </w:t>
      </w:r>
      <w:r>
        <w:rPr>
          <w:rStyle w:val="Emphasis"/>
        </w:rPr>
        <w:t>Big Four UK Banks Continue to Finance Fossil Fuel Expansion, Despite Net Zero Commitments</w:t>
      </w:r>
      <w:r>
        <w:t xml:space="preserve">. [online] Available at: </w:t>
      </w:r>
      <w:hyperlink r:id="rId22" w:tgtFrame="_new" w:history="1">
        <w:r>
          <w:rPr>
            <w:rStyle w:val="Hyperlink"/>
          </w:rPr>
          <w:t>https://influencemap.org/pressrelease/UK-Banks-Report-32667</w:t>
        </w:r>
      </w:hyperlink>
      <w:r>
        <w:t xml:space="preserve"> [Accessed 21 November 2025].</w:t>
      </w:r>
      <w:r>
        <w:br/>
        <w:t> </w:t>
      </w:r>
      <w:r>
        <w:br/>
      </w:r>
      <w:proofErr w:type="spellStart"/>
      <w:r>
        <w:t>BankTrack</w:t>
      </w:r>
      <w:proofErr w:type="spellEnd"/>
      <w:r>
        <w:t xml:space="preserve">, 2025. </w:t>
      </w:r>
      <w:r>
        <w:rPr>
          <w:rStyle w:val="Emphasis"/>
        </w:rPr>
        <w:t>Big Four UK Banks: Falling Short on Climate Action?</w:t>
      </w:r>
      <w:r>
        <w:t xml:space="preserve"> [online] Available at: </w:t>
      </w:r>
      <w:hyperlink r:id="rId23" w:tgtFrame="_new" w:history="1">
        <w:r>
          <w:rPr>
            <w:rStyle w:val="Hyperlink"/>
          </w:rPr>
          <w:t>https://www.banktrack.org/article/big_four_uk_banks_falling_short_on_climate_action</w:t>
        </w:r>
      </w:hyperlink>
      <w:r>
        <w:t xml:space="preserve"> [Accessed 21 November 2025].</w:t>
      </w:r>
      <w:r>
        <w:br/>
        <w:t> </w:t>
      </w:r>
      <w:r>
        <w:br/>
        <w:t xml:space="preserve">Reclaim Finance, 2025. </w:t>
      </w:r>
      <w:r>
        <w:rPr>
          <w:rStyle w:val="Emphasis"/>
        </w:rPr>
        <w:t>UK banks’ transition plans “not fit for purpose” – regulation needed</w:t>
      </w:r>
      <w:r>
        <w:t xml:space="preserve">. [online] Available at: </w:t>
      </w:r>
      <w:hyperlink r:id="rId24" w:tgtFrame="_new" w:history="1">
        <w:r>
          <w:rPr>
            <w:rStyle w:val="Hyperlink"/>
          </w:rPr>
          <w:t>https://reclaimfinance.org/site/en/2025/04/29/uk-banks-transition-plans-not-fit-for-purpose-regulation-needed/</w:t>
        </w:r>
      </w:hyperlink>
      <w:r>
        <w:t xml:space="preserve"> [Accessed 21 November 2025].</w:t>
      </w:r>
      <w:r>
        <w:br/>
        <w:t> </w:t>
      </w:r>
      <w:r>
        <w:br/>
      </w:r>
      <w:proofErr w:type="spellStart"/>
      <w:r>
        <w:t>ResearchAndMarkets</w:t>
      </w:r>
      <w:proofErr w:type="spellEnd"/>
      <w:r>
        <w:t xml:space="preserve">, 2025. </w:t>
      </w:r>
      <w:r>
        <w:rPr>
          <w:rStyle w:val="Emphasis"/>
        </w:rPr>
        <w:t>Banks in the United Kingdom – Industry Report</w:t>
      </w:r>
      <w:r>
        <w:t xml:space="preserve">. [online] Available at: </w:t>
      </w:r>
      <w:hyperlink r:id="rId25" w:tgtFrame="_new" w:history="1">
        <w:r>
          <w:rPr>
            <w:rStyle w:val="Hyperlink"/>
          </w:rPr>
          <w:t>https://www.researchandmarkets.com/reports/5992662/banks-in-the-united-kingdom</w:t>
        </w:r>
      </w:hyperlink>
      <w:r>
        <w:t xml:space="preserve"> [Accessed 21 November 2025].</w:t>
      </w:r>
      <w:r>
        <w:br/>
        <w:t> </w:t>
      </w:r>
      <w:r>
        <w:br/>
        <w:t xml:space="preserve">IBISWorld, 2025. </w:t>
      </w:r>
      <w:r>
        <w:rPr>
          <w:rStyle w:val="Emphasis"/>
        </w:rPr>
        <w:t>Banks in the UK – Market Research Report 2015</w:t>
      </w:r>
      <w:r>
        <w:rPr>
          <w:rStyle w:val="Emphasis"/>
        </w:rPr>
        <w:noBreakHyphen/>
        <w:t>2030</w:t>
      </w:r>
      <w:r>
        <w:t xml:space="preserve">. [online] Available at: </w:t>
      </w:r>
      <w:hyperlink r:id="rId26" w:tgtFrame="_new" w:history="1">
        <w:r>
          <w:rPr>
            <w:rStyle w:val="Hyperlink"/>
          </w:rPr>
          <w:t>https://www.ibisworld.com/united-kingdom/industry/banks/3670/</w:t>
        </w:r>
      </w:hyperlink>
      <w:r>
        <w:t xml:space="preserve"> [Accessed 21 November 2025].</w:t>
      </w:r>
    </w:p>
    <w:p w14:paraId="32C2D46E" w14:textId="77777777" w:rsidR="005D2A29" w:rsidRPr="005D2A29" w:rsidRDefault="005D2A29" w:rsidP="005D2A29">
      <w:pPr>
        <w:rPr>
          <w:rFonts w:cstheme="minorHAnsi"/>
          <w:sz w:val="22"/>
          <w:szCs w:val="22"/>
        </w:rPr>
      </w:pPr>
    </w:p>
    <w:p w14:paraId="13297AAD" w14:textId="77777777" w:rsidR="007526F2" w:rsidRPr="005D2A29" w:rsidRDefault="007526F2" w:rsidP="008E7F5C">
      <w:pPr>
        <w:rPr>
          <w:rFonts w:cstheme="minorHAnsi"/>
          <w:sz w:val="22"/>
          <w:szCs w:val="22"/>
        </w:rPr>
      </w:pPr>
    </w:p>
    <w:p w14:paraId="42E2E287" w14:textId="77777777" w:rsidR="008E7F5C" w:rsidRPr="008E7F5C" w:rsidRDefault="008E7F5C">
      <w:pPr>
        <w:rPr>
          <w:rFonts w:asciiTheme="majorHAnsi" w:eastAsiaTheme="majorEastAsia" w:hAnsiTheme="majorHAnsi" w:cstheme="majorBidi"/>
          <w:b/>
          <w:bCs/>
          <w:color w:val="000000" w:themeColor="text1"/>
          <w:sz w:val="32"/>
          <w:szCs w:val="32"/>
        </w:rPr>
      </w:pPr>
    </w:p>
    <w:p w14:paraId="1272D41C" w14:textId="77777777" w:rsidR="00AF2C03" w:rsidRDefault="00AF2C03">
      <w:pPr>
        <w:rPr>
          <w:lang w:val="en-US"/>
        </w:rPr>
      </w:pPr>
    </w:p>
    <w:p w14:paraId="5FA3061B" w14:textId="60CDED31" w:rsidR="00AF2C03" w:rsidRDefault="00AF2C03">
      <w:pPr>
        <w:rPr>
          <w:lang w:val="en-US"/>
        </w:rPr>
      </w:pPr>
    </w:p>
    <w:p w14:paraId="558CD525" w14:textId="77777777" w:rsidR="0079757B" w:rsidRDefault="0079757B">
      <w:pPr>
        <w:rPr>
          <w:lang w:val="en-US"/>
        </w:rPr>
      </w:pPr>
    </w:p>
    <w:p w14:paraId="16D9C60F" w14:textId="77777777" w:rsidR="0079757B" w:rsidRDefault="0079757B">
      <w:pPr>
        <w:rPr>
          <w:lang w:val="en-US"/>
        </w:rPr>
      </w:pPr>
    </w:p>
    <w:p w14:paraId="3B8FEA37" w14:textId="77777777" w:rsidR="0079757B" w:rsidRDefault="0079757B">
      <w:pPr>
        <w:rPr>
          <w:lang w:val="en-US"/>
        </w:rPr>
      </w:pPr>
    </w:p>
    <w:p w14:paraId="1B1925BC" w14:textId="77777777" w:rsidR="0079757B" w:rsidRDefault="0079757B">
      <w:pPr>
        <w:rPr>
          <w:lang w:val="en-US"/>
        </w:rPr>
      </w:pPr>
    </w:p>
    <w:p w14:paraId="2EC96A66" w14:textId="77777777" w:rsidR="0079757B" w:rsidRDefault="0079757B">
      <w:pPr>
        <w:rPr>
          <w:lang w:val="en-US"/>
        </w:rPr>
      </w:pPr>
    </w:p>
    <w:p w14:paraId="0003A160" w14:textId="77777777" w:rsidR="0079757B" w:rsidRDefault="0079757B">
      <w:pPr>
        <w:rPr>
          <w:lang w:val="en-US"/>
        </w:rPr>
      </w:pPr>
    </w:p>
    <w:p w14:paraId="26529CF2" w14:textId="77777777" w:rsidR="0079757B" w:rsidRDefault="0079757B">
      <w:pPr>
        <w:rPr>
          <w:lang w:val="en-US"/>
        </w:rPr>
      </w:pPr>
    </w:p>
    <w:p w14:paraId="4A5BA4D1" w14:textId="77777777" w:rsidR="0079757B" w:rsidRDefault="0079757B">
      <w:pPr>
        <w:rPr>
          <w:lang w:val="en-US"/>
        </w:rPr>
      </w:pPr>
    </w:p>
    <w:p w14:paraId="38CEB05E" w14:textId="77777777" w:rsidR="0079757B" w:rsidRDefault="0079757B">
      <w:pPr>
        <w:rPr>
          <w:lang w:val="en-US"/>
        </w:rPr>
      </w:pPr>
    </w:p>
    <w:p w14:paraId="6C50DE69" w14:textId="77777777" w:rsidR="0079757B" w:rsidRDefault="0079757B">
      <w:pPr>
        <w:rPr>
          <w:lang w:val="en-US"/>
        </w:rPr>
      </w:pPr>
    </w:p>
    <w:p w14:paraId="7571614B" w14:textId="77777777" w:rsidR="0079757B" w:rsidRDefault="0079757B">
      <w:pPr>
        <w:rPr>
          <w:lang w:val="en-US"/>
        </w:rPr>
      </w:pPr>
    </w:p>
    <w:p w14:paraId="19AE83E4" w14:textId="77777777" w:rsidR="0079757B" w:rsidRDefault="0079757B">
      <w:pPr>
        <w:rPr>
          <w:lang w:val="en-US"/>
        </w:rPr>
      </w:pPr>
    </w:p>
    <w:p w14:paraId="57068F3A" w14:textId="77777777" w:rsidR="0079757B" w:rsidRDefault="0079757B">
      <w:pPr>
        <w:rPr>
          <w:lang w:val="en-US"/>
        </w:rPr>
      </w:pPr>
    </w:p>
    <w:p w14:paraId="31B19643" w14:textId="77777777" w:rsidR="0079757B" w:rsidRDefault="0079757B">
      <w:pPr>
        <w:rPr>
          <w:lang w:val="en-US"/>
        </w:rPr>
      </w:pPr>
    </w:p>
    <w:p w14:paraId="04DE5B4A" w14:textId="77777777" w:rsidR="0079757B" w:rsidRDefault="0079757B">
      <w:pPr>
        <w:rPr>
          <w:lang w:val="en-US"/>
        </w:rPr>
      </w:pPr>
    </w:p>
    <w:p w14:paraId="6160DC47" w14:textId="77777777" w:rsidR="0079757B" w:rsidRDefault="0079757B">
      <w:pPr>
        <w:rPr>
          <w:lang w:val="en-US"/>
        </w:rPr>
      </w:pPr>
    </w:p>
    <w:p w14:paraId="5BEF8B0C" w14:textId="77777777" w:rsidR="0079757B" w:rsidRDefault="0079757B">
      <w:pPr>
        <w:rPr>
          <w:lang w:val="en-US"/>
        </w:rPr>
      </w:pPr>
    </w:p>
    <w:p w14:paraId="0FB643D9" w14:textId="77777777" w:rsidR="0079757B" w:rsidRDefault="0079757B">
      <w:pPr>
        <w:rPr>
          <w:lang w:val="en-US"/>
        </w:rPr>
      </w:pPr>
    </w:p>
    <w:p w14:paraId="5E55924E" w14:textId="77777777" w:rsidR="0079757B" w:rsidRDefault="0079757B">
      <w:pPr>
        <w:rPr>
          <w:lang w:val="en-US"/>
        </w:rPr>
      </w:pPr>
    </w:p>
    <w:p w14:paraId="13DA9633" w14:textId="77777777" w:rsidR="0079757B" w:rsidRDefault="0079757B">
      <w:pPr>
        <w:rPr>
          <w:lang w:val="en-US"/>
        </w:rPr>
      </w:pPr>
    </w:p>
    <w:p w14:paraId="43C0F087" w14:textId="77777777" w:rsidR="0079757B" w:rsidRDefault="0079757B">
      <w:pPr>
        <w:rPr>
          <w:lang w:val="en-US"/>
        </w:rPr>
      </w:pPr>
    </w:p>
    <w:p w14:paraId="5BD84841" w14:textId="77777777" w:rsidR="0079757B" w:rsidRDefault="0079757B">
      <w:pPr>
        <w:rPr>
          <w:lang w:val="en-US"/>
        </w:rPr>
      </w:pPr>
    </w:p>
    <w:p w14:paraId="1358BDF5" w14:textId="77777777" w:rsidR="0079757B" w:rsidRDefault="0079757B">
      <w:pPr>
        <w:rPr>
          <w:lang w:val="en-US"/>
        </w:rPr>
      </w:pPr>
    </w:p>
    <w:p w14:paraId="74B0F77B" w14:textId="77777777" w:rsidR="0079757B" w:rsidRDefault="0079757B">
      <w:pPr>
        <w:rPr>
          <w:lang w:val="en-US"/>
        </w:rPr>
      </w:pPr>
    </w:p>
    <w:p w14:paraId="76EEFB22" w14:textId="77777777" w:rsidR="00D12F31" w:rsidRDefault="00D12F31">
      <w:pPr>
        <w:rPr>
          <w:lang w:val="en-US"/>
        </w:rPr>
      </w:pPr>
    </w:p>
    <w:p w14:paraId="38397E45" w14:textId="77777777" w:rsidR="00920880" w:rsidRDefault="00920880">
      <w:pPr>
        <w:rPr>
          <w:lang w:val="en-US"/>
        </w:rPr>
      </w:pPr>
    </w:p>
    <w:p w14:paraId="33F23E75" w14:textId="5C72461F" w:rsidR="00D12F31" w:rsidRPr="0079757B" w:rsidRDefault="00D12F31">
      <w:pPr>
        <w:rPr>
          <w:lang w:val="en-US"/>
        </w:rPr>
      </w:pPr>
    </w:p>
    <w:sectPr w:rsidR="00D12F31" w:rsidRPr="0079757B">
      <w:headerReference w:type="even" r:id="rId27"/>
      <w:headerReference w:type="default" r:id="rId28"/>
      <w:footerReference w:type="even" r:id="rId29"/>
      <w:footerReference w:type="default" r:id="rId30"/>
      <w:headerReference w:type="first" r:id="rId31"/>
      <w:footerReference w:type="firs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72C5E" w14:textId="77777777" w:rsidR="006E25F6" w:rsidRDefault="006E25F6" w:rsidP="0079757B">
      <w:r>
        <w:separator/>
      </w:r>
    </w:p>
  </w:endnote>
  <w:endnote w:type="continuationSeparator" w:id="0">
    <w:p w14:paraId="79B1E182" w14:textId="77777777" w:rsidR="006E25F6" w:rsidRDefault="006E25F6" w:rsidP="007975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panose1 w:val="020B0502040204020203"/>
    <w:charset w:val="00"/>
    <w:family w:val="swiss"/>
    <w:pitch w:val="variable"/>
    <w:sig w:usb0="0004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A148B" w14:textId="77777777" w:rsidR="0079757B" w:rsidRDefault="007975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8558570"/>
      <w:docPartObj>
        <w:docPartGallery w:val="Page Numbers (Bottom of Page)"/>
        <w:docPartUnique/>
      </w:docPartObj>
    </w:sdtPr>
    <w:sdtEndPr>
      <w:rPr>
        <w:noProof/>
      </w:rPr>
    </w:sdtEndPr>
    <w:sdtContent>
      <w:p w14:paraId="1493C023" w14:textId="77777777" w:rsidR="0079757B" w:rsidRDefault="0079757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3EC261" w14:textId="77777777" w:rsidR="0079757B" w:rsidRDefault="007975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DAFB4" w14:textId="77777777" w:rsidR="0079757B" w:rsidRDefault="00797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BD766" w14:textId="77777777" w:rsidR="006E25F6" w:rsidRDefault="006E25F6" w:rsidP="0079757B">
      <w:r>
        <w:separator/>
      </w:r>
    </w:p>
  </w:footnote>
  <w:footnote w:type="continuationSeparator" w:id="0">
    <w:p w14:paraId="157ADD20" w14:textId="77777777" w:rsidR="006E25F6" w:rsidRDefault="006E25F6" w:rsidP="007975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B0497" w14:textId="77777777" w:rsidR="0079757B" w:rsidRDefault="007975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0EE57" w14:textId="77777777" w:rsidR="0079757B" w:rsidRDefault="0079757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4FABC" w14:textId="77777777" w:rsidR="0079757B" w:rsidRDefault="007975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601E9"/>
    <w:multiLevelType w:val="hybridMultilevel"/>
    <w:tmpl w:val="063C6A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8137F45"/>
    <w:multiLevelType w:val="multilevel"/>
    <w:tmpl w:val="7BD62AE6"/>
    <w:lvl w:ilvl="0">
      <w:start w:val="3"/>
      <w:numFmt w:val="decimal"/>
      <w:lvlText w:val="%1"/>
      <w:lvlJc w:val="left"/>
      <w:pPr>
        <w:ind w:left="360" w:hanging="360"/>
      </w:pPr>
      <w:rPr>
        <w:rFonts w:asciiTheme="minorBidi" w:hAnsiTheme="minorBidi" w:hint="default"/>
        <w:b/>
        <w:color w:val="000000" w:themeColor="text1"/>
      </w:rPr>
    </w:lvl>
    <w:lvl w:ilvl="1">
      <w:start w:val="1"/>
      <w:numFmt w:val="decimal"/>
      <w:lvlText w:val="%1.%2"/>
      <w:lvlJc w:val="left"/>
      <w:pPr>
        <w:ind w:left="360" w:hanging="360"/>
      </w:pPr>
      <w:rPr>
        <w:rFonts w:asciiTheme="minorBidi" w:hAnsiTheme="minorBidi" w:hint="default"/>
        <w:b/>
        <w:color w:val="000000" w:themeColor="text1"/>
      </w:rPr>
    </w:lvl>
    <w:lvl w:ilvl="2">
      <w:start w:val="1"/>
      <w:numFmt w:val="decimal"/>
      <w:lvlText w:val="%1.%2.%3"/>
      <w:lvlJc w:val="left"/>
      <w:pPr>
        <w:ind w:left="720" w:hanging="720"/>
      </w:pPr>
      <w:rPr>
        <w:rFonts w:asciiTheme="minorBidi" w:hAnsiTheme="minorBidi" w:hint="default"/>
        <w:b/>
        <w:color w:val="000000" w:themeColor="text1"/>
      </w:rPr>
    </w:lvl>
    <w:lvl w:ilvl="3">
      <w:start w:val="1"/>
      <w:numFmt w:val="decimal"/>
      <w:lvlText w:val="%1.%2.%3.%4"/>
      <w:lvlJc w:val="left"/>
      <w:pPr>
        <w:ind w:left="720" w:hanging="720"/>
      </w:pPr>
      <w:rPr>
        <w:rFonts w:asciiTheme="minorBidi" w:hAnsiTheme="minorBidi" w:hint="default"/>
        <w:b/>
        <w:color w:val="000000" w:themeColor="text1"/>
      </w:rPr>
    </w:lvl>
    <w:lvl w:ilvl="4">
      <w:start w:val="1"/>
      <w:numFmt w:val="decimal"/>
      <w:lvlText w:val="%1.%2.%3.%4.%5"/>
      <w:lvlJc w:val="left"/>
      <w:pPr>
        <w:ind w:left="1080" w:hanging="1080"/>
      </w:pPr>
      <w:rPr>
        <w:rFonts w:asciiTheme="minorBidi" w:hAnsiTheme="minorBidi" w:hint="default"/>
        <w:b/>
        <w:color w:val="000000" w:themeColor="text1"/>
      </w:rPr>
    </w:lvl>
    <w:lvl w:ilvl="5">
      <w:start w:val="1"/>
      <w:numFmt w:val="decimal"/>
      <w:lvlText w:val="%1.%2.%3.%4.%5.%6"/>
      <w:lvlJc w:val="left"/>
      <w:pPr>
        <w:ind w:left="1080" w:hanging="1080"/>
      </w:pPr>
      <w:rPr>
        <w:rFonts w:asciiTheme="minorBidi" w:hAnsiTheme="minorBidi" w:hint="default"/>
        <w:b/>
        <w:color w:val="000000" w:themeColor="text1"/>
      </w:rPr>
    </w:lvl>
    <w:lvl w:ilvl="6">
      <w:start w:val="1"/>
      <w:numFmt w:val="decimal"/>
      <w:lvlText w:val="%1.%2.%3.%4.%5.%6.%7"/>
      <w:lvlJc w:val="left"/>
      <w:pPr>
        <w:ind w:left="1440" w:hanging="1440"/>
      </w:pPr>
      <w:rPr>
        <w:rFonts w:asciiTheme="minorBidi" w:hAnsiTheme="minorBidi" w:hint="default"/>
        <w:b/>
        <w:color w:val="000000" w:themeColor="text1"/>
      </w:rPr>
    </w:lvl>
    <w:lvl w:ilvl="7">
      <w:start w:val="1"/>
      <w:numFmt w:val="decimal"/>
      <w:lvlText w:val="%1.%2.%3.%4.%5.%6.%7.%8"/>
      <w:lvlJc w:val="left"/>
      <w:pPr>
        <w:ind w:left="1440" w:hanging="1440"/>
      </w:pPr>
      <w:rPr>
        <w:rFonts w:asciiTheme="minorBidi" w:hAnsiTheme="minorBidi" w:hint="default"/>
        <w:b/>
        <w:color w:val="000000" w:themeColor="text1"/>
      </w:rPr>
    </w:lvl>
    <w:lvl w:ilvl="8">
      <w:start w:val="1"/>
      <w:numFmt w:val="decimal"/>
      <w:lvlText w:val="%1.%2.%3.%4.%5.%6.%7.%8.%9"/>
      <w:lvlJc w:val="left"/>
      <w:pPr>
        <w:ind w:left="1800" w:hanging="1800"/>
      </w:pPr>
      <w:rPr>
        <w:rFonts w:asciiTheme="minorBidi" w:hAnsiTheme="minorBidi" w:hint="default"/>
        <w:b/>
        <w:color w:val="000000" w:themeColor="text1"/>
      </w:rPr>
    </w:lvl>
  </w:abstractNum>
  <w:abstractNum w:abstractNumId="2" w15:restartNumberingAfterBreak="0">
    <w:nsid w:val="1A7D554E"/>
    <w:multiLevelType w:val="multilevel"/>
    <w:tmpl w:val="CDB08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243339"/>
    <w:multiLevelType w:val="hybridMultilevel"/>
    <w:tmpl w:val="9B22F87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FEF4C3C"/>
    <w:multiLevelType w:val="multilevel"/>
    <w:tmpl w:val="68A86B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2B65323"/>
    <w:multiLevelType w:val="multilevel"/>
    <w:tmpl w:val="4746C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8C61B7"/>
    <w:multiLevelType w:val="hybridMultilevel"/>
    <w:tmpl w:val="09541FE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2E012AFD"/>
    <w:multiLevelType w:val="multilevel"/>
    <w:tmpl w:val="D1E00294"/>
    <w:lvl w:ilvl="0">
      <w:start w:val="3"/>
      <w:numFmt w:val="decimal"/>
      <w:lvlText w:val="%1"/>
      <w:lvlJc w:val="left"/>
      <w:pPr>
        <w:ind w:left="360" w:hanging="360"/>
      </w:pPr>
      <w:rPr>
        <w:rFonts w:asciiTheme="minorBidi" w:eastAsiaTheme="minorHAnsi" w:hAnsiTheme="minorBidi" w:cstheme="minorBidi" w:hint="default"/>
        <w:sz w:val="24"/>
      </w:rPr>
    </w:lvl>
    <w:lvl w:ilvl="1">
      <w:start w:val="1"/>
      <w:numFmt w:val="decimal"/>
      <w:lvlText w:val="%1.%2"/>
      <w:lvlJc w:val="left"/>
      <w:pPr>
        <w:ind w:left="720" w:hanging="720"/>
      </w:pPr>
      <w:rPr>
        <w:rFonts w:asciiTheme="minorBidi" w:eastAsiaTheme="minorHAnsi" w:hAnsiTheme="minorBidi" w:cstheme="minorBidi" w:hint="default"/>
        <w:sz w:val="24"/>
      </w:rPr>
    </w:lvl>
    <w:lvl w:ilvl="2">
      <w:start w:val="1"/>
      <w:numFmt w:val="decimal"/>
      <w:lvlText w:val="%1.%2.%3"/>
      <w:lvlJc w:val="left"/>
      <w:pPr>
        <w:ind w:left="720" w:hanging="720"/>
      </w:pPr>
      <w:rPr>
        <w:rFonts w:asciiTheme="minorBidi" w:eastAsiaTheme="minorHAnsi" w:hAnsiTheme="minorBidi" w:cstheme="minorBidi" w:hint="default"/>
        <w:sz w:val="24"/>
      </w:rPr>
    </w:lvl>
    <w:lvl w:ilvl="3">
      <w:start w:val="1"/>
      <w:numFmt w:val="decimal"/>
      <w:lvlText w:val="%1.%2.%3.%4"/>
      <w:lvlJc w:val="left"/>
      <w:pPr>
        <w:ind w:left="1080" w:hanging="1080"/>
      </w:pPr>
      <w:rPr>
        <w:rFonts w:asciiTheme="minorBidi" w:eastAsiaTheme="minorHAnsi" w:hAnsiTheme="minorBidi" w:cstheme="minorBidi" w:hint="default"/>
        <w:sz w:val="24"/>
      </w:rPr>
    </w:lvl>
    <w:lvl w:ilvl="4">
      <w:start w:val="1"/>
      <w:numFmt w:val="decimal"/>
      <w:lvlText w:val="%1.%2.%3.%4.%5"/>
      <w:lvlJc w:val="left"/>
      <w:pPr>
        <w:ind w:left="1440" w:hanging="1440"/>
      </w:pPr>
      <w:rPr>
        <w:rFonts w:asciiTheme="minorBidi" w:eastAsiaTheme="minorHAnsi" w:hAnsiTheme="minorBidi" w:cstheme="minorBidi" w:hint="default"/>
        <w:sz w:val="24"/>
      </w:rPr>
    </w:lvl>
    <w:lvl w:ilvl="5">
      <w:start w:val="1"/>
      <w:numFmt w:val="decimal"/>
      <w:lvlText w:val="%1.%2.%3.%4.%5.%6"/>
      <w:lvlJc w:val="left"/>
      <w:pPr>
        <w:ind w:left="1440" w:hanging="1440"/>
      </w:pPr>
      <w:rPr>
        <w:rFonts w:asciiTheme="minorBidi" w:eastAsiaTheme="minorHAnsi" w:hAnsiTheme="minorBidi" w:cstheme="minorBidi" w:hint="default"/>
        <w:sz w:val="24"/>
      </w:rPr>
    </w:lvl>
    <w:lvl w:ilvl="6">
      <w:start w:val="1"/>
      <w:numFmt w:val="decimal"/>
      <w:lvlText w:val="%1.%2.%3.%4.%5.%6.%7"/>
      <w:lvlJc w:val="left"/>
      <w:pPr>
        <w:ind w:left="1800" w:hanging="1800"/>
      </w:pPr>
      <w:rPr>
        <w:rFonts w:asciiTheme="minorBidi" w:eastAsiaTheme="minorHAnsi" w:hAnsiTheme="minorBidi" w:cstheme="minorBidi" w:hint="default"/>
        <w:sz w:val="24"/>
      </w:rPr>
    </w:lvl>
    <w:lvl w:ilvl="7">
      <w:start w:val="1"/>
      <w:numFmt w:val="decimal"/>
      <w:lvlText w:val="%1.%2.%3.%4.%5.%6.%7.%8"/>
      <w:lvlJc w:val="left"/>
      <w:pPr>
        <w:ind w:left="2160" w:hanging="2160"/>
      </w:pPr>
      <w:rPr>
        <w:rFonts w:asciiTheme="minorBidi" w:eastAsiaTheme="minorHAnsi" w:hAnsiTheme="minorBidi" w:cstheme="minorBidi" w:hint="default"/>
        <w:sz w:val="24"/>
      </w:rPr>
    </w:lvl>
    <w:lvl w:ilvl="8">
      <w:start w:val="1"/>
      <w:numFmt w:val="decimal"/>
      <w:lvlText w:val="%1.%2.%3.%4.%5.%6.%7.%8.%9"/>
      <w:lvlJc w:val="left"/>
      <w:pPr>
        <w:ind w:left="2160" w:hanging="2160"/>
      </w:pPr>
      <w:rPr>
        <w:rFonts w:asciiTheme="minorBidi" w:eastAsiaTheme="minorHAnsi" w:hAnsiTheme="minorBidi" w:cstheme="minorBidi" w:hint="default"/>
        <w:sz w:val="24"/>
      </w:rPr>
    </w:lvl>
  </w:abstractNum>
  <w:abstractNum w:abstractNumId="8" w15:restartNumberingAfterBreak="0">
    <w:nsid w:val="2ED96B6D"/>
    <w:multiLevelType w:val="multilevel"/>
    <w:tmpl w:val="966E90F6"/>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6DB3DD8"/>
    <w:multiLevelType w:val="hybridMultilevel"/>
    <w:tmpl w:val="6C2AFCE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3750305E"/>
    <w:multiLevelType w:val="multilevel"/>
    <w:tmpl w:val="5014A220"/>
    <w:styleLink w:val="CurrentList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D35167"/>
    <w:multiLevelType w:val="multilevel"/>
    <w:tmpl w:val="966E90F6"/>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8C10269"/>
    <w:multiLevelType w:val="multilevel"/>
    <w:tmpl w:val="CDCCBBD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9CC16F0"/>
    <w:multiLevelType w:val="multilevel"/>
    <w:tmpl w:val="68FE4C6C"/>
    <w:lvl w:ilvl="0">
      <w:start w:val="3"/>
      <w:numFmt w:val="decimal"/>
      <w:lvlText w:val="%1"/>
      <w:lvlJc w:val="left"/>
      <w:pPr>
        <w:ind w:left="360" w:hanging="360"/>
      </w:pPr>
      <w:rPr>
        <w:rFonts w:asciiTheme="minorBidi" w:eastAsiaTheme="minorHAnsi" w:hAnsiTheme="minorBidi" w:cstheme="minorBidi" w:hint="default"/>
        <w:sz w:val="24"/>
      </w:rPr>
    </w:lvl>
    <w:lvl w:ilvl="1">
      <w:start w:val="1"/>
      <w:numFmt w:val="decimal"/>
      <w:lvlText w:val="%1.%2"/>
      <w:lvlJc w:val="left"/>
      <w:pPr>
        <w:ind w:left="720" w:hanging="720"/>
      </w:pPr>
      <w:rPr>
        <w:rFonts w:asciiTheme="minorBidi" w:eastAsiaTheme="minorHAnsi" w:hAnsiTheme="minorBidi" w:cstheme="minorBidi" w:hint="default"/>
        <w:sz w:val="24"/>
      </w:rPr>
    </w:lvl>
    <w:lvl w:ilvl="2">
      <w:start w:val="1"/>
      <w:numFmt w:val="decimal"/>
      <w:lvlText w:val="%1.%2.%3"/>
      <w:lvlJc w:val="left"/>
      <w:pPr>
        <w:ind w:left="720" w:hanging="720"/>
      </w:pPr>
      <w:rPr>
        <w:rFonts w:asciiTheme="minorBidi" w:eastAsiaTheme="minorHAnsi" w:hAnsiTheme="minorBidi" w:cstheme="minorBidi" w:hint="default"/>
        <w:sz w:val="24"/>
      </w:rPr>
    </w:lvl>
    <w:lvl w:ilvl="3">
      <w:start w:val="1"/>
      <w:numFmt w:val="decimal"/>
      <w:lvlText w:val="%1.%2.%3.%4"/>
      <w:lvlJc w:val="left"/>
      <w:pPr>
        <w:ind w:left="1080" w:hanging="1080"/>
      </w:pPr>
      <w:rPr>
        <w:rFonts w:asciiTheme="minorBidi" w:eastAsiaTheme="minorHAnsi" w:hAnsiTheme="minorBidi" w:cstheme="minorBidi" w:hint="default"/>
        <w:sz w:val="24"/>
      </w:rPr>
    </w:lvl>
    <w:lvl w:ilvl="4">
      <w:start w:val="1"/>
      <w:numFmt w:val="decimal"/>
      <w:lvlText w:val="%1.%2.%3.%4.%5"/>
      <w:lvlJc w:val="left"/>
      <w:pPr>
        <w:ind w:left="1440" w:hanging="1440"/>
      </w:pPr>
      <w:rPr>
        <w:rFonts w:asciiTheme="minorBidi" w:eastAsiaTheme="minorHAnsi" w:hAnsiTheme="minorBidi" w:cstheme="minorBidi" w:hint="default"/>
        <w:sz w:val="24"/>
      </w:rPr>
    </w:lvl>
    <w:lvl w:ilvl="5">
      <w:start w:val="1"/>
      <w:numFmt w:val="decimal"/>
      <w:lvlText w:val="%1.%2.%3.%4.%5.%6"/>
      <w:lvlJc w:val="left"/>
      <w:pPr>
        <w:ind w:left="1440" w:hanging="1440"/>
      </w:pPr>
      <w:rPr>
        <w:rFonts w:asciiTheme="minorBidi" w:eastAsiaTheme="minorHAnsi" w:hAnsiTheme="minorBidi" w:cstheme="minorBidi" w:hint="default"/>
        <w:sz w:val="24"/>
      </w:rPr>
    </w:lvl>
    <w:lvl w:ilvl="6">
      <w:start w:val="1"/>
      <w:numFmt w:val="decimal"/>
      <w:lvlText w:val="%1.%2.%3.%4.%5.%6.%7"/>
      <w:lvlJc w:val="left"/>
      <w:pPr>
        <w:ind w:left="1800" w:hanging="1800"/>
      </w:pPr>
      <w:rPr>
        <w:rFonts w:asciiTheme="minorBidi" w:eastAsiaTheme="minorHAnsi" w:hAnsiTheme="minorBidi" w:cstheme="minorBidi" w:hint="default"/>
        <w:sz w:val="24"/>
      </w:rPr>
    </w:lvl>
    <w:lvl w:ilvl="7">
      <w:start w:val="1"/>
      <w:numFmt w:val="decimal"/>
      <w:lvlText w:val="%1.%2.%3.%4.%5.%6.%7.%8"/>
      <w:lvlJc w:val="left"/>
      <w:pPr>
        <w:ind w:left="2160" w:hanging="2160"/>
      </w:pPr>
      <w:rPr>
        <w:rFonts w:asciiTheme="minorBidi" w:eastAsiaTheme="minorHAnsi" w:hAnsiTheme="minorBidi" w:cstheme="minorBidi" w:hint="default"/>
        <w:sz w:val="24"/>
      </w:rPr>
    </w:lvl>
    <w:lvl w:ilvl="8">
      <w:start w:val="1"/>
      <w:numFmt w:val="decimal"/>
      <w:lvlText w:val="%1.%2.%3.%4.%5.%6.%7.%8.%9"/>
      <w:lvlJc w:val="left"/>
      <w:pPr>
        <w:ind w:left="2160" w:hanging="2160"/>
      </w:pPr>
      <w:rPr>
        <w:rFonts w:asciiTheme="minorBidi" w:eastAsiaTheme="minorHAnsi" w:hAnsiTheme="minorBidi" w:cstheme="minorBidi" w:hint="default"/>
        <w:sz w:val="24"/>
      </w:rPr>
    </w:lvl>
  </w:abstractNum>
  <w:abstractNum w:abstractNumId="14" w15:restartNumberingAfterBreak="0">
    <w:nsid w:val="3CC63B4F"/>
    <w:multiLevelType w:val="hybridMultilevel"/>
    <w:tmpl w:val="0E78876C"/>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5" w15:restartNumberingAfterBreak="0">
    <w:nsid w:val="3F597E96"/>
    <w:multiLevelType w:val="hybridMultilevel"/>
    <w:tmpl w:val="33C0BEB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4462336A"/>
    <w:multiLevelType w:val="hybridMultilevel"/>
    <w:tmpl w:val="5DFE571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45477D3B"/>
    <w:multiLevelType w:val="multilevel"/>
    <w:tmpl w:val="5DE45A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74030A9"/>
    <w:multiLevelType w:val="hybridMultilevel"/>
    <w:tmpl w:val="06706BD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48511B67"/>
    <w:multiLevelType w:val="hybridMultilevel"/>
    <w:tmpl w:val="5494214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4B775058"/>
    <w:multiLevelType w:val="hybridMultilevel"/>
    <w:tmpl w:val="7A662C0E"/>
    <w:lvl w:ilvl="0" w:tplc="40090001">
      <w:numFmt w:val="bullet"/>
      <w:lvlText w:val=""/>
      <w:lvlJc w:val="left"/>
      <w:pPr>
        <w:ind w:left="720" w:hanging="360"/>
      </w:pPr>
      <w:rPr>
        <w:rFonts w:ascii="Symbol" w:eastAsia="Times New Roman"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4E0F69D0"/>
    <w:multiLevelType w:val="hybridMultilevel"/>
    <w:tmpl w:val="DF0EBDF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50E771E6"/>
    <w:multiLevelType w:val="hybridMultilevel"/>
    <w:tmpl w:val="8BC450A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535247F9"/>
    <w:multiLevelType w:val="hybridMultilevel"/>
    <w:tmpl w:val="A40035D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53F11DE0"/>
    <w:multiLevelType w:val="hybridMultilevel"/>
    <w:tmpl w:val="AE7C3C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579E1DFB"/>
    <w:multiLevelType w:val="hybridMultilevel"/>
    <w:tmpl w:val="D59EB21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5A523F64"/>
    <w:multiLevelType w:val="multilevel"/>
    <w:tmpl w:val="966E90F6"/>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A7E596C"/>
    <w:multiLevelType w:val="multilevel"/>
    <w:tmpl w:val="9C96B45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EA356AA"/>
    <w:multiLevelType w:val="hybridMultilevel"/>
    <w:tmpl w:val="FA2C36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6B9329EF"/>
    <w:multiLevelType w:val="hybridMultilevel"/>
    <w:tmpl w:val="CFCEAE8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15:restartNumberingAfterBreak="0">
    <w:nsid w:val="6C030D9A"/>
    <w:multiLevelType w:val="hybridMultilevel"/>
    <w:tmpl w:val="517EA862"/>
    <w:lvl w:ilvl="0" w:tplc="75A0EFF6">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31" w15:restartNumberingAfterBreak="0">
    <w:nsid w:val="6F83320F"/>
    <w:multiLevelType w:val="multilevel"/>
    <w:tmpl w:val="39A28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00709EF"/>
    <w:multiLevelType w:val="hybridMultilevel"/>
    <w:tmpl w:val="11985266"/>
    <w:lvl w:ilvl="0" w:tplc="A7CE0236">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3" w15:restartNumberingAfterBreak="0">
    <w:nsid w:val="72AF041A"/>
    <w:multiLevelType w:val="hybridMultilevel"/>
    <w:tmpl w:val="082E1E5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7AC403D1"/>
    <w:multiLevelType w:val="hybridMultilevel"/>
    <w:tmpl w:val="16C257A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74737452">
    <w:abstractNumId w:val="5"/>
  </w:num>
  <w:num w:numId="2" w16cid:durableId="886990379">
    <w:abstractNumId w:val="2"/>
  </w:num>
  <w:num w:numId="3" w16cid:durableId="645091679">
    <w:abstractNumId w:val="21"/>
  </w:num>
  <w:num w:numId="4" w16cid:durableId="765031350">
    <w:abstractNumId w:val="32"/>
  </w:num>
  <w:num w:numId="5" w16cid:durableId="1859810673">
    <w:abstractNumId w:val="30"/>
  </w:num>
  <w:num w:numId="6" w16cid:durableId="33359966">
    <w:abstractNumId w:val="12"/>
  </w:num>
  <w:num w:numId="7" w16cid:durableId="1103763211">
    <w:abstractNumId w:val="10"/>
  </w:num>
  <w:num w:numId="8" w16cid:durableId="2120443745">
    <w:abstractNumId w:val="1"/>
  </w:num>
  <w:num w:numId="9" w16cid:durableId="681007548">
    <w:abstractNumId w:val="27"/>
  </w:num>
  <w:num w:numId="10" w16cid:durableId="592665857">
    <w:abstractNumId w:val="13"/>
  </w:num>
  <w:num w:numId="11" w16cid:durableId="265774264">
    <w:abstractNumId w:val="7"/>
  </w:num>
  <w:num w:numId="12" w16cid:durableId="1611009218">
    <w:abstractNumId w:val="19"/>
  </w:num>
  <w:num w:numId="13" w16cid:durableId="709575908">
    <w:abstractNumId w:val="4"/>
  </w:num>
  <w:num w:numId="14" w16cid:durableId="1466586828">
    <w:abstractNumId w:val="0"/>
  </w:num>
  <w:num w:numId="15" w16cid:durableId="1845322883">
    <w:abstractNumId w:val="14"/>
  </w:num>
  <w:num w:numId="16" w16cid:durableId="415789038">
    <w:abstractNumId w:val="28"/>
  </w:num>
  <w:num w:numId="17" w16cid:durableId="1137256712">
    <w:abstractNumId w:val="24"/>
  </w:num>
  <w:num w:numId="18" w16cid:durableId="209734739">
    <w:abstractNumId w:val="8"/>
  </w:num>
  <w:num w:numId="19" w16cid:durableId="1531726533">
    <w:abstractNumId w:val="11"/>
  </w:num>
  <w:num w:numId="20" w16cid:durableId="1377898142">
    <w:abstractNumId w:val="17"/>
  </w:num>
  <w:num w:numId="21" w16cid:durableId="872380542">
    <w:abstractNumId w:val="26"/>
  </w:num>
  <w:num w:numId="22" w16cid:durableId="20668122">
    <w:abstractNumId w:val="3"/>
  </w:num>
  <w:num w:numId="23" w16cid:durableId="2081712743">
    <w:abstractNumId w:val="15"/>
  </w:num>
  <w:num w:numId="24" w16cid:durableId="389421262">
    <w:abstractNumId w:val="18"/>
  </w:num>
  <w:num w:numId="25" w16cid:durableId="252248652">
    <w:abstractNumId w:val="20"/>
  </w:num>
  <w:num w:numId="26" w16cid:durableId="1273636437">
    <w:abstractNumId w:val="23"/>
  </w:num>
  <w:num w:numId="27" w16cid:durableId="1712728863">
    <w:abstractNumId w:val="34"/>
  </w:num>
  <w:num w:numId="28" w16cid:durableId="148523385">
    <w:abstractNumId w:val="29"/>
  </w:num>
  <w:num w:numId="29" w16cid:durableId="983003351">
    <w:abstractNumId w:val="9"/>
  </w:num>
  <w:num w:numId="30" w16cid:durableId="1301882223">
    <w:abstractNumId w:val="16"/>
  </w:num>
  <w:num w:numId="31" w16cid:durableId="1326008743">
    <w:abstractNumId w:val="22"/>
  </w:num>
  <w:num w:numId="32" w16cid:durableId="1708798674">
    <w:abstractNumId w:val="25"/>
  </w:num>
  <w:num w:numId="33" w16cid:durableId="1560507846">
    <w:abstractNumId w:val="33"/>
  </w:num>
  <w:num w:numId="34" w16cid:durableId="1804612175">
    <w:abstractNumId w:val="6"/>
  </w:num>
  <w:num w:numId="35" w16cid:durableId="10937395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57B"/>
    <w:rsid w:val="00093DB6"/>
    <w:rsid w:val="000945D8"/>
    <w:rsid w:val="00156490"/>
    <w:rsid w:val="0019140C"/>
    <w:rsid w:val="002716AC"/>
    <w:rsid w:val="00282AA0"/>
    <w:rsid w:val="002C2F0D"/>
    <w:rsid w:val="002F1E13"/>
    <w:rsid w:val="00327BD4"/>
    <w:rsid w:val="003C5B5B"/>
    <w:rsid w:val="00413F2C"/>
    <w:rsid w:val="004C1F9F"/>
    <w:rsid w:val="00525A8C"/>
    <w:rsid w:val="00537F8F"/>
    <w:rsid w:val="005D2A29"/>
    <w:rsid w:val="006A7A7E"/>
    <w:rsid w:val="006B0758"/>
    <w:rsid w:val="006E25F6"/>
    <w:rsid w:val="00707715"/>
    <w:rsid w:val="00735ADA"/>
    <w:rsid w:val="007526F2"/>
    <w:rsid w:val="00761990"/>
    <w:rsid w:val="00793041"/>
    <w:rsid w:val="0079757B"/>
    <w:rsid w:val="008B665C"/>
    <w:rsid w:val="008D7E80"/>
    <w:rsid w:val="008E5F2E"/>
    <w:rsid w:val="008E7F5C"/>
    <w:rsid w:val="00920880"/>
    <w:rsid w:val="009A0E79"/>
    <w:rsid w:val="00A52334"/>
    <w:rsid w:val="00AF2C03"/>
    <w:rsid w:val="00B12800"/>
    <w:rsid w:val="00B62CB4"/>
    <w:rsid w:val="00BA0F50"/>
    <w:rsid w:val="00BB56D3"/>
    <w:rsid w:val="00BC5422"/>
    <w:rsid w:val="00C47BB4"/>
    <w:rsid w:val="00C6433B"/>
    <w:rsid w:val="00C967F9"/>
    <w:rsid w:val="00D020F9"/>
    <w:rsid w:val="00D12F31"/>
    <w:rsid w:val="00E07DAD"/>
    <w:rsid w:val="00FA6658"/>
    <w:rsid w:val="00FE5D7D"/>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DF4DDA"/>
  <w15:chartTrackingRefBased/>
  <w15:docId w15:val="{629174E0-CAC4-4F3A-9212-CC34480A4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57B"/>
    <w:pPr>
      <w:spacing w:after="0" w:line="240" w:lineRule="auto"/>
    </w:pPr>
    <w:rPr>
      <w:sz w:val="24"/>
      <w:szCs w:val="24"/>
      <w:lang w:val="en-GB"/>
    </w:rPr>
  </w:style>
  <w:style w:type="paragraph" w:styleId="Heading1">
    <w:name w:val="heading 1"/>
    <w:basedOn w:val="Normal"/>
    <w:next w:val="Normal"/>
    <w:link w:val="Heading1Char"/>
    <w:uiPriority w:val="9"/>
    <w:qFormat/>
    <w:rsid w:val="0079757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665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1280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757B"/>
    <w:rPr>
      <w:color w:val="0563C1" w:themeColor="hyperlink"/>
      <w:u w:val="single"/>
    </w:rPr>
  </w:style>
  <w:style w:type="paragraph" w:styleId="TOC1">
    <w:name w:val="toc 1"/>
    <w:basedOn w:val="Normal"/>
    <w:next w:val="Normal"/>
    <w:autoRedefine/>
    <w:uiPriority w:val="39"/>
    <w:unhideWhenUsed/>
    <w:rsid w:val="0079757B"/>
    <w:pPr>
      <w:spacing w:before="120" w:after="120"/>
    </w:pPr>
    <w:rPr>
      <w:b/>
      <w:bCs/>
      <w:caps/>
      <w:sz w:val="20"/>
      <w:szCs w:val="20"/>
    </w:rPr>
  </w:style>
  <w:style w:type="paragraph" w:styleId="TOC2">
    <w:name w:val="toc 2"/>
    <w:basedOn w:val="Normal"/>
    <w:next w:val="Normal"/>
    <w:autoRedefine/>
    <w:uiPriority w:val="39"/>
    <w:unhideWhenUsed/>
    <w:rsid w:val="0079757B"/>
    <w:pPr>
      <w:ind w:left="240"/>
    </w:pPr>
    <w:rPr>
      <w:smallCaps/>
      <w:sz w:val="20"/>
      <w:szCs w:val="20"/>
    </w:rPr>
  </w:style>
  <w:style w:type="character" w:customStyle="1" w:styleId="Heading1Char">
    <w:name w:val="Heading 1 Char"/>
    <w:basedOn w:val="DefaultParagraphFont"/>
    <w:link w:val="Heading1"/>
    <w:uiPriority w:val="9"/>
    <w:rsid w:val="0079757B"/>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79757B"/>
    <w:pPr>
      <w:spacing w:before="480" w:line="276" w:lineRule="auto"/>
      <w:outlineLvl w:val="9"/>
    </w:pPr>
    <w:rPr>
      <w:b/>
      <w:bCs/>
      <w:kern w:val="0"/>
      <w:sz w:val="28"/>
      <w:szCs w:val="28"/>
      <w:lang w:val="en-US"/>
      <w14:ligatures w14:val="none"/>
    </w:rPr>
  </w:style>
  <w:style w:type="paragraph" w:styleId="Header">
    <w:name w:val="header"/>
    <w:basedOn w:val="Normal"/>
    <w:link w:val="HeaderChar"/>
    <w:uiPriority w:val="99"/>
    <w:unhideWhenUsed/>
    <w:rsid w:val="0079757B"/>
    <w:pPr>
      <w:tabs>
        <w:tab w:val="center" w:pos="4513"/>
        <w:tab w:val="right" w:pos="9026"/>
      </w:tabs>
    </w:pPr>
  </w:style>
  <w:style w:type="character" w:customStyle="1" w:styleId="HeaderChar">
    <w:name w:val="Header Char"/>
    <w:basedOn w:val="DefaultParagraphFont"/>
    <w:link w:val="Header"/>
    <w:uiPriority w:val="99"/>
    <w:rsid w:val="0079757B"/>
    <w:rPr>
      <w:sz w:val="24"/>
      <w:szCs w:val="24"/>
      <w:lang w:val="en-GB"/>
    </w:rPr>
  </w:style>
  <w:style w:type="paragraph" w:styleId="Footer">
    <w:name w:val="footer"/>
    <w:basedOn w:val="Normal"/>
    <w:link w:val="FooterChar"/>
    <w:uiPriority w:val="99"/>
    <w:unhideWhenUsed/>
    <w:rsid w:val="0079757B"/>
    <w:pPr>
      <w:tabs>
        <w:tab w:val="center" w:pos="4513"/>
        <w:tab w:val="right" w:pos="9026"/>
      </w:tabs>
    </w:pPr>
  </w:style>
  <w:style w:type="character" w:customStyle="1" w:styleId="FooterChar">
    <w:name w:val="Footer Char"/>
    <w:basedOn w:val="DefaultParagraphFont"/>
    <w:link w:val="Footer"/>
    <w:uiPriority w:val="99"/>
    <w:rsid w:val="0079757B"/>
    <w:rPr>
      <w:sz w:val="24"/>
      <w:szCs w:val="24"/>
      <w:lang w:val="en-GB"/>
    </w:rPr>
  </w:style>
  <w:style w:type="paragraph" w:styleId="NormalWeb">
    <w:name w:val="Normal (Web)"/>
    <w:basedOn w:val="Normal"/>
    <w:uiPriority w:val="99"/>
    <w:unhideWhenUsed/>
    <w:rsid w:val="00920880"/>
    <w:pPr>
      <w:spacing w:before="100" w:beforeAutospacing="1" w:after="100" w:afterAutospacing="1"/>
    </w:pPr>
    <w:rPr>
      <w:rFonts w:ascii="Times New Roman" w:eastAsia="Times New Roman" w:hAnsi="Times New Roman" w:cs="Times New Roman"/>
      <w:kern w:val="0"/>
      <w:lang w:val="en-IN" w:eastAsia="en-IN" w:bidi="gu-IN"/>
      <w14:ligatures w14:val="none"/>
    </w:rPr>
  </w:style>
  <w:style w:type="character" w:styleId="Strong">
    <w:name w:val="Strong"/>
    <w:basedOn w:val="DefaultParagraphFont"/>
    <w:uiPriority w:val="22"/>
    <w:qFormat/>
    <w:rsid w:val="00920880"/>
    <w:rPr>
      <w:b/>
      <w:bCs/>
    </w:rPr>
  </w:style>
  <w:style w:type="paragraph" w:styleId="ListParagraph">
    <w:name w:val="List Paragraph"/>
    <w:basedOn w:val="Normal"/>
    <w:uiPriority w:val="34"/>
    <w:qFormat/>
    <w:rsid w:val="00E07DAD"/>
    <w:pPr>
      <w:ind w:left="720"/>
      <w:contextualSpacing/>
    </w:pPr>
  </w:style>
  <w:style w:type="numbering" w:customStyle="1" w:styleId="CurrentList1">
    <w:name w:val="Current List1"/>
    <w:uiPriority w:val="99"/>
    <w:rsid w:val="00E07DAD"/>
    <w:pPr>
      <w:numPr>
        <w:numId w:val="7"/>
      </w:numPr>
    </w:pPr>
  </w:style>
  <w:style w:type="character" w:styleId="Emphasis">
    <w:name w:val="Emphasis"/>
    <w:basedOn w:val="DefaultParagraphFont"/>
    <w:uiPriority w:val="20"/>
    <w:qFormat/>
    <w:rsid w:val="005D2A29"/>
    <w:rPr>
      <w:i/>
      <w:iCs/>
    </w:rPr>
  </w:style>
  <w:style w:type="character" w:customStyle="1" w:styleId="Heading2Char">
    <w:name w:val="Heading 2 Char"/>
    <w:basedOn w:val="DefaultParagraphFont"/>
    <w:link w:val="Heading2"/>
    <w:uiPriority w:val="9"/>
    <w:rsid w:val="00FA6658"/>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B12800"/>
    <w:rPr>
      <w:rFonts w:asciiTheme="majorHAnsi" w:eastAsiaTheme="majorEastAsia" w:hAnsiTheme="majorHAnsi" w:cstheme="majorBidi"/>
      <w:color w:val="1F3763" w:themeColor="accent1" w:themeShade="7F"/>
      <w:sz w:val="24"/>
      <w:szCs w:val="24"/>
      <w:lang w:val="en-GB"/>
    </w:rPr>
  </w:style>
  <w:style w:type="paragraph" w:styleId="TOC3">
    <w:name w:val="toc 3"/>
    <w:basedOn w:val="Normal"/>
    <w:next w:val="Normal"/>
    <w:autoRedefine/>
    <w:uiPriority w:val="39"/>
    <w:unhideWhenUsed/>
    <w:rsid w:val="00093DB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215155">
      <w:bodyDiv w:val="1"/>
      <w:marLeft w:val="0"/>
      <w:marRight w:val="0"/>
      <w:marTop w:val="0"/>
      <w:marBottom w:val="0"/>
      <w:divBdr>
        <w:top w:val="none" w:sz="0" w:space="0" w:color="auto"/>
        <w:left w:val="none" w:sz="0" w:space="0" w:color="auto"/>
        <w:bottom w:val="none" w:sz="0" w:space="0" w:color="auto"/>
        <w:right w:val="none" w:sz="0" w:space="0" w:color="auto"/>
      </w:divBdr>
    </w:div>
    <w:div w:id="580993282">
      <w:bodyDiv w:val="1"/>
      <w:marLeft w:val="0"/>
      <w:marRight w:val="0"/>
      <w:marTop w:val="0"/>
      <w:marBottom w:val="0"/>
      <w:divBdr>
        <w:top w:val="none" w:sz="0" w:space="0" w:color="auto"/>
        <w:left w:val="none" w:sz="0" w:space="0" w:color="auto"/>
        <w:bottom w:val="none" w:sz="0" w:space="0" w:color="auto"/>
        <w:right w:val="none" w:sz="0" w:space="0" w:color="auto"/>
      </w:divBdr>
    </w:div>
    <w:div w:id="595751241">
      <w:bodyDiv w:val="1"/>
      <w:marLeft w:val="0"/>
      <w:marRight w:val="0"/>
      <w:marTop w:val="0"/>
      <w:marBottom w:val="0"/>
      <w:divBdr>
        <w:top w:val="none" w:sz="0" w:space="0" w:color="auto"/>
        <w:left w:val="none" w:sz="0" w:space="0" w:color="auto"/>
        <w:bottom w:val="none" w:sz="0" w:space="0" w:color="auto"/>
        <w:right w:val="none" w:sz="0" w:space="0" w:color="auto"/>
      </w:divBdr>
    </w:div>
    <w:div w:id="781414988">
      <w:bodyDiv w:val="1"/>
      <w:marLeft w:val="0"/>
      <w:marRight w:val="0"/>
      <w:marTop w:val="0"/>
      <w:marBottom w:val="0"/>
      <w:divBdr>
        <w:top w:val="none" w:sz="0" w:space="0" w:color="auto"/>
        <w:left w:val="none" w:sz="0" w:space="0" w:color="auto"/>
        <w:bottom w:val="none" w:sz="0" w:space="0" w:color="auto"/>
        <w:right w:val="none" w:sz="0" w:space="0" w:color="auto"/>
      </w:divBdr>
    </w:div>
    <w:div w:id="982540685">
      <w:bodyDiv w:val="1"/>
      <w:marLeft w:val="0"/>
      <w:marRight w:val="0"/>
      <w:marTop w:val="0"/>
      <w:marBottom w:val="0"/>
      <w:divBdr>
        <w:top w:val="none" w:sz="0" w:space="0" w:color="auto"/>
        <w:left w:val="none" w:sz="0" w:space="0" w:color="auto"/>
        <w:bottom w:val="none" w:sz="0" w:space="0" w:color="auto"/>
        <w:right w:val="none" w:sz="0" w:space="0" w:color="auto"/>
      </w:divBdr>
    </w:div>
    <w:div w:id="999625679">
      <w:bodyDiv w:val="1"/>
      <w:marLeft w:val="0"/>
      <w:marRight w:val="0"/>
      <w:marTop w:val="0"/>
      <w:marBottom w:val="0"/>
      <w:divBdr>
        <w:top w:val="none" w:sz="0" w:space="0" w:color="auto"/>
        <w:left w:val="none" w:sz="0" w:space="0" w:color="auto"/>
        <w:bottom w:val="none" w:sz="0" w:space="0" w:color="auto"/>
        <w:right w:val="none" w:sz="0" w:space="0" w:color="auto"/>
      </w:divBdr>
    </w:div>
    <w:div w:id="1041856494">
      <w:bodyDiv w:val="1"/>
      <w:marLeft w:val="0"/>
      <w:marRight w:val="0"/>
      <w:marTop w:val="0"/>
      <w:marBottom w:val="0"/>
      <w:divBdr>
        <w:top w:val="none" w:sz="0" w:space="0" w:color="auto"/>
        <w:left w:val="none" w:sz="0" w:space="0" w:color="auto"/>
        <w:bottom w:val="none" w:sz="0" w:space="0" w:color="auto"/>
        <w:right w:val="none" w:sz="0" w:space="0" w:color="auto"/>
      </w:divBdr>
    </w:div>
    <w:div w:id="1116830261">
      <w:bodyDiv w:val="1"/>
      <w:marLeft w:val="0"/>
      <w:marRight w:val="0"/>
      <w:marTop w:val="0"/>
      <w:marBottom w:val="0"/>
      <w:divBdr>
        <w:top w:val="none" w:sz="0" w:space="0" w:color="auto"/>
        <w:left w:val="none" w:sz="0" w:space="0" w:color="auto"/>
        <w:bottom w:val="none" w:sz="0" w:space="0" w:color="auto"/>
        <w:right w:val="none" w:sz="0" w:space="0" w:color="auto"/>
      </w:divBdr>
    </w:div>
    <w:div w:id="1154880834">
      <w:bodyDiv w:val="1"/>
      <w:marLeft w:val="0"/>
      <w:marRight w:val="0"/>
      <w:marTop w:val="0"/>
      <w:marBottom w:val="0"/>
      <w:divBdr>
        <w:top w:val="none" w:sz="0" w:space="0" w:color="auto"/>
        <w:left w:val="none" w:sz="0" w:space="0" w:color="auto"/>
        <w:bottom w:val="none" w:sz="0" w:space="0" w:color="auto"/>
        <w:right w:val="none" w:sz="0" w:space="0" w:color="auto"/>
      </w:divBdr>
    </w:div>
    <w:div w:id="1274166672">
      <w:bodyDiv w:val="1"/>
      <w:marLeft w:val="0"/>
      <w:marRight w:val="0"/>
      <w:marTop w:val="0"/>
      <w:marBottom w:val="0"/>
      <w:divBdr>
        <w:top w:val="none" w:sz="0" w:space="0" w:color="auto"/>
        <w:left w:val="none" w:sz="0" w:space="0" w:color="auto"/>
        <w:bottom w:val="none" w:sz="0" w:space="0" w:color="auto"/>
        <w:right w:val="none" w:sz="0" w:space="0" w:color="auto"/>
      </w:divBdr>
    </w:div>
    <w:div w:id="1712413994">
      <w:bodyDiv w:val="1"/>
      <w:marLeft w:val="0"/>
      <w:marRight w:val="0"/>
      <w:marTop w:val="0"/>
      <w:marBottom w:val="0"/>
      <w:divBdr>
        <w:top w:val="none" w:sz="0" w:space="0" w:color="auto"/>
        <w:left w:val="none" w:sz="0" w:space="0" w:color="auto"/>
        <w:bottom w:val="none" w:sz="0" w:space="0" w:color="auto"/>
        <w:right w:val="none" w:sz="0" w:space="0" w:color="auto"/>
      </w:divBdr>
    </w:div>
    <w:div w:id="1840776871">
      <w:bodyDiv w:val="1"/>
      <w:marLeft w:val="0"/>
      <w:marRight w:val="0"/>
      <w:marTop w:val="0"/>
      <w:marBottom w:val="0"/>
      <w:divBdr>
        <w:top w:val="none" w:sz="0" w:space="0" w:color="auto"/>
        <w:left w:val="none" w:sz="0" w:space="0" w:color="auto"/>
        <w:bottom w:val="none" w:sz="0" w:space="0" w:color="auto"/>
        <w:right w:val="none" w:sz="0" w:space="0" w:color="auto"/>
      </w:divBdr>
    </w:div>
    <w:div w:id="1890263726">
      <w:bodyDiv w:val="1"/>
      <w:marLeft w:val="0"/>
      <w:marRight w:val="0"/>
      <w:marTop w:val="0"/>
      <w:marBottom w:val="0"/>
      <w:divBdr>
        <w:top w:val="none" w:sz="0" w:space="0" w:color="auto"/>
        <w:left w:val="none" w:sz="0" w:space="0" w:color="auto"/>
        <w:bottom w:val="none" w:sz="0" w:space="0" w:color="auto"/>
        <w:right w:val="none" w:sz="0" w:space="0" w:color="auto"/>
      </w:divBdr>
    </w:div>
    <w:div w:id="2024242004">
      <w:bodyDiv w:val="1"/>
      <w:marLeft w:val="0"/>
      <w:marRight w:val="0"/>
      <w:marTop w:val="0"/>
      <w:marBottom w:val="0"/>
      <w:divBdr>
        <w:top w:val="none" w:sz="0" w:space="0" w:color="auto"/>
        <w:left w:val="none" w:sz="0" w:space="0" w:color="auto"/>
        <w:bottom w:val="none" w:sz="0" w:space="0" w:color="auto"/>
        <w:right w:val="none" w:sz="0" w:space="0" w:color="auto"/>
      </w:divBdr>
    </w:div>
    <w:div w:id="2118329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business/2025/feb/20/lloyds-puts-aside-another-700m-for-compensation-over-car-finance-scandal?utm_source=chatgpt.com" TargetMode="External"/><Relationship Id="rId18" Type="http://schemas.openxmlformats.org/officeDocument/2006/relationships/hyperlink" Target="https://www.bankofengland.co.uk/financial-stability-report/2024/november-2024?utm_source=chatgpt.com" TargetMode="External"/><Relationship Id="rId26" Type="http://schemas.openxmlformats.org/officeDocument/2006/relationships/hyperlink" Target="https://www.ibisworld.com/united-kingdom/industry/banks/3670/?utm_source=chatgpt.com" TargetMode="External"/><Relationship Id="rId3" Type="http://schemas.openxmlformats.org/officeDocument/2006/relationships/styles" Target="styles.xml"/><Relationship Id="rId21" Type="http://schemas.openxmlformats.org/officeDocument/2006/relationships/hyperlink" Target="https://www.hsbc.com/-/files/hsbc/investors/hsbc-results/2024/annual/pdfs/hsbc-uk-bank-plc/250219-annual-report-and-accounts-2024.pdf?utm_source=chatgpt.co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theguardian.com/business/2024/oct/30/lloyds-suspends-commission-payments-after-seismic-ruling-on-uk-car-finance?utm_source=chatgpt.com" TargetMode="External"/><Relationship Id="rId17" Type="http://schemas.openxmlformats.org/officeDocument/2006/relationships/hyperlink" Target="https://www.standard.co.uk/business/business-news/lloyds-banking-group-financial-conduct-authority-shares-shore-capital-schroders-b1252011.html?utm_source=chatgpt.com" TargetMode="External"/><Relationship Id="rId25" Type="http://schemas.openxmlformats.org/officeDocument/2006/relationships/hyperlink" Target="https://www.researchandmarkets.com/reports/5992662/banks-in-the-united-kingdom?utm_source=chatgpt.co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lloydsbankinggroup.com/assets/pdfs/investors/financial-performance/lloyds-banking-group-plc/2025/q2/2025-lbg-hy-shareholder-faqs.pdf?utm_source=chatgpt.com" TargetMode="External"/><Relationship Id="rId20" Type="http://schemas.openxmlformats.org/officeDocument/2006/relationships/hyperlink" Target="https://www.bankofengland.co.uk/prudential-regulation/publication/2025/june/pra-annual-report-2024-25?utm_source=chatgpt.co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business/2024/feb/22/lloyds-car-loan-fines-bank-profits-fca?utm_source=chatgpt.com" TargetMode="External"/><Relationship Id="rId24" Type="http://schemas.openxmlformats.org/officeDocument/2006/relationships/hyperlink" Target="https://reclaimfinance.org/site/en/2025/04/29/uk-banks-transition-plans-not-fit-for-purpose-regulation-needed/?utm_source=chatgpt.com"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lloydsbankinggroup.com/assets/pdfs/investors/financial-performance/lloyds-banking-group-plc/2024/q4/2024-lbg-form-20f.pdf?utm_source=chatgpt.com" TargetMode="External"/><Relationship Id="rId23" Type="http://schemas.openxmlformats.org/officeDocument/2006/relationships/hyperlink" Target="https://www.banktrack.org/article/big_four_uk_banks_falling_short_on_climate_action?utm_source=chatgpt.com" TargetMode="External"/><Relationship Id="rId28" Type="http://schemas.openxmlformats.org/officeDocument/2006/relationships/header" Target="header2.xml"/><Relationship Id="rId10" Type="http://schemas.openxmlformats.org/officeDocument/2006/relationships/hyperlink" Target="https://www.fca.org.uk/publication/annual-reports/annual-report-2024-25.pdf?utm_source=chatgpt.com" TargetMode="External"/><Relationship Id="rId19" Type="http://schemas.openxmlformats.org/officeDocument/2006/relationships/hyperlink" Target="https://www.bankofengland.co.uk/financial-stability-report/2024/june-2024?utm_source=chatgpt.com"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fca.org.uk/news/press-releases/fca-fines-hsbc-6-million-over-treatment-customers-financial-difficulty?utm_source=chatgpt.com" TargetMode="External"/><Relationship Id="rId14" Type="http://schemas.openxmlformats.org/officeDocument/2006/relationships/hyperlink" Target="https://www.itv.com/news/2024-02-22/lloyds-sets-aside-450m-over-mis-sold-car-finance-investigation?utm_source=chatgpt.com" TargetMode="External"/><Relationship Id="rId22" Type="http://schemas.openxmlformats.org/officeDocument/2006/relationships/hyperlink" Target="https://influencemap.org/pressrelease/UK-Banks-Report-32667?utm_source=chatgpt.com"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96431D-8857-4258-BFB3-CF6FA5679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12</Pages>
  <Words>4368</Words>
  <Characters>24900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Patel Pratham</dc:creator>
  <cp:keywords/>
  <dc:description/>
  <cp:lastModifiedBy>Patel Pratham</cp:lastModifiedBy>
  <cp:revision>7</cp:revision>
  <dcterms:created xsi:type="dcterms:W3CDTF">2025-11-21T01:56:00Z</dcterms:created>
  <dcterms:modified xsi:type="dcterms:W3CDTF">2025-11-21T12:28:00Z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1f0bc05e-66be-454f-90aa-b52f2c1935d5</vt:lpwstr>
  </property>
</Properties>
</file>