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endnotes.xml" ContentType="application/vnd.openxmlformats-officedocument.wordprocessingml.endnot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BD60C81" w14:paraId="7C2DD592" wp14:textId="49990C62">
      <w:pPr>
        <w:spacing w:line="480" w:lineRule="auto"/>
        <w:rPr>
          <w:rFonts w:ascii="Times New Roman" w:hAnsi="Times New Roman" w:eastAsia="Times New Roman" w:cs="Times New Roman"/>
          <w:sz w:val="24"/>
          <w:szCs w:val="24"/>
        </w:rPr>
      </w:pPr>
      <w:bookmarkStart w:name="_GoBack" w:id="0"/>
      <w:bookmarkEnd w:id="0"/>
      <w:r w:rsidRPr="2BD60C81" w:rsidR="2BD60C81">
        <w:rPr>
          <w:rFonts w:ascii="Times New Roman" w:hAnsi="Times New Roman" w:eastAsia="Times New Roman" w:cs="Times New Roman"/>
          <w:sz w:val="24"/>
          <w:szCs w:val="24"/>
        </w:rPr>
        <w:t xml:space="preserve">Y Mabinogi </w:t>
      </w:r>
      <w:r w:rsidRPr="2BD60C81" w:rsidR="2BD60C81">
        <w:rPr>
          <w:rFonts w:ascii="Times New Roman" w:hAnsi="Times New Roman" w:eastAsia="Times New Roman" w:cs="Times New Roman"/>
          <w:sz w:val="24"/>
          <w:szCs w:val="24"/>
        </w:rPr>
        <w:t>Assignment (</w:t>
      </w:r>
      <w:r w:rsidRPr="2BD60C81" w:rsidR="2BD60C81">
        <w:rPr>
          <w:rFonts w:ascii="Times New Roman" w:hAnsi="Times New Roman" w:eastAsia="Times New Roman" w:cs="Times New Roman"/>
          <w:sz w:val="24"/>
          <w:szCs w:val="24"/>
        </w:rPr>
        <w:t>CYCS7015)</w:t>
      </w:r>
    </w:p>
    <w:p xmlns:wp14="http://schemas.microsoft.com/office/word/2010/wordml" w:rsidP="2BD60C81" w14:paraId="724203EB" wp14:textId="2C0931D4">
      <w:pPr>
        <w:spacing w:line="480" w:lineRule="auto"/>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 xml:space="preserve">Anne </w:t>
      </w:r>
      <w:proofErr w:type="spellStart"/>
      <w:r w:rsidRPr="2BD60C81" w:rsidR="2BD60C81">
        <w:rPr>
          <w:rFonts w:ascii="Times New Roman" w:hAnsi="Times New Roman" w:eastAsia="Times New Roman" w:cs="Times New Roman"/>
          <w:sz w:val="24"/>
          <w:szCs w:val="24"/>
        </w:rPr>
        <w:t>Wagstaffe</w:t>
      </w:r>
      <w:proofErr w:type="spellEnd"/>
      <w:r w:rsidRPr="2BD60C81" w:rsidR="2BD60C81">
        <w:rPr>
          <w:rFonts w:ascii="Times New Roman" w:hAnsi="Times New Roman" w:eastAsia="Times New Roman" w:cs="Times New Roman"/>
          <w:sz w:val="24"/>
          <w:szCs w:val="24"/>
        </w:rPr>
        <w:t xml:space="preserve"> 1903773</w:t>
      </w:r>
    </w:p>
    <w:p xmlns:wp14="http://schemas.microsoft.com/office/word/2010/wordml" w:rsidP="2BD60C81" w14:paraId="5E5787A5" wp14:textId="5CD7F745">
      <w:pPr>
        <w:pStyle w:val="Normal"/>
        <w:spacing w:line="480" w:lineRule="auto"/>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This extract is from the second branch of the Mabinogi, known as Branwen. Branwen starts in Harlech with the unexpected approach of Irish ships and ends with the consequences of the ill-fated marriage between Branwen and Matholwch laid bare.</w:t>
      </w:r>
    </w:p>
    <w:p w:rsidR="4C6C50EE" w:rsidP="2BD60C81" w:rsidRDefault="4C6C50EE" w14:paraId="767EE2D4" w14:textId="62E963E2">
      <w:pPr>
        <w:pStyle w:val="Normal"/>
        <w:spacing w:line="480" w:lineRule="auto"/>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 xml:space="preserve">In this section, </w:t>
      </w:r>
      <w:r w:rsidRPr="2BD60C81" w:rsidR="2BD60C81">
        <w:rPr>
          <w:rFonts w:ascii="Times New Roman" w:hAnsi="Times New Roman" w:eastAsia="Times New Roman" w:cs="Times New Roman"/>
          <w:sz w:val="24"/>
          <w:szCs w:val="24"/>
        </w:rPr>
        <w:t xml:space="preserve">Matholwch responds to </w:t>
      </w:r>
      <w:proofErr w:type="spellStart"/>
      <w:r w:rsidRPr="2BD60C81" w:rsidR="2BD60C81">
        <w:rPr>
          <w:rFonts w:ascii="Times New Roman" w:hAnsi="Times New Roman" w:eastAsia="Times New Roman" w:cs="Times New Roman"/>
          <w:sz w:val="24"/>
          <w:szCs w:val="24"/>
        </w:rPr>
        <w:t>Bendigeidfran’s</w:t>
      </w:r>
      <w:proofErr w:type="spellEnd"/>
      <w:r w:rsidRPr="2BD60C81" w:rsidR="2BD60C81">
        <w:rPr>
          <w:rFonts w:ascii="Times New Roman" w:hAnsi="Times New Roman" w:eastAsia="Times New Roman" w:cs="Times New Roman"/>
          <w:sz w:val="24"/>
          <w:szCs w:val="24"/>
        </w:rPr>
        <w:t xml:space="preserve"> refusal to make peace. The actions of Efnysien once again play a key role and set the scene for the immediate aftermath: his shocking behaviour to Gwern and the drama of the cauldron. </w:t>
      </w:r>
    </w:p>
    <w:p w:rsidR="4C6C50EE" w:rsidP="2BD60C81" w:rsidRDefault="4C6C50EE" w14:paraId="10236A06" w14:textId="32DFE13D">
      <w:pPr>
        <w:pStyle w:val="Normal"/>
        <w:spacing w:line="480" w:lineRule="auto"/>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 xml:space="preserve">The Second Branch is a narrative of movement back and forth. </w:t>
      </w:r>
      <w:r w:rsidRPr="2BD60C81" w:rsidR="2BD60C81">
        <w:rPr>
          <w:rFonts w:ascii="Times New Roman" w:hAnsi="Times New Roman" w:eastAsia="Times New Roman" w:cs="Times New Roman"/>
          <w:sz w:val="24"/>
          <w:szCs w:val="24"/>
        </w:rPr>
        <w:t>M</w:t>
      </w:r>
      <w:r w:rsidRPr="2BD60C81" w:rsidR="2BD60C81">
        <w:rPr>
          <w:rFonts w:ascii="Times New Roman" w:hAnsi="Times New Roman" w:eastAsia="Times New Roman" w:cs="Times New Roman"/>
          <w:sz w:val="24"/>
          <w:szCs w:val="24"/>
        </w:rPr>
        <w:t>essengers run between kings and there are quick changes in fortune. There is both construction and deconstruction, for example a man becomes a bridge and a cauldron falls apart. The values of good counsel are central, but always Efnysien causes disruption. In this selection these themes are displayed.</w:t>
      </w:r>
    </w:p>
    <w:p w:rsidR="4C6C50EE" w:rsidP="2BD60C81" w:rsidRDefault="4C6C50EE" w14:paraId="2E2BF01C" w14:textId="37CA59BA">
      <w:pPr>
        <w:pStyle w:val="Normal"/>
        <w:spacing w:line="480" w:lineRule="auto"/>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 xml:space="preserve">The surviving texts of the Mabinogi are written in </w:t>
      </w:r>
      <w:r w:rsidRPr="2BD60C81" w:rsidR="2BD60C81">
        <w:rPr>
          <w:rFonts w:ascii="Times New Roman" w:hAnsi="Times New Roman" w:eastAsia="Times New Roman" w:cs="Times New Roman"/>
          <w:sz w:val="24"/>
          <w:szCs w:val="24"/>
        </w:rPr>
        <w:t>M</w:t>
      </w:r>
      <w:r w:rsidRPr="2BD60C81" w:rsidR="2BD60C81">
        <w:rPr>
          <w:rFonts w:ascii="Times New Roman" w:hAnsi="Times New Roman" w:eastAsia="Times New Roman" w:cs="Times New Roman"/>
          <w:sz w:val="24"/>
          <w:szCs w:val="24"/>
        </w:rPr>
        <w:t xml:space="preserve">iddle Welsh and by working from an English translation, the role of the original language may be lost. Equally some points may be the work of the translator. In this </w:t>
      </w:r>
      <w:r w:rsidRPr="2BD60C81" w:rsidR="2BD60C81">
        <w:rPr>
          <w:rFonts w:ascii="Times New Roman" w:hAnsi="Times New Roman" w:eastAsia="Times New Roman" w:cs="Times New Roman"/>
          <w:sz w:val="24"/>
          <w:szCs w:val="24"/>
        </w:rPr>
        <w:t xml:space="preserve">case, </w:t>
      </w:r>
      <w:proofErr w:type="spellStart"/>
      <w:r w:rsidRPr="2BD60C81" w:rsidR="2BD60C81">
        <w:rPr>
          <w:rFonts w:ascii="Times New Roman" w:hAnsi="Times New Roman" w:eastAsia="Times New Roman" w:cs="Times New Roman"/>
          <w:sz w:val="24"/>
          <w:szCs w:val="24"/>
        </w:rPr>
        <w:t>Sioned</w:t>
      </w:r>
      <w:proofErr w:type="spellEnd"/>
      <w:r w:rsidRPr="2BD60C81" w:rsidR="2BD60C81">
        <w:rPr>
          <w:rFonts w:ascii="Times New Roman" w:hAnsi="Times New Roman" w:eastAsia="Times New Roman" w:cs="Times New Roman"/>
          <w:sz w:val="24"/>
          <w:szCs w:val="24"/>
        </w:rPr>
        <w:t xml:space="preserve"> Davies states that </w:t>
      </w:r>
      <w:r w:rsidRPr="2BD60C81" w:rsidR="2BD60C81">
        <w:rPr>
          <w:rFonts w:ascii="Times New Roman" w:hAnsi="Times New Roman" w:eastAsia="Times New Roman" w:cs="Times New Roman"/>
          <w:sz w:val="24"/>
          <w:szCs w:val="24"/>
        </w:rPr>
        <w:t>‘</w:t>
      </w:r>
      <w:r w:rsidRPr="2BD60C81" w:rsidR="2BD60C81">
        <w:rPr>
          <w:rFonts w:ascii="Times New Roman" w:hAnsi="Times New Roman" w:eastAsia="Times New Roman" w:cs="Times New Roman"/>
          <w:sz w:val="24"/>
          <w:szCs w:val="24"/>
        </w:rPr>
        <w:t>the emphasis</w:t>
      </w:r>
      <w:r w:rsidRPr="2BD60C81" w:rsidR="2BD60C81">
        <w:rPr>
          <w:rFonts w:ascii="Times New Roman" w:hAnsi="Times New Roman" w:eastAsia="Times New Roman" w:cs="Times New Roman"/>
          <w:sz w:val="24"/>
          <w:szCs w:val="24"/>
        </w:rPr>
        <w:t xml:space="preserve"> … </w:t>
      </w:r>
      <w:r w:rsidRPr="2BD60C81" w:rsidR="2BD60C81">
        <w:rPr>
          <w:rFonts w:ascii="Times New Roman" w:hAnsi="Times New Roman" w:eastAsia="Times New Roman" w:cs="Times New Roman"/>
          <w:sz w:val="24"/>
          <w:szCs w:val="24"/>
        </w:rPr>
        <w:t>is on performanc</w:t>
      </w:r>
      <w:r w:rsidRPr="2BD60C81" w:rsidR="2BD60C81">
        <w:rPr>
          <w:rFonts w:ascii="Times New Roman" w:hAnsi="Times New Roman" w:eastAsia="Times New Roman" w:cs="Times New Roman"/>
          <w:sz w:val="24"/>
          <w:szCs w:val="24"/>
        </w:rPr>
        <w:t>e</w:t>
      </w:r>
      <w:r w:rsidRPr="2BD60C81" w:rsidR="2BD60C81">
        <w:rPr>
          <w:rFonts w:ascii="Times New Roman" w:hAnsi="Times New Roman" w:eastAsia="Times New Roman" w:cs="Times New Roman"/>
          <w:sz w:val="24"/>
          <w:szCs w:val="24"/>
        </w:rPr>
        <w:t xml:space="preserve">’. </w:t>
      </w:r>
      <w:r w:rsidRPr="2BD60C81" w:rsidR="2BD60C81">
        <w:rPr>
          <w:rFonts w:ascii="Times New Roman" w:hAnsi="Times New Roman" w:eastAsia="Times New Roman" w:cs="Times New Roman"/>
          <w:sz w:val="24"/>
          <w:szCs w:val="24"/>
          <w:vertAlign w:val="superscript"/>
        </w:rPr>
        <w:t xml:space="preserve">1 </w:t>
      </w:r>
      <w:r w:rsidRPr="2BD60C81" w:rsidR="2BD60C81">
        <w:rPr>
          <w:rFonts w:ascii="Times New Roman" w:hAnsi="Times New Roman" w:eastAsia="Times New Roman" w:cs="Times New Roman"/>
          <w:sz w:val="24"/>
          <w:szCs w:val="24"/>
        </w:rPr>
        <w:t xml:space="preserve">The </w:t>
      </w:r>
      <w:r w:rsidRPr="2BD60C81" w:rsidR="2BD60C81">
        <w:rPr>
          <w:rFonts w:ascii="Times New Roman" w:hAnsi="Times New Roman" w:eastAsia="Times New Roman" w:cs="Times New Roman"/>
          <w:sz w:val="24"/>
          <w:szCs w:val="24"/>
        </w:rPr>
        <w:t xml:space="preserve">work known as the Mabinogi has had many forms since its probable oral origins. </w:t>
      </w:r>
    </w:p>
    <w:p w:rsidR="4C6C50EE" w:rsidP="2BD60C81" w:rsidRDefault="4C6C50EE" w14:paraId="12802AEF" w14:textId="760F76CC">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proofErr w:type="spellStart"/>
      <w:r w:rsidRPr="2BD60C81" w:rsidR="2BD60C81">
        <w:rPr>
          <w:rFonts w:ascii="Times New Roman" w:hAnsi="Times New Roman" w:eastAsia="Times New Roman" w:cs="Times New Roman"/>
          <w:sz w:val="24"/>
          <w:szCs w:val="24"/>
        </w:rPr>
        <w:t>Matholwch’s</w:t>
      </w:r>
      <w:proofErr w:type="spellEnd"/>
      <w:r w:rsidRPr="2BD60C81" w:rsidR="2BD60C81">
        <w:rPr>
          <w:rFonts w:ascii="Times New Roman" w:hAnsi="Times New Roman" w:eastAsia="Times New Roman" w:cs="Times New Roman"/>
          <w:sz w:val="24"/>
          <w:szCs w:val="24"/>
        </w:rPr>
        <w:t xml:space="preserve"> words in the opening line ‘My men...what is your advice?’ can be compared to the actions of Manawydan in the Third Branch. Is this moderation a reflection of </w:t>
      </w:r>
      <w:proofErr w:type="spellStart"/>
      <w:r w:rsidRPr="2BD60C81" w:rsidR="2BD60C81">
        <w:rPr>
          <w:rFonts w:ascii="Times New Roman" w:hAnsi="Times New Roman" w:eastAsia="Times New Roman" w:cs="Times New Roman"/>
          <w:sz w:val="24"/>
          <w:szCs w:val="24"/>
        </w:rPr>
        <w:t>Matholwch’s</w:t>
      </w:r>
      <w:proofErr w:type="spellEnd"/>
      <w:r w:rsidRPr="2BD60C81" w:rsidR="2BD60C81">
        <w:rPr>
          <w:rFonts w:ascii="Times New Roman" w:hAnsi="Times New Roman" w:eastAsia="Times New Roman" w:cs="Times New Roman"/>
          <w:sz w:val="24"/>
          <w:szCs w:val="24"/>
        </w:rPr>
        <w:t xml:space="preserve"> character, a </w:t>
      </w:r>
      <w:r w:rsidRPr="2BD60C81" w:rsidR="2BD60C81">
        <w:rPr>
          <w:rFonts w:ascii="Times New Roman" w:hAnsi="Times New Roman" w:eastAsia="Times New Roman" w:cs="Times New Roman"/>
          <w:sz w:val="24"/>
          <w:szCs w:val="24"/>
        </w:rPr>
        <w:t xml:space="preserve">historical </w:t>
      </w:r>
      <w:r w:rsidRPr="2BD60C81" w:rsidR="2BD60C81">
        <w:rPr>
          <w:rFonts w:ascii="Times New Roman" w:hAnsi="Times New Roman" w:eastAsia="Times New Roman" w:cs="Times New Roman"/>
          <w:sz w:val="24"/>
          <w:szCs w:val="24"/>
        </w:rPr>
        <w:t>mirror of negotiation</w:t>
      </w:r>
      <w:r w:rsidRPr="2BD60C81" w:rsidR="2BD60C81">
        <w:rPr>
          <w:rFonts w:ascii="Times New Roman" w:hAnsi="Times New Roman" w:eastAsia="Times New Roman" w:cs="Times New Roman"/>
          <w:sz w:val="24"/>
          <w:szCs w:val="24"/>
        </w:rPr>
        <w:t>s</w:t>
      </w:r>
      <w:r w:rsidRPr="2BD60C81" w:rsidR="2BD60C81">
        <w:rPr>
          <w:rFonts w:ascii="Times New Roman" w:hAnsi="Times New Roman" w:eastAsia="Times New Roman" w:cs="Times New Roman"/>
          <w:sz w:val="24"/>
          <w:szCs w:val="24"/>
        </w:rPr>
        <w:t xml:space="preserve"> between Ireland and Wales or even an imposed Christian overview?</w:t>
      </w:r>
      <w:r w:rsidRPr="2BD60C81" w:rsidR="2BD60C81">
        <w:rPr>
          <w:rFonts w:ascii="Times New Roman" w:hAnsi="Times New Roman" w:eastAsia="Times New Roman" w:cs="Times New Roman"/>
          <w:sz w:val="24"/>
          <w:szCs w:val="24"/>
        </w:rPr>
        <w:t xml:space="preserve"> </w:t>
      </w:r>
      <w:r w:rsidRPr="2BD60C81" w:rsidR="2BD60C81">
        <w:rPr>
          <w:rFonts w:ascii="Times New Roman" w:hAnsi="Times New Roman" w:eastAsia="Times New Roman" w:cs="Times New Roman"/>
          <w:sz w:val="24"/>
          <w:szCs w:val="24"/>
          <w:vertAlign w:val="superscript"/>
        </w:rPr>
        <w:t xml:space="preserve">2 </w:t>
      </w:r>
      <w:r w:rsidRPr="2BD60C81" w:rsidR="2BD60C81">
        <w:rPr>
          <w:rFonts w:ascii="Times New Roman" w:hAnsi="Times New Roman" w:eastAsia="Times New Roman" w:cs="Times New Roman"/>
          <w:sz w:val="24"/>
          <w:szCs w:val="24"/>
        </w:rPr>
        <w:t xml:space="preserve">Matholwch </w:t>
      </w:r>
      <w:r w:rsidRPr="2BD60C81" w:rsidR="2BD60C81">
        <w:rPr>
          <w:rFonts w:ascii="Times New Roman" w:hAnsi="Times New Roman" w:eastAsia="Times New Roman" w:cs="Times New Roman"/>
          <w:sz w:val="24"/>
          <w:szCs w:val="24"/>
        </w:rPr>
        <w:t>prioritises negotiation</w:t>
      </w:r>
      <w:r w:rsidRPr="2BD60C81" w:rsidR="2BD60C81">
        <w:rPr>
          <w:rFonts w:ascii="Times New Roman" w:hAnsi="Times New Roman" w:eastAsia="Times New Roman" w:cs="Times New Roman"/>
          <w:sz w:val="24"/>
          <w:szCs w:val="24"/>
        </w:rPr>
        <w:t>, also seen in the earlier section where</w:t>
      </w:r>
      <w:r w:rsidRPr="2BD60C81" w:rsidR="2BD60C81">
        <w:rPr>
          <w:rFonts w:ascii="Times New Roman" w:hAnsi="Times New Roman" w:eastAsia="Times New Roman" w:cs="Times New Roman"/>
          <w:sz w:val="24"/>
          <w:szCs w:val="24"/>
        </w:rPr>
        <w:t xml:space="preserve"> </w:t>
      </w:r>
      <w:r w:rsidRPr="2BD60C81" w:rsidR="2BD60C81">
        <w:rPr>
          <w:rFonts w:ascii="Times New Roman" w:hAnsi="Times New Roman" w:eastAsia="Times New Roman" w:cs="Times New Roman"/>
          <w:sz w:val="24"/>
          <w:szCs w:val="24"/>
        </w:rPr>
        <w:t xml:space="preserve">horses are maimed.  </w:t>
      </w:r>
    </w:p>
    <w:p w:rsidR="4C6C50EE" w:rsidP="2BD60C81" w:rsidRDefault="4C6C50EE" w14:paraId="1BBC1FF7" w14:textId="7C36D00E">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 xml:space="preserve">This willingness to take counsel applies to Bendigeidfran. The messengers took </w:t>
      </w:r>
      <w:r w:rsidRPr="2BD60C81" w:rsidR="2BD60C81">
        <w:rPr>
          <w:rFonts w:ascii="Times New Roman" w:hAnsi="Times New Roman" w:eastAsia="Times New Roman" w:cs="Times New Roman"/>
          <w:sz w:val="24"/>
          <w:szCs w:val="24"/>
        </w:rPr>
        <w:t>‘t</w:t>
      </w:r>
      <w:r w:rsidRPr="2BD60C81" w:rsidR="2BD60C81">
        <w:rPr>
          <w:rFonts w:ascii="Times New Roman" w:hAnsi="Times New Roman" w:eastAsia="Times New Roman" w:cs="Times New Roman"/>
          <w:sz w:val="24"/>
          <w:szCs w:val="24"/>
        </w:rPr>
        <w:t>he offer to Bendigeidfran and he took advice.</w:t>
      </w:r>
      <w:r w:rsidRPr="2BD60C81" w:rsidR="2BD60C81">
        <w:rPr>
          <w:rFonts w:ascii="Times New Roman" w:hAnsi="Times New Roman" w:eastAsia="Times New Roman" w:cs="Times New Roman"/>
          <w:sz w:val="24"/>
          <w:szCs w:val="24"/>
        </w:rPr>
        <w:t xml:space="preserve">’ </w:t>
      </w:r>
      <w:r w:rsidRPr="2BD60C81" w:rsidR="2BD60C81">
        <w:rPr>
          <w:rFonts w:ascii="Times New Roman" w:hAnsi="Times New Roman" w:eastAsia="Times New Roman" w:cs="Times New Roman"/>
          <w:sz w:val="24"/>
          <w:szCs w:val="24"/>
        </w:rPr>
        <w:t xml:space="preserve">Despite his size he is not a Heracles using physical strength alone. The word “peace” and the phrase “the terms of peace “in the passage are telling. </w:t>
      </w:r>
    </w:p>
    <w:p w:rsidR="4C6C50EE" w:rsidP="2BD60C81" w:rsidRDefault="4C6C50EE" w14:paraId="58C052CA" w14:textId="45EBABE4">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 xml:space="preserve">Branwen although barely mentioned, </w:t>
      </w:r>
      <w:r w:rsidRPr="2BD60C81" w:rsidR="2BD60C81">
        <w:rPr>
          <w:rFonts w:ascii="Times New Roman" w:hAnsi="Times New Roman" w:eastAsia="Times New Roman" w:cs="Times New Roman"/>
          <w:sz w:val="24"/>
          <w:szCs w:val="24"/>
        </w:rPr>
        <w:t>is important, ‘a</w:t>
      </w:r>
      <w:r w:rsidRPr="2BD60C81" w:rsidR="2BD60C81">
        <w:rPr>
          <w:rFonts w:ascii="Times New Roman" w:hAnsi="Times New Roman" w:eastAsia="Times New Roman" w:cs="Times New Roman"/>
          <w:sz w:val="24"/>
          <w:szCs w:val="24"/>
        </w:rPr>
        <w:t xml:space="preserve">nd this was all done on </w:t>
      </w:r>
      <w:proofErr w:type="spellStart"/>
      <w:r w:rsidRPr="2BD60C81" w:rsidR="2BD60C81">
        <w:rPr>
          <w:rFonts w:ascii="Times New Roman" w:hAnsi="Times New Roman" w:eastAsia="Times New Roman" w:cs="Times New Roman"/>
          <w:sz w:val="24"/>
          <w:szCs w:val="24"/>
        </w:rPr>
        <w:t>Branwen’s</w:t>
      </w:r>
      <w:proofErr w:type="spellEnd"/>
      <w:r w:rsidRPr="2BD60C81" w:rsidR="2BD60C81">
        <w:rPr>
          <w:rFonts w:ascii="Times New Roman" w:hAnsi="Times New Roman" w:eastAsia="Times New Roman" w:cs="Times New Roman"/>
          <w:sz w:val="24"/>
          <w:szCs w:val="24"/>
        </w:rPr>
        <w:t xml:space="preserve"> advice</w:t>
      </w:r>
      <w:r w:rsidRPr="2BD60C81" w:rsidR="2BD60C81">
        <w:rPr>
          <w:rFonts w:ascii="Times New Roman" w:hAnsi="Times New Roman" w:eastAsia="Times New Roman" w:cs="Times New Roman"/>
          <w:sz w:val="24"/>
          <w:szCs w:val="24"/>
        </w:rPr>
        <w:t xml:space="preserve">’. </w:t>
      </w:r>
      <w:proofErr w:type="spellStart"/>
      <w:r w:rsidRPr="2BD60C81" w:rsidR="2BD60C81">
        <w:rPr>
          <w:rFonts w:ascii="Times New Roman" w:hAnsi="Times New Roman" w:eastAsia="Times New Roman" w:cs="Times New Roman"/>
          <w:sz w:val="24"/>
          <w:szCs w:val="24"/>
        </w:rPr>
        <w:t>Branwen’s</w:t>
      </w:r>
      <w:proofErr w:type="spellEnd"/>
      <w:r w:rsidRPr="2BD60C81" w:rsidR="2BD60C81">
        <w:rPr>
          <w:rFonts w:ascii="Times New Roman" w:hAnsi="Times New Roman" w:eastAsia="Times New Roman" w:cs="Times New Roman"/>
          <w:sz w:val="24"/>
          <w:szCs w:val="24"/>
        </w:rPr>
        <w:t xml:space="preserve"> word</w:t>
      </w:r>
      <w:r w:rsidRPr="2BD60C81" w:rsidR="2BD60C81">
        <w:rPr>
          <w:rFonts w:ascii="Times New Roman" w:hAnsi="Times New Roman" w:eastAsia="Times New Roman" w:cs="Times New Roman"/>
          <w:sz w:val="24"/>
          <w:szCs w:val="24"/>
        </w:rPr>
        <w:t>s</w:t>
      </w:r>
      <w:r w:rsidRPr="2BD60C81" w:rsidR="2BD60C81">
        <w:rPr>
          <w:rFonts w:ascii="Times New Roman" w:hAnsi="Times New Roman" w:eastAsia="Times New Roman" w:cs="Times New Roman"/>
          <w:sz w:val="24"/>
          <w:szCs w:val="24"/>
        </w:rPr>
        <w:t xml:space="preserve"> </w:t>
      </w:r>
      <w:r w:rsidRPr="2BD60C81" w:rsidR="2BD60C81">
        <w:rPr>
          <w:rFonts w:ascii="Times New Roman" w:hAnsi="Times New Roman" w:eastAsia="Times New Roman" w:cs="Times New Roman"/>
          <w:sz w:val="24"/>
          <w:szCs w:val="24"/>
        </w:rPr>
        <w:t>‘</w:t>
      </w:r>
      <w:r w:rsidRPr="2BD60C81" w:rsidR="2BD60C81">
        <w:rPr>
          <w:rFonts w:ascii="Times New Roman" w:hAnsi="Times New Roman" w:eastAsia="Times New Roman" w:cs="Times New Roman"/>
          <w:sz w:val="24"/>
          <w:szCs w:val="24"/>
        </w:rPr>
        <w:t>laid waste</w:t>
      </w:r>
      <w:r w:rsidRPr="2BD60C81" w:rsidR="2BD60C81">
        <w:rPr>
          <w:rFonts w:ascii="Times New Roman" w:hAnsi="Times New Roman" w:eastAsia="Times New Roman" w:cs="Times New Roman"/>
          <w:sz w:val="24"/>
          <w:szCs w:val="24"/>
        </w:rPr>
        <w:t>’ f</w:t>
      </w:r>
      <w:r w:rsidRPr="2BD60C81" w:rsidR="2BD60C81">
        <w:rPr>
          <w:rFonts w:ascii="Times New Roman" w:hAnsi="Times New Roman" w:eastAsia="Times New Roman" w:cs="Times New Roman"/>
          <w:sz w:val="24"/>
          <w:szCs w:val="24"/>
        </w:rPr>
        <w:t>oreshadow her words before</w:t>
      </w:r>
      <w:r w:rsidRPr="2BD60C81" w:rsidR="2BD60C81">
        <w:rPr>
          <w:rFonts w:ascii="Times New Roman" w:hAnsi="Times New Roman" w:eastAsia="Times New Roman" w:cs="Times New Roman"/>
          <w:sz w:val="24"/>
          <w:szCs w:val="24"/>
        </w:rPr>
        <w:t xml:space="preserve"> </w:t>
      </w:r>
      <w:r w:rsidRPr="2BD60C81" w:rsidR="2BD60C81">
        <w:rPr>
          <w:rFonts w:ascii="Times New Roman" w:hAnsi="Times New Roman" w:eastAsia="Times New Roman" w:cs="Times New Roman"/>
          <w:sz w:val="24"/>
          <w:szCs w:val="24"/>
        </w:rPr>
        <w:t xml:space="preserve">death. </w:t>
      </w:r>
      <w:r w:rsidRPr="2BD60C81" w:rsidR="2BD60C81">
        <w:rPr>
          <w:rFonts w:ascii="Times New Roman" w:hAnsi="Times New Roman" w:eastAsia="Times New Roman" w:cs="Times New Roman"/>
          <w:sz w:val="24"/>
          <w:szCs w:val="24"/>
          <w:vertAlign w:val="superscript"/>
        </w:rPr>
        <w:t xml:space="preserve">3 </w:t>
      </w:r>
      <w:r w:rsidRPr="2BD60C81" w:rsidR="2BD60C81">
        <w:rPr>
          <w:rFonts w:ascii="Times New Roman" w:hAnsi="Times New Roman" w:eastAsia="Times New Roman" w:cs="Times New Roman"/>
          <w:sz w:val="24"/>
          <w:szCs w:val="24"/>
        </w:rPr>
        <w:t xml:space="preserve">Branwen, like Rhiannon </w:t>
      </w:r>
      <w:r w:rsidRPr="2BD60C81" w:rsidR="2BD60C81">
        <w:rPr>
          <w:rFonts w:ascii="Times New Roman" w:hAnsi="Times New Roman" w:eastAsia="Times New Roman" w:cs="Times New Roman"/>
          <w:sz w:val="24"/>
          <w:szCs w:val="24"/>
        </w:rPr>
        <w:t>shows</w:t>
      </w:r>
      <w:r w:rsidRPr="2BD60C81" w:rsidR="2BD60C81">
        <w:rPr>
          <w:rFonts w:ascii="Times New Roman" w:hAnsi="Times New Roman" w:eastAsia="Times New Roman" w:cs="Times New Roman"/>
          <w:sz w:val="24"/>
          <w:szCs w:val="24"/>
        </w:rPr>
        <w:t xml:space="preserve"> features of the ‘Calumniated Wife’, folk-motif K2110.1 </w:t>
      </w:r>
      <w:r w:rsidRPr="2BD60C81" w:rsidR="2BD60C81">
        <w:rPr>
          <w:rFonts w:ascii="Times New Roman" w:hAnsi="Times New Roman" w:eastAsia="Times New Roman" w:cs="Times New Roman"/>
          <w:sz w:val="24"/>
          <w:szCs w:val="24"/>
          <w:vertAlign w:val="superscript"/>
        </w:rPr>
        <w:t xml:space="preserve">4 </w:t>
      </w:r>
      <w:r w:rsidRPr="2BD60C81" w:rsidR="2BD60C81">
        <w:rPr>
          <w:rFonts w:ascii="Times New Roman" w:hAnsi="Times New Roman" w:eastAsia="Times New Roman" w:cs="Times New Roman"/>
          <w:sz w:val="24"/>
          <w:szCs w:val="24"/>
        </w:rPr>
        <w:t xml:space="preserve">But in this extract, she is closer to the tragic </w:t>
      </w:r>
      <w:proofErr w:type="spellStart"/>
      <w:r w:rsidRPr="2BD60C81" w:rsidR="2BD60C81">
        <w:rPr>
          <w:rFonts w:ascii="Times New Roman" w:hAnsi="Times New Roman" w:eastAsia="Times New Roman" w:cs="Times New Roman"/>
          <w:sz w:val="24"/>
          <w:szCs w:val="24"/>
        </w:rPr>
        <w:t>peaceweavers</w:t>
      </w:r>
      <w:proofErr w:type="spellEnd"/>
      <w:r w:rsidRPr="2BD60C81" w:rsidR="2BD60C81">
        <w:rPr>
          <w:rFonts w:ascii="Times New Roman" w:hAnsi="Times New Roman" w:eastAsia="Times New Roman" w:cs="Times New Roman"/>
          <w:sz w:val="24"/>
          <w:szCs w:val="24"/>
        </w:rPr>
        <w:t xml:space="preserve"> of Beowulf as discussed by Andrew Welsh. </w:t>
      </w:r>
      <w:r w:rsidRPr="2BD60C81" w:rsidR="2BD60C81">
        <w:rPr>
          <w:rFonts w:ascii="Times New Roman" w:hAnsi="Times New Roman" w:eastAsia="Times New Roman" w:cs="Times New Roman"/>
          <w:sz w:val="24"/>
          <w:szCs w:val="24"/>
          <w:vertAlign w:val="superscript"/>
        </w:rPr>
        <w:t>5</w:t>
      </w:r>
    </w:p>
    <w:p w:rsidR="4C6C50EE" w:rsidP="2BD60C81" w:rsidRDefault="4C6C50EE" w14:paraId="6BEFBD05" w14:textId="5B3E0368">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In the passage Bendigeidfran is</w:t>
      </w:r>
      <w:r w:rsidRPr="2BD60C81" w:rsidR="2BD60C81">
        <w:rPr>
          <w:rFonts w:ascii="Times New Roman" w:hAnsi="Times New Roman" w:eastAsia="Times New Roman" w:cs="Times New Roman"/>
          <w:sz w:val="24"/>
          <w:szCs w:val="24"/>
        </w:rPr>
        <w:t xml:space="preserve"> </w:t>
      </w:r>
      <w:r w:rsidRPr="2BD60C81" w:rsidR="2BD60C81">
        <w:rPr>
          <w:rFonts w:ascii="Times New Roman" w:hAnsi="Times New Roman" w:eastAsia="Times New Roman" w:cs="Times New Roman"/>
          <w:sz w:val="24"/>
          <w:szCs w:val="24"/>
        </w:rPr>
        <w:t xml:space="preserve">on a larger scale than the rest of the world. Arthur in folklore is comparable. </w:t>
      </w:r>
      <w:r w:rsidRPr="2BD60C81" w:rsidR="2BD60C81">
        <w:rPr>
          <w:rFonts w:ascii="Times New Roman" w:hAnsi="Times New Roman" w:eastAsia="Times New Roman" w:cs="Times New Roman"/>
          <w:sz w:val="24"/>
          <w:szCs w:val="24"/>
          <w:vertAlign w:val="superscript"/>
        </w:rPr>
        <w:t xml:space="preserve">6 </w:t>
      </w:r>
      <w:r w:rsidRPr="2BD60C81" w:rsidR="2BD60C81">
        <w:rPr>
          <w:rFonts w:ascii="Times New Roman" w:hAnsi="Times New Roman" w:eastAsia="Times New Roman" w:cs="Times New Roman"/>
          <w:sz w:val="24"/>
          <w:szCs w:val="24"/>
        </w:rPr>
        <w:t xml:space="preserve">This supernatural aspect is also close to tales of the Irish Fionn mac </w:t>
      </w:r>
      <w:proofErr w:type="spellStart"/>
      <w:r w:rsidRPr="2BD60C81" w:rsidR="2BD60C81">
        <w:rPr>
          <w:rFonts w:ascii="Times New Roman" w:hAnsi="Times New Roman" w:eastAsia="Times New Roman" w:cs="Times New Roman"/>
          <w:sz w:val="24"/>
          <w:szCs w:val="24"/>
        </w:rPr>
        <w:t>Cumhail</w:t>
      </w:r>
      <w:proofErr w:type="spellEnd"/>
      <w:r w:rsidRPr="2BD60C81" w:rsidR="2BD60C81">
        <w:rPr>
          <w:rFonts w:ascii="Times New Roman" w:hAnsi="Times New Roman" w:eastAsia="Times New Roman" w:cs="Times New Roman"/>
          <w:sz w:val="24"/>
          <w:szCs w:val="24"/>
        </w:rPr>
        <w:t xml:space="preserve"> and the Giants Causeway. The narrative may have changed over time and lost further supernatural characteristics. </w:t>
      </w:r>
    </w:p>
    <w:p w:rsidR="4C6C50EE" w:rsidP="2BD60C81" w:rsidRDefault="4C6C50EE" w14:paraId="79ED7035" w14:textId="03CDFDFC">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 xml:space="preserve">The drama of the scale moves up from the giant man to the construction of a giant house. Although the Irish are acting in </w:t>
      </w:r>
      <w:proofErr w:type="spellStart"/>
      <w:r w:rsidRPr="2BD60C81" w:rsidR="2BD60C81">
        <w:rPr>
          <w:rFonts w:ascii="Times New Roman" w:hAnsi="Times New Roman" w:eastAsia="Times New Roman" w:cs="Times New Roman"/>
          <w:sz w:val="24"/>
          <w:szCs w:val="24"/>
        </w:rPr>
        <w:t>Bendigeidfran’s</w:t>
      </w:r>
      <w:proofErr w:type="spellEnd"/>
      <w:r w:rsidRPr="2BD60C81" w:rsidR="2BD60C81">
        <w:rPr>
          <w:rFonts w:ascii="Times New Roman" w:hAnsi="Times New Roman" w:eastAsia="Times New Roman" w:cs="Times New Roman"/>
          <w:sz w:val="24"/>
          <w:szCs w:val="24"/>
        </w:rPr>
        <w:t xml:space="preserve"> honour, the house reflects their high status</w:t>
      </w:r>
      <w:r w:rsidRPr="2BD60C81" w:rsidR="2BD60C81">
        <w:rPr>
          <w:rFonts w:ascii="Times New Roman" w:hAnsi="Times New Roman" w:eastAsia="Times New Roman" w:cs="Times New Roman"/>
          <w:sz w:val="24"/>
          <w:szCs w:val="24"/>
        </w:rPr>
        <w:t>. I</w:t>
      </w:r>
      <w:r w:rsidRPr="2BD60C81" w:rsidR="2BD60C81">
        <w:rPr>
          <w:rFonts w:ascii="Times New Roman" w:hAnsi="Times New Roman" w:eastAsia="Times New Roman" w:cs="Times New Roman"/>
          <w:sz w:val="24"/>
          <w:szCs w:val="24"/>
        </w:rPr>
        <w:t xml:space="preserve">n Wales the marriage of Branwen was celebrated in tents. The house, like the building of an immense cathedral, is an exercise of power. </w:t>
      </w:r>
    </w:p>
    <w:p w:rsidR="4C6C50EE" w:rsidP="2BD60C81" w:rsidRDefault="4C6C50EE" w14:paraId="60FBB4F5" w14:textId="03A6B02E">
      <w:pPr>
        <w:pStyle w:val="Normal"/>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From the size of the house, the narrative moves up in scale from one hundred pillars to two hundred pegs</w:t>
      </w:r>
      <w:r w:rsidRPr="2BD60C81" w:rsidR="2BD60C81">
        <w:rPr>
          <w:rFonts w:ascii="Times New Roman" w:hAnsi="Times New Roman" w:eastAsia="Times New Roman" w:cs="Times New Roman"/>
          <w:sz w:val="24"/>
          <w:szCs w:val="24"/>
        </w:rPr>
        <w:t>. Fr</w:t>
      </w:r>
      <w:r w:rsidRPr="2BD60C81" w:rsidR="2BD60C81">
        <w:rPr>
          <w:rFonts w:ascii="Times New Roman" w:hAnsi="Times New Roman" w:eastAsia="Times New Roman" w:cs="Times New Roman"/>
          <w:sz w:val="24"/>
          <w:szCs w:val="24"/>
        </w:rPr>
        <w:t>om two hundred pegs to two hundred bags</w:t>
      </w:r>
      <w:r w:rsidRPr="2BD60C81" w:rsidR="2BD60C81">
        <w:rPr>
          <w:rFonts w:ascii="Times New Roman" w:hAnsi="Times New Roman" w:eastAsia="Times New Roman" w:cs="Times New Roman"/>
          <w:sz w:val="24"/>
          <w:szCs w:val="24"/>
        </w:rPr>
        <w:t>, t</w:t>
      </w:r>
      <w:r w:rsidRPr="2BD60C81" w:rsidR="2BD60C81">
        <w:rPr>
          <w:rFonts w:ascii="Times New Roman" w:hAnsi="Times New Roman" w:eastAsia="Times New Roman" w:cs="Times New Roman"/>
          <w:sz w:val="24"/>
          <w:szCs w:val="24"/>
        </w:rPr>
        <w:t>he pillars of the community hold treachery. The idea of construction and deconstruction is played out elsewhere. Bendigeidfran is a bridge. His wooden ships are mistaken for trees and loadstones will pull out metal parts to deconstruct them. Later in the narrative the cauldron is deconstructed into four parts by Efnysien. Another comparison is the construction of the iron chamber</w:t>
      </w:r>
      <w:r w:rsidRPr="2BD60C81" w:rsidR="2BD60C81">
        <w:rPr>
          <w:rFonts w:ascii="Times New Roman" w:hAnsi="Times New Roman" w:eastAsia="Times New Roman" w:cs="Times New Roman"/>
          <w:sz w:val="24"/>
          <w:szCs w:val="24"/>
        </w:rPr>
        <w:t>, which is also linked by the motif of a duplicitous invitation</w:t>
      </w:r>
      <w:r w:rsidRPr="2BD60C81" w:rsidR="2BD60C81">
        <w:rPr>
          <w:rFonts w:ascii="Times New Roman" w:hAnsi="Times New Roman" w:eastAsia="Times New Roman" w:cs="Times New Roman"/>
          <w:sz w:val="24"/>
          <w:szCs w:val="24"/>
        </w:rPr>
        <w:t>.</w:t>
      </w:r>
      <w:r w:rsidRPr="2BD60C81" w:rsidR="2BD60C81">
        <w:rPr>
          <w:rFonts w:ascii="Times New Roman" w:hAnsi="Times New Roman" w:eastAsia="Times New Roman" w:cs="Times New Roman"/>
          <w:sz w:val="24"/>
          <w:szCs w:val="24"/>
          <w:vertAlign w:val="superscript"/>
        </w:rPr>
        <w:t>7</w:t>
      </w:r>
    </w:p>
    <w:p w:rsidR="4C6C50EE" w:rsidP="2BD60C81" w:rsidRDefault="4C6C50EE" w14:paraId="13D01A7A" w14:textId="7815D366">
      <w:pPr>
        <w:pStyle w:val="Normal"/>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 xml:space="preserve">Efnysien although of less power and status then the two kings, is the most decisive actor in this section. His role throughout the Second Branch is to cause terrible fractures between the two sides. </w:t>
      </w:r>
    </w:p>
    <w:p w:rsidR="4C6C50EE" w:rsidP="2BD60C81" w:rsidRDefault="4C6C50EE" w14:paraId="7EABFEDB" w14:textId="5A4E7E75">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At the beginning of the Second Branch Efnysien is contrasted to his peace seeking brother. In this passage his actions with the flour bags are more comical and cunning</w:t>
      </w:r>
      <w:r w:rsidRPr="2BD60C81" w:rsidR="2BD60C81">
        <w:rPr>
          <w:rFonts w:ascii="Times New Roman" w:hAnsi="Times New Roman" w:eastAsia="Times New Roman" w:cs="Times New Roman"/>
          <w:sz w:val="24"/>
          <w:szCs w:val="24"/>
        </w:rPr>
        <w:t xml:space="preserve"> </w:t>
      </w:r>
      <w:r w:rsidRPr="2BD60C81" w:rsidR="2BD60C81">
        <w:rPr>
          <w:rFonts w:ascii="Times New Roman" w:hAnsi="Times New Roman" w:eastAsia="Times New Roman" w:cs="Times New Roman"/>
          <w:sz w:val="24"/>
          <w:szCs w:val="24"/>
        </w:rPr>
        <w:t>but the “fierce ruthless glances’ are a clue to his past and future behaviour.</w:t>
      </w:r>
    </w:p>
    <w:p w:rsidR="4C6C50EE" w:rsidP="2BD60C81" w:rsidRDefault="4C6C50EE" w14:paraId="1A47035B" w14:textId="437127B4">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 xml:space="preserve">Playing to an audience, the handling of the flour bags is tactile and gruesome, with echoes of Branwen kneading dough. </w:t>
      </w:r>
      <w:proofErr w:type="spellStart"/>
      <w:r w:rsidRPr="2BD60C81" w:rsidR="2BD60C81">
        <w:rPr>
          <w:rFonts w:ascii="Times New Roman" w:hAnsi="Times New Roman" w:eastAsia="Times New Roman" w:cs="Times New Roman"/>
          <w:sz w:val="24"/>
          <w:szCs w:val="24"/>
        </w:rPr>
        <w:t>Ethnysien</w:t>
      </w:r>
      <w:proofErr w:type="spellEnd"/>
      <w:r w:rsidRPr="2BD60C81" w:rsidR="2BD60C81">
        <w:rPr>
          <w:rFonts w:ascii="Times New Roman" w:hAnsi="Times New Roman" w:eastAsia="Times New Roman" w:cs="Times New Roman"/>
          <w:sz w:val="24"/>
          <w:szCs w:val="24"/>
        </w:rPr>
        <w:t xml:space="preserve"> prods and squeezes in a vivid portrayal, more memorable than a straight fight scene. The upper hand swings to him as the trickster plays ‘the game</w:t>
      </w:r>
      <w:r w:rsidRPr="2BD60C81" w:rsidR="2BD60C81">
        <w:rPr>
          <w:rFonts w:ascii="Times New Roman" w:hAnsi="Times New Roman" w:eastAsia="Times New Roman" w:cs="Times New Roman"/>
          <w:sz w:val="24"/>
          <w:szCs w:val="24"/>
        </w:rPr>
        <w:t xml:space="preserve">’. </w:t>
      </w:r>
      <w:r w:rsidRPr="2BD60C81" w:rsidR="2BD60C81">
        <w:rPr>
          <w:rFonts w:ascii="Times New Roman" w:hAnsi="Times New Roman" w:eastAsia="Times New Roman" w:cs="Times New Roman"/>
          <w:sz w:val="24"/>
          <w:szCs w:val="24"/>
        </w:rPr>
        <w:t>In the scene the repetition of ‘what have we here’ and ‘flour, friend’ are potentially humorous.</w:t>
      </w:r>
    </w:p>
    <w:p w:rsidR="4C6C50EE" w:rsidP="2BD60C81" w:rsidRDefault="4C6C50EE" w14:paraId="7A46DC84" w14:textId="5948710A">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The two hundredth man in armour is a puzzle. He adds interest at the end of the prolonged prodding, a final obstacle to an easy task. But there could be a lost story here. Who was the man in armour, and did he once play a larger role?  The narrative at this point feels disjointed</w:t>
      </w:r>
      <w:r w:rsidRPr="2BD60C81" w:rsidR="2BD60C81">
        <w:rPr>
          <w:rFonts w:ascii="Times New Roman" w:hAnsi="Times New Roman" w:eastAsia="Times New Roman" w:cs="Times New Roman"/>
          <w:sz w:val="24"/>
          <w:szCs w:val="24"/>
        </w:rPr>
        <w:t>.</w:t>
      </w:r>
    </w:p>
    <w:p w:rsidR="46D19A1C" w:rsidP="2BD60C81" w:rsidRDefault="46D19A1C" w14:paraId="460C434F" w14:textId="02DF714B">
      <w:pPr>
        <w:pStyle w:val="Normal"/>
        <w:bidi w:val="0"/>
        <w:spacing w:before="0" w:beforeAutospacing="off" w:after="160" w:afterAutospacing="off" w:line="480" w:lineRule="auto"/>
        <w:ind w:left="0" w:right="0"/>
        <w:jc w:val="left"/>
        <w:rPr>
          <w:rFonts w:ascii="Times New Roman" w:hAnsi="Times New Roman" w:eastAsia="Times New Roman" w:cs="Times New Roman"/>
          <w:sz w:val="32"/>
          <w:szCs w:val="32"/>
        </w:rPr>
      </w:pPr>
      <w:r w:rsidRPr="2BD60C81" w:rsidR="2BD60C81">
        <w:rPr>
          <w:rFonts w:ascii="Times New Roman" w:hAnsi="Times New Roman" w:eastAsia="Times New Roman" w:cs="Times New Roman"/>
          <w:sz w:val="24"/>
          <w:szCs w:val="24"/>
        </w:rPr>
        <w:t xml:space="preserve">Interestingly, Patrick K Ford has argued that the men in flour bags are linked to Cymidei Cymeinfoll who will give birth to ‘a fully armed warrior’ and to the cauldron of rebirth and the ‘generation of warriors.’ </w:t>
      </w:r>
      <w:r w:rsidRPr="2BD60C81" w:rsidR="2BD60C81">
        <w:rPr>
          <w:rFonts w:ascii="Times New Roman" w:hAnsi="Times New Roman" w:eastAsia="Times New Roman" w:cs="Times New Roman"/>
          <w:sz w:val="24"/>
          <w:szCs w:val="24"/>
          <w:vertAlign w:val="superscript"/>
        </w:rPr>
        <w:t xml:space="preserve">8 </w:t>
      </w:r>
      <w:r w:rsidRPr="2BD60C81" w:rsidR="2BD60C81">
        <w:rPr>
          <w:rFonts w:ascii="Times New Roman" w:hAnsi="Times New Roman" w:eastAsia="Times New Roman" w:cs="Times New Roman"/>
          <w:sz w:val="24"/>
          <w:szCs w:val="24"/>
        </w:rPr>
        <w:t xml:space="preserve">Ford further argues that in the conversation it is the men in bags who speak, and </w:t>
      </w:r>
      <w:r w:rsidRPr="2BD60C81" w:rsidR="2BD60C81">
        <w:rPr>
          <w:rFonts w:ascii="Times New Roman" w:hAnsi="Times New Roman" w:eastAsia="Times New Roman" w:cs="Times New Roman"/>
          <w:sz w:val="24"/>
          <w:szCs w:val="24"/>
        </w:rPr>
        <w:t>links this to t</w:t>
      </w:r>
      <w:r w:rsidRPr="2BD60C81" w:rsidR="2BD60C81">
        <w:rPr>
          <w:rFonts w:ascii="Times New Roman" w:hAnsi="Times New Roman" w:eastAsia="Times New Roman" w:cs="Times New Roman"/>
          <w:sz w:val="24"/>
          <w:szCs w:val="24"/>
        </w:rPr>
        <w:t>he mute cauldron warriors later in the story.</w:t>
      </w:r>
      <w:r w:rsidRPr="2BD60C81" w:rsidR="2BD60C81">
        <w:rPr>
          <w:rFonts w:ascii="Times New Roman" w:hAnsi="Times New Roman" w:eastAsia="Times New Roman" w:cs="Times New Roman"/>
          <w:sz w:val="24"/>
          <w:szCs w:val="24"/>
        </w:rPr>
        <w:t xml:space="preserve"> </w:t>
      </w:r>
      <w:r w:rsidRPr="2BD60C81" w:rsidR="2BD60C81">
        <w:rPr>
          <w:rFonts w:ascii="Times New Roman" w:hAnsi="Times New Roman" w:eastAsia="Times New Roman" w:cs="Times New Roman"/>
          <w:sz w:val="24"/>
          <w:szCs w:val="24"/>
          <w:vertAlign w:val="superscript"/>
        </w:rPr>
        <w:t xml:space="preserve">9 </w:t>
      </w:r>
      <w:r w:rsidRPr="2BD60C81" w:rsidR="2BD60C81">
        <w:rPr>
          <w:rFonts w:ascii="Times New Roman" w:hAnsi="Times New Roman" w:eastAsia="Times New Roman" w:cs="Times New Roman"/>
          <w:sz w:val="24"/>
          <w:szCs w:val="24"/>
        </w:rPr>
        <w:t>It would be useful to return to the earliest extant texts and review Ford’s ideas.</w:t>
      </w:r>
      <w:r w:rsidRPr="2BD60C81" w:rsidR="2BD60C81">
        <w:rPr>
          <w:rFonts w:ascii="Times New Roman" w:hAnsi="Times New Roman" w:eastAsia="Times New Roman" w:cs="Times New Roman"/>
          <w:sz w:val="32"/>
          <w:szCs w:val="32"/>
          <w:vertAlign w:val="superscript"/>
        </w:rPr>
        <w:t xml:space="preserve"> </w:t>
      </w:r>
    </w:p>
    <w:p w:rsidR="32F19547" w:rsidP="2BD60C81" w:rsidRDefault="32F19547" w14:paraId="184D6332" w14:textId="251C9FF2">
      <w:pPr>
        <w:pStyle w:val="Normal"/>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 xml:space="preserve">The </w:t>
      </w:r>
      <w:r w:rsidRPr="2BD60C81" w:rsidR="2BD60C81">
        <w:rPr>
          <w:rFonts w:ascii="Times New Roman" w:hAnsi="Times New Roman" w:eastAsia="Times New Roman" w:cs="Times New Roman"/>
          <w:sz w:val="24"/>
          <w:szCs w:val="24"/>
        </w:rPr>
        <w:t>hidden men element</w:t>
      </w:r>
      <w:r w:rsidRPr="2BD60C81" w:rsidR="2BD60C81">
        <w:rPr>
          <w:rFonts w:ascii="Times New Roman" w:hAnsi="Times New Roman" w:eastAsia="Times New Roman" w:cs="Times New Roman"/>
          <w:sz w:val="24"/>
          <w:szCs w:val="24"/>
        </w:rPr>
        <w:t xml:space="preserve"> is a traditional story motif with the Trojan Horse as a familiar example. </w:t>
      </w:r>
      <w:r w:rsidRPr="2BD60C81" w:rsidR="2BD60C81">
        <w:rPr>
          <w:rFonts w:ascii="Times New Roman" w:hAnsi="Times New Roman" w:eastAsia="Times New Roman" w:cs="Times New Roman"/>
          <w:sz w:val="24"/>
          <w:szCs w:val="24"/>
          <w:vertAlign w:val="superscript"/>
        </w:rPr>
        <w:t xml:space="preserve">10 </w:t>
      </w:r>
      <w:r w:rsidRPr="2BD60C81" w:rsidR="2BD60C81">
        <w:rPr>
          <w:rFonts w:ascii="Times New Roman" w:hAnsi="Times New Roman" w:eastAsia="Times New Roman" w:cs="Times New Roman"/>
          <w:sz w:val="24"/>
          <w:szCs w:val="24"/>
        </w:rPr>
        <w:t xml:space="preserve">Andrew Welsh suggests motif K312, Ali Baba and men in food containers as well as noting several other motifs for this section. </w:t>
      </w:r>
      <w:r w:rsidRPr="2BD60C81" w:rsidR="2BD60C81">
        <w:rPr>
          <w:rFonts w:ascii="Times New Roman" w:hAnsi="Times New Roman" w:eastAsia="Times New Roman" w:cs="Times New Roman"/>
          <w:sz w:val="24"/>
          <w:szCs w:val="24"/>
          <w:vertAlign w:val="superscript"/>
        </w:rPr>
        <w:t xml:space="preserve">11 </w:t>
      </w:r>
      <w:r w:rsidRPr="2BD60C81" w:rsidR="2BD60C81">
        <w:rPr>
          <w:rFonts w:ascii="Times New Roman" w:hAnsi="Times New Roman" w:eastAsia="Times New Roman" w:cs="Times New Roman"/>
          <w:sz w:val="24"/>
          <w:szCs w:val="24"/>
        </w:rPr>
        <w:t xml:space="preserve">Patrick Sims-Williams looks to the Irish story </w:t>
      </w:r>
      <w:proofErr w:type="spellStart"/>
      <w:r w:rsidRPr="2BD60C81" w:rsidR="2BD60C81">
        <w:rPr>
          <w:rFonts w:ascii="Times New Roman" w:hAnsi="Times New Roman" w:eastAsia="Times New Roman" w:cs="Times New Roman"/>
          <w:sz w:val="24"/>
          <w:szCs w:val="24"/>
        </w:rPr>
        <w:t>Bórama</w:t>
      </w:r>
      <w:proofErr w:type="spellEnd"/>
      <w:r w:rsidRPr="2BD60C81" w:rsidR="2BD60C81">
        <w:rPr>
          <w:rFonts w:ascii="Times New Roman" w:hAnsi="Times New Roman" w:eastAsia="Times New Roman" w:cs="Times New Roman"/>
          <w:sz w:val="24"/>
          <w:szCs w:val="24"/>
        </w:rPr>
        <w:t xml:space="preserve"> for similarities as armed Leinster men </w:t>
      </w:r>
      <w:r w:rsidRPr="2BD60C81" w:rsidR="2BD60C81">
        <w:rPr>
          <w:rFonts w:ascii="Times New Roman" w:hAnsi="Times New Roman" w:eastAsia="Times New Roman" w:cs="Times New Roman"/>
          <w:sz w:val="24"/>
          <w:szCs w:val="24"/>
        </w:rPr>
        <w:t xml:space="preserve">are concealed </w:t>
      </w:r>
      <w:r w:rsidRPr="2BD60C81" w:rsidR="2BD60C81">
        <w:rPr>
          <w:rFonts w:ascii="Times New Roman" w:hAnsi="Times New Roman" w:eastAsia="Times New Roman" w:cs="Times New Roman"/>
          <w:sz w:val="24"/>
          <w:szCs w:val="24"/>
        </w:rPr>
        <w:t xml:space="preserve">in hampers of food. </w:t>
      </w:r>
      <w:r w:rsidRPr="2BD60C81" w:rsidR="2BD60C81">
        <w:rPr>
          <w:rFonts w:ascii="Times New Roman" w:hAnsi="Times New Roman" w:eastAsia="Times New Roman" w:cs="Times New Roman"/>
          <w:sz w:val="24"/>
          <w:szCs w:val="24"/>
          <w:vertAlign w:val="superscript"/>
        </w:rPr>
        <w:t xml:space="preserve">12 </w:t>
      </w:r>
      <w:r w:rsidRPr="2BD60C81" w:rsidR="2BD60C81">
        <w:rPr>
          <w:rFonts w:ascii="Times New Roman" w:hAnsi="Times New Roman" w:eastAsia="Times New Roman" w:cs="Times New Roman"/>
          <w:sz w:val="24"/>
          <w:szCs w:val="24"/>
        </w:rPr>
        <w:t>There are many interpretations of these few lines.</w:t>
      </w:r>
    </w:p>
    <w:p w:rsidR="0D3D69F2" w:rsidP="2BD60C81" w:rsidRDefault="0D3D69F2" w14:paraId="3E0FA5E1" w14:textId="08326861">
      <w:pPr>
        <w:pStyle w:val="Normal"/>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 xml:space="preserve">Finally, the </w:t>
      </w:r>
      <w:proofErr w:type="spellStart"/>
      <w:r w:rsidRPr="2BD60C81" w:rsidR="2BD60C81">
        <w:rPr>
          <w:rFonts w:ascii="Times New Roman" w:hAnsi="Times New Roman" w:eastAsia="Times New Roman" w:cs="Times New Roman"/>
          <w:sz w:val="24"/>
          <w:szCs w:val="24"/>
        </w:rPr>
        <w:t>englyn</w:t>
      </w:r>
      <w:proofErr w:type="spellEnd"/>
      <w:r w:rsidRPr="2BD60C81" w:rsidR="2BD60C81">
        <w:rPr>
          <w:rFonts w:ascii="Times New Roman" w:hAnsi="Times New Roman" w:eastAsia="Times New Roman" w:cs="Times New Roman"/>
          <w:sz w:val="24"/>
          <w:szCs w:val="24"/>
        </w:rPr>
        <w:t xml:space="preserve"> is an early Welsh version with three lines. </w:t>
      </w:r>
      <w:r w:rsidRPr="2BD60C81" w:rsidR="2BD60C81">
        <w:rPr>
          <w:rFonts w:ascii="Times New Roman" w:hAnsi="Times New Roman" w:eastAsia="Times New Roman" w:cs="Times New Roman"/>
          <w:sz w:val="24"/>
          <w:szCs w:val="24"/>
          <w:vertAlign w:val="superscript"/>
        </w:rPr>
        <w:t xml:space="preserve">13 </w:t>
      </w:r>
      <w:r w:rsidRPr="2BD60C81" w:rsidR="2BD60C81">
        <w:rPr>
          <w:rFonts w:ascii="Times New Roman" w:hAnsi="Times New Roman" w:eastAsia="Times New Roman" w:cs="Times New Roman"/>
          <w:sz w:val="24"/>
          <w:szCs w:val="24"/>
        </w:rPr>
        <w:t>It breaks up the narrative and is suited to oral storytelling, although an isolated example. The punning on the word flour ‘</w:t>
      </w:r>
      <w:proofErr w:type="spellStart"/>
      <w:r w:rsidRPr="2BD60C81" w:rsidR="2BD60C81">
        <w:rPr>
          <w:rFonts w:ascii="Times New Roman" w:hAnsi="Times New Roman" w:eastAsia="Times New Roman" w:cs="Times New Roman"/>
          <w:sz w:val="24"/>
          <w:szCs w:val="24"/>
        </w:rPr>
        <w:t>blawd</w:t>
      </w:r>
      <w:proofErr w:type="spellEnd"/>
      <w:r w:rsidRPr="2BD60C81" w:rsidR="2BD60C81">
        <w:rPr>
          <w:rFonts w:ascii="Times New Roman" w:hAnsi="Times New Roman" w:eastAsia="Times New Roman" w:cs="Times New Roman"/>
          <w:sz w:val="24"/>
          <w:szCs w:val="24"/>
        </w:rPr>
        <w:t>’ means the best part</w:t>
      </w:r>
      <w:r w:rsidRPr="2BD60C81" w:rsidR="2BD60C81">
        <w:rPr>
          <w:rFonts w:ascii="Times New Roman" w:hAnsi="Times New Roman" w:eastAsia="Times New Roman" w:cs="Times New Roman"/>
          <w:sz w:val="24"/>
          <w:szCs w:val="24"/>
        </w:rPr>
        <w:t>,</w:t>
      </w:r>
      <w:r w:rsidRPr="2BD60C81" w:rsidR="2BD60C81">
        <w:rPr>
          <w:rFonts w:ascii="Times New Roman" w:hAnsi="Times New Roman" w:eastAsia="Times New Roman" w:cs="Times New Roman"/>
          <w:sz w:val="24"/>
          <w:szCs w:val="24"/>
        </w:rPr>
        <w:t xml:space="preserve"> understood as champion. </w:t>
      </w:r>
      <w:r w:rsidRPr="2BD60C81" w:rsidR="2BD60C81">
        <w:rPr>
          <w:rFonts w:ascii="Times New Roman" w:hAnsi="Times New Roman" w:eastAsia="Times New Roman" w:cs="Times New Roman"/>
          <w:sz w:val="24"/>
          <w:szCs w:val="24"/>
          <w:vertAlign w:val="superscript"/>
        </w:rPr>
        <w:t>14</w:t>
      </w:r>
      <w:r w:rsidRPr="2BD60C81" w:rsidR="2BD60C81">
        <w:rPr>
          <w:rFonts w:ascii="Times New Roman" w:hAnsi="Times New Roman" w:eastAsia="Times New Roman" w:cs="Times New Roman"/>
          <w:sz w:val="24"/>
          <w:szCs w:val="24"/>
        </w:rPr>
        <w:t xml:space="preserve"> It is light relief for an audience. In the following section Efnysien moves from a punning verse to killing a child. He is unpredictable.</w:t>
      </w:r>
    </w:p>
    <w:p w:rsidR="0D3D69F2" w:rsidP="2BD60C81" w:rsidRDefault="0D3D69F2" w14:paraId="70D74B69" w14:textId="00CBCA39">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In the passage direct speech is used</w:t>
      </w:r>
      <w:r w:rsidRPr="2BD60C81" w:rsidR="2BD60C81">
        <w:rPr>
          <w:rFonts w:ascii="Times New Roman" w:hAnsi="Times New Roman" w:eastAsia="Times New Roman" w:cs="Times New Roman"/>
          <w:sz w:val="24"/>
          <w:szCs w:val="24"/>
        </w:rPr>
        <w:t xml:space="preserve">, </w:t>
      </w:r>
      <w:r w:rsidRPr="2BD60C81" w:rsidR="2BD60C81">
        <w:rPr>
          <w:rFonts w:ascii="Times New Roman" w:hAnsi="Times New Roman" w:eastAsia="Times New Roman" w:cs="Times New Roman"/>
          <w:sz w:val="24"/>
          <w:szCs w:val="24"/>
        </w:rPr>
        <w:t>including words attributed to the messengers as a group, ‘they said’</w:t>
      </w:r>
      <w:r w:rsidRPr="2BD60C81" w:rsidR="2BD60C81">
        <w:rPr>
          <w:rFonts w:ascii="Times New Roman" w:hAnsi="Times New Roman" w:eastAsia="Times New Roman" w:cs="Times New Roman"/>
          <w:sz w:val="24"/>
          <w:szCs w:val="24"/>
        </w:rPr>
        <w:t>.</w:t>
      </w:r>
      <w:r w:rsidRPr="2BD60C81" w:rsidR="2BD60C81">
        <w:rPr>
          <w:rFonts w:ascii="Times New Roman" w:hAnsi="Times New Roman" w:eastAsia="Times New Roman" w:cs="Times New Roman"/>
          <w:sz w:val="24"/>
          <w:szCs w:val="24"/>
        </w:rPr>
        <w:t xml:space="preserve"> </w:t>
      </w:r>
      <w:r w:rsidRPr="2BD60C81" w:rsidR="2BD60C81">
        <w:rPr>
          <w:rFonts w:ascii="Times New Roman" w:hAnsi="Times New Roman" w:eastAsia="Times New Roman" w:cs="Times New Roman"/>
          <w:sz w:val="24"/>
          <w:szCs w:val="24"/>
        </w:rPr>
        <w:t>This</w:t>
      </w:r>
      <w:r w:rsidRPr="2BD60C81" w:rsidR="2BD60C81">
        <w:rPr>
          <w:rFonts w:ascii="Times New Roman" w:hAnsi="Times New Roman" w:eastAsia="Times New Roman" w:cs="Times New Roman"/>
          <w:sz w:val="24"/>
          <w:szCs w:val="24"/>
        </w:rPr>
        <w:t xml:space="preserve"> is a simple form of expression used in oral storytelling such as ‘gossip’ today. Overall the language here is unembellished with words like ‘and’ ‘then’ ‘and then’ 'he said'. There is a quiet rhythm evident. ’The terms of peace were arranged’.</w:t>
      </w:r>
    </w:p>
    <w:p w:rsidR="4C6C50EE" w:rsidP="2BD60C81" w:rsidRDefault="4C6C50EE" w14:paraId="354F4B49" w14:textId="1703B04A">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r w:rsidRPr="2BD60C81" w:rsidR="2BD60C81">
        <w:rPr>
          <w:rFonts w:ascii="Times New Roman" w:hAnsi="Times New Roman" w:eastAsia="Times New Roman" w:cs="Times New Roman"/>
          <w:sz w:val="24"/>
          <w:szCs w:val="24"/>
        </w:rPr>
        <w:t>In the extract there is negotiation, the dramatic use of size and scale, and the theme of construction contrasted by deconstructio</w:t>
      </w:r>
      <w:r w:rsidRPr="2BD60C81" w:rsidR="2BD60C81">
        <w:rPr>
          <w:rFonts w:ascii="Times New Roman" w:hAnsi="Times New Roman" w:eastAsia="Times New Roman" w:cs="Times New Roman"/>
          <w:sz w:val="24"/>
          <w:szCs w:val="24"/>
        </w:rPr>
        <w:t xml:space="preserve">n elsewhere in the work. </w:t>
      </w:r>
      <w:r w:rsidRPr="2BD60C81" w:rsidR="2BD60C81">
        <w:rPr>
          <w:rFonts w:ascii="Times New Roman" w:hAnsi="Times New Roman" w:eastAsia="Times New Roman" w:cs="Times New Roman"/>
          <w:sz w:val="24"/>
          <w:szCs w:val="24"/>
        </w:rPr>
        <w:t xml:space="preserve">The fateful words of Branwen, the actions of </w:t>
      </w:r>
      <w:proofErr w:type="spellStart"/>
      <w:r w:rsidRPr="2BD60C81" w:rsidR="2BD60C81">
        <w:rPr>
          <w:rFonts w:ascii="Times New Roman" w:hAnsi="Times New Roman" w:eastAsia="Times New Roman" w:cs="Times New Roman"/>
          <w:sz w:val="24"/>
          <w:szCs w:val="24"/>
        </w:rPr>
        <w:t>Efnysien</w:t>
      </w:r>
      <w:proofErr w:type="spellEnd"/>
      <w:r w:rsidRPr="2BD60C81" w:rsidR="2BD60C81">
        <w:rPr>
          <w:rFonts w:ascii="Times New Roman" w:hAnsi="Times New Roman" w:eastAsia="Times New Roman" w:cs="Times New Roman"/>
          <w:sz w:val="24"/>
          <w:szCs w:val="24"/>
        </w:rPr>
        <w:t xml:space="preserve"> and the</w:t>
      </w:r>
      <w:r w:rsidRPr="2BD60C81" w:rsidR="2BD60C81">
        <w:rPr>
          <w:rFonts w:ascii="Times New Roman" w:hAnsi="Times New Roman" w:eastAsia="Times New Roman" w:cs="Times New Roman"/>
          <w:sz w:val="24"/>
          <w:szCs w:val="24"/>
        </w:rPr>
        <w:t xml:space="preserve"> importance of peace all place </w:t>
      </w:r>
      <w:r w:rsidRPr="2BD60C81" w:rsidR="2BD60C81">
        <w:rPr>
          <w:rFonts w:ascii="Times New Roman" w:hAnsi="Times New Roman" w:eastAsia="Times New Roman" w:cs="Times New Roman"/>
          <w:sz w:val="24"/>
          <w:szCs w:val="24"/>
        </w:rPr>
        <w:t>this extract at the heart of the Second Branch, a piece of writing which displays many layers of history.</w:t>
      </w:r>
    </w:p>
    <w:p w:rsidR="26D2D62C" w:rsidP="2BD60C81" w:rsidRDefault="26D2D62C" w14:paraId="635DBA8D" w14:textId="01EEA484">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p>
    <w:p w:rsidR="26D2D62C" w:rsidP="2BD60C81" w:rsidRDefault="26D2D62C" w14:paraId="2C559B50" w14:textId="54189765">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p>
    <w:p w:rsidR="244B0690" w:rsidP="2BD60C81" w:rsidRDefault="244B0690" w14:paraId="4BF7B8BE" w14:textId="1ED4682F">
      <w:pPr>
        <w:pStyle w:val="Normal"/>
        <w:spacing w:before="0" w:beforeAutospacing="off" w:after="160" w:afterAutospacing="off" w:line="480" w:lineRule="auto"/>
        <w:ind w:left="0" w:right="0"/>
        <w:jc w:val="left"/>
        <w:rPr>
          <w:rFonts w:ascii="Times New Roman" w:hAnsi="Times New Roman" w:eastAsia="Times New Roman" w:cs="Times New Roman"/>
          <w:b w:val="0"/>
          <w:bCs w:val="0"/>
          <w:noProof w:val="0"/>
          <w:color w:val="auto"/>
          <w:sz w:val="28"/>
          <w:szCs w:val="28"/>
          <w:lang w:val="en-GB"/>
        </w:rPr>
      </w:pPr>
      <w:r w:rsidRPr="2BD60C81" w:rsidR="2BD60C81">
        <w:rPr>
          <w:rFonts w:ascii="Times New Roman" w:hAnsi="Times New Roman" w:eastAsia="Times New Roman" w:cs="Times New Roman"/>
          <w:b w:val="0"/>
          <w:bCs w:val="0"/>
          <w:noProof w:val="0"/>
          <w:color w:val="auto"/>
          <w:sz w:val="28"/>
          <w:szCs w:val="28"/>
          <w:lang w:val="en-GB"/>
        </w:rPr>
        <w:t xml:space="preserve">References </w:t>
      </w:r>
    </w:p>
    <w:p w:rsidR="244B0690" w:rsidP="2BD60C81" w:rsidRDefault="244B0690" w14:paraId="130012A7" w14:textId="3B49A643">
      <w:pPr>
        <w:pStyle w:val="Normal"/>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1 S. Davies, </w:t>
      </w:r>
      <w:r w:rsidRPr="2BD60C81" w:rsidR="2BD60C81">
        <w:rPr>
          <w:rFonts w:ascii="Times New Roman" w:hAnsi="Times New Roman" w:eastAsia="Times New Roman" w:cs="Times New Roman"/>
          <w:i w:val="1"/>
          <w:iCs w:val="1"/>
          <w:noProof w:val="0"/>
          <w:color w:val="auto"/>
          <w:sz w:val="24"/>
          <w:szCs w:val="24"/>
          <w:lang w:val="en-GB"/>
        </w:rPr>
        <w:t>The Mabinogion,</w:t>
      </w:r>
      <w:r w:rsidRPr="2BD60C81" w:rsidR="2BD60C81">
        <w:rPr>
          <w:rFonts w:ascii="Times New Roman" w:hAnsi="Times New Roman" w:eastAsia="Times New Roman" w:cs="Times New Roman"/>
          <w:noProof w:val="0"/>
          <w:color w:val="auto"/>
          <w:sz w:val="24"/>
          <w:szCs w:val="24"/>
          <w:lang w:val="en-GB"/>
        </w:rPr>
        <w:t xml:space="preserve"> (Oxford: Oxford University Press,</w:t>
      </w:r>
      <w:r w:rsidRPr="2BD60C81" w:rsidR="2BD60C81">
        <w:rPr>
          <w:rFonts w:ascii="Times New Roman" w:hAnsi="Times New Roman" w:eastAsia="Times New Roman" w:cs="Times New Roman"/>
          <w:noProof w:val="0"/>
          <w:color w:val="auto"/>
          <w:sz w:val="24"/>
          <w:szCs w:val="24"/>
          <w:lang w:val="en-GB"/>
        </w:rPr>
        <w:t xml:space="preserve"> </w:t>
      </w:r>
      <w:r w:rsidRPr="2BD60C81" w:rsidR="2BD60C81">
        <w:rPr>
          <w:rFonts w:ascii="Times New Roman" w:hAnsi="Times New Roman" w:eastAsia="Times New Roman" w:cs="Times New Roman"/>
          <w:noProof w:val="0"/>
          <w:color w:val="auto"/>
          <w:sz w:val="24"/>
          <w:szCs w:val="24"/>
          <w:lang w:val="en-GB"/>
        </w:rPr>
        <w:t>2007) p.XXX1V.</w:t>
      </w:r>
    </w:p>
    <w:p w:rsidR="244B0690" w:rsidP="2BD60C81" w:rsidRDefault="244B0690" w14:paraId="1AA9994D" w14:textId="0318995E">
      <w:pPr>
        <w:pStyle w:val="Normal"/>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2 P. Mac Cana, 'The Four Branches’ in </w:t>
      </w:r>
      <w:r w:rsidRPr="2BD60C81" w:rsidR="2BD60C81">
        <w:rPr>
          <w:rFonts w:ascii="Times New Roman" w:hAnsi="Times New Roman" w:eastAsia="Times New Roman" w:cs="Times New Roman"/>
          <w:i w:val="1"/>
          <w:iCs w:val="1"/>
          <w:noProof w:val="0"/>
          <w:color w:val="auto"/>
          <w:sz w:val="24"/>
          <w:szCs w:val="24"/>
          <w:lang w:val="en-GB"/>
        </w:rPr>
        <w:t>The Mabinogi</w:t>
      </w:r>
      <w:r w:rsidRPr="2BD60C81" w:rsidR="2BD60C81">
        <w:rPr>
          <w:rFonts w:ascii="Times New Roman" w:hAnsi="Times New Roman" w:eastAsia="Times New Roman" w:cs="Times New Roman"/>
          <w:i w:val="1"/>
          <w:iCs w:val="1"/>
          <w:noProof w:val="0"/>
          <w:color w:val="auto"/>
          <w:sz w:val="24"/>
          <w:szCs w:val="24"/>
          <w:lang w:val="en-GB"/>
        </w:rPr>
        <w:t xml:space="preserve">, </w:t>
      </w:r>
      <w:r w:rsidRPr="2BD60C81" w:rsidR="2BD60C81">
        <w:rPr>
          <w:rFonts w:ascii="Times New Roman" w:hAnsi="Times New Roman" w:eastAsia="Times New Roman" w:cs="Times New Roman"/>
          <w:noProof w:val="0"/>
          <w:color w:val="auto"/>
          <w:sz w:val="24"/>
          <w:szCs w:val="24"/>
          <w:lang w:val="en-GB"/>
        </w:rPr>
        <w:t>By P. Mac Cana</w:t>
      </w:r>
      <w:r w:rsidRPr="2BD60C81" w:rsidR="2BD60C81">
        <w:rPr>
          <w:rFonts w:ascii="Times New Roman" w:hAnsi="Times New Roman" w:eastAsia="Times New Roman" w:cs="Times New Roman"/>
          <w:noProof w:val="0"/>
          <w:color w:val="auto"/>
          <w:sz w:val="24"/>
          <w:szCs w:val="24"/>
          <w:lang w:val="en-GB"/>
        </w:rPr>
        <w:t xml:space="preserve">, </w:t>
      </w:r>
    </w:p>
    <w:p w:rsidR="244B0690" w:rsidP="2BD60C81" w:rsidRDefault="244B0690" w14:paraId="33002C8D" w14:textId="5B64F04F">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     </w:t>
      </w:r>
      <w:r w:rsidRPr="2BD60C81" w:rsidR="2BD60C81">
        <w:rPr>
          <w:rFonts w:ascii="Times New Roman" w:hAnsi="Times New Roman" w:eastAsia="Times New Roman" w:cs="Times New Roman"/>
          <w:noProof w:val="0"/>
          <w:color w:val="auto"/>
          <w:sz w:val="24"/>
          <w:szCs w:val="24"/>
          <w:lang w:val="en-GB"/>
        </w:rPr>
        <w:t>2</w:t>
      </w:r>
      <w:r w:rsidRPr="2BD60C81" w:rsidR="2BD60C81">
        <w:rPr>
          <w:rFonts w:ascii="Times New Roman" w:hAnsi="Times New Roman" w:eastAsia="Times New Roman" w:cs="Times New Roman"/>
          <w:noProof w:val="0"/>
          <w:color w:val="auto"/>
          <w:sz w:val="24"/>
          <w:szCs w:val="24"/>
          <w:vertAlign w:val="superscript"/>
          <w:lang w:val="en-GB"/>
        </w:rPr>
        <w:t>nd</w:t>
      </w:r>
      <w:r w:rsidRPr="2BD60C81" w:rsidR="2BD60C81">
        <w:rPr>
          <w:rFonts w:ascii="Times New Roman" w:hAnsi="Times New Roman" w:eastAsia="Times New Roman" w:cs="Times New Roman"/>
          <w:noProof w:val="0"/>
          <w:color w:val="auto"/>
          <w:sz w:val="24"/>
          <w:szCs w:val="24"/>
          <w:lang w:val="en-GB"/>
        </w:rPr>
        <w:t xml:space="preserve"> edition (Cardiff: University of Wales Press, 1992), pp</w:t>
      </w:r>
      <w:r w:rsidRPr="2BD60C81" w:rsidR="2BD60C81">
        <w:rPr>
          <w:rFonts w:ascii="Times New Roman" w:hAnsi="Times New Roman" w:eastAsia="Times New Roman" w:cs="Times New Roman"/>
          <w:noProof w:val="0"/>
          <w:color w:val="auto"/>
          <w:sz w:val="24"/>
          <w:szCs w:val="24"/>
          <w:lang w:val="en-GB"/>
        </w:rPr>
        <w:t xml:space="preserve"> </w:t>
      </w:r>
      <w:r w:rsidRPr="2BD60C81" w:rsidR="2BD60C81">
        <w:rPr>
          <w:rFonts w:ascii="Times New Roman" w:hAnsi="Times New Roman" w:eastAsia="Times New Roman" w:cs="Times New Roman"/>
          <w:noProof w:val="0"/>
          <w:color w:val="auto"/>
          <w:sz w:val="24"/>
          <w:szCs w:val="24"/>
          <w:lang w:val="en-GB"/>
        </w:rPr>
        <w:t>21-59, (p.58).</w:t>
      </w:r>
    </w:p>
    <w:p w:rsidR="244B0690" w:rsidP="2BD60C81" w:rsidRDefault="244B0690" w14:paraId="3F37838B" w14:textId="25ED5C18">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3 R. A. Loomis, </w:t>
      </w:r>
      <w:r w:rsidRPr="2BD60C81" w:rsidR="2BD60C81">
        <w:rPr>
          <w:rFonts w:ascii="Times New Roman" w:hAnsi="Times New Roman" w:eastAsia="Times New Roman" w:cs="Times New Roman"/>
          <w:i w:val="1"/>
          <w:iCs w:val="1"/>
          <w:noProof w:val="0"/>
          <w:color w:val="auto"/>
          <w:sz w:val="24"/>
          <w:szCs w:val="24"/>
          <w:lang w:val="en-GB"/>
        </w:rPr>
        <w:t>Arthurian Tradition and Chrétien de Troyes</w:t>
      </w:r>
      <w:r w:rsidRPr="2BD60C81" w:rsidR="2BD60C81">
        <w:rPr>
          <w:rFonts w:ascii="Times New Roman" w:hAnsi="Times New Roman" w:eastAsia="Times New Roman" w:cs="Times New Roman"/>
          <w:noProof w:val="0"/>
          <w:color w:val="auto"/>
          <w:sz w:val="24"/>
          <w:szCs w:val="24"/>
          <w:lang w:val="en-GB"/>
        </w:rPr>
        <w:t>, (New York: Columbia University Press, 1949) p.351.</w:t>
      </w:r>
    </w:p>
    <w:p w:rsidR="244B0690" w:rsidP="2BD60C81" w:rsidRDefault="244B0690" w14:paraId="73624FC8" w14:textId="7904F7A2">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4 S. Thompson, </w:t>
      </w:r>
      <w:r w:rsidRPr="2BD60C81" w:rsidR="2BD60C81">
        <w:rPr>
          <w:rFonts w:ascii="Times New Roman" w:hAnsi="Times New Roman" w:eastAsia="Times New Roman" w:cs="Times New Roman"/>
          <w:i w:val="1"/>
          <w:iCs w:val="1"/>
          <w:noProof w:val="0"/>
          <w:color w:val="auto"/>
          <w:sz w:val="24"/>
          <w:szCs w:val="24"/>
          <w:lang w:val="en-GB"/>
        </w:rPr>
        <w:t>Motif-Index of Folk-Literature,</w:t>
      </w:r>
      <w:r w:rsidRPr="2BD60C81" w:rsidR="2BD60C81">
        <w:rPr>
          <w:rFonts w:ascii="Times New Roman" w:hAnsi="Times New Roman" w:eastAsia="Times New Roman" w:cs="Times New Roman"/>
          <w:noProof w:val="0"/>
          <w:color w:val="auto"/>
          <w:sz w:val="24"/>
          <w:szCs w:val="24"/>
          <w:lang w:val="en-GB"/>
        </w:rPr>
        <w:t xml:space="preserve"> (Bloomington: Indiana University Press, 1955-1958) K2110.1.</w:t>
      </w:r>
    </w:p>
    <w:p w:rsidR="244B0690" w:rsidP="2BD60C81" w:rsidRDefault="244B0690" w14:paraId="400B763E" w14:textId="44B2C12A">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5 A. Welsh, ‘Branwen, Beowulf, and the Tragic </w:t>
      </w:r>
      <w:proofErr w:type="spellStart"/>
      <w:r w:rsidRPr="2BD60C81" w:rsidR="2BD60C81">
        <w:rPr>
          <w:rFonts w:ascii="Times New Roman" w:hAnsi="Times New Roman" w:eastAsia="Times New Roman" w:cs="Times New Roman"/>
          <w:noProof w:val="0"/>
          <w:color w:val="auto"/>
          <w:sz w:val="24"/>
          <w:szCs w:val="24"/>
          <w:lang w:val="en-GB"/>
        </w:rPr>
        <w:t>Peaceweaving</w:t>
      </w:r>
      <w:proofErr w:type="spellEnd"/>
      <w:r w:rsidRPr="2BD60C81" w:rsidR="2BD60C81">
        <w:rPr>
          <w:rFonts w:ascii="Times New Roman" w:hAnsi="Times New Roman" w:eastAsia="Times New Roman" w:cs="Times New Roman"/>
          <w:noProof w:val="0"/>
          <w:color w:val="auto"/>
          <w:sz w:val="24"/>
          <w:szCs w:val="24"/>
          <w:lang w:val="en-GB"/>
        </w:rPr>
        <w:t xml:space="preserve"> Tale,’ </w:t>
      </w:r>
      <w:r w:rsidRPr="2BD60C81" w:rsidR="2BD60C81">
        <w:rPr>
          <w:rFonts w:ascii="Times New Roman" w:hAnsi="Times New Roman" w:eastAsia="Times New Roman" w:cs="Times New Roman"/>
          <w:i w:val="1"/>
          <w:iCs w:val="1"/>
          <w:noProof w:val="0"/>
          <w:color w:val="auto"/>
          <w:sz w:val="24"/>
          <w:szCs w:val="24"/>
          <w:lang w:val="en-GB"/>
        </w:rPr>
        <w:t>Viator,</w:t>
      </w:r>
      <w:r w:rsidRPr="2BD60C81" w:rsidR="2BD60C81">
        <w:rPr>
          <w:rFonts w:ascii="Times New Roman" w:hAnsi="Times New Roman" w:eastAsia="Times New Roman" w:cs="Times New Roman"/>
          <w:noProof w:val="0"/>
          <w:color w:val="auto"/>
          <w:sz w:val="24"/>
          <w:szCs w:val="24"/>
          <w:lang w:val="en-GB"/>
        </w:rPr>
        <w:t xml:space="preserve"> 22 (1991) pp1-14.</w:t>
      </w:r>
      <w:r w:rsidRPr="2BD60C81" w:rsidR="2BD60C81">
        <w:rPr>
          <w:rFonts w:ascii="Times New Roman" w:hAnsi="Times New Roman" w:eastAsia="Times New Roman" w:cs="Times New Roman"/>
          <w:noProof w:val="0"/>
          <w:color w:val="auto"/>
          <w:sz w:val="24"/>
          <w:szCs w:val="24"/>
          <w:lang w:val="en-GB"/>
        </w:rPr>
        <w:t xml:space="preserve">  </w:t>
      </w:r>
    </w:p>
    <w:p w:rsidR="244B0690" w:rsidP="2BD60C81" w:rsidRDefault="244B0690" w14:paraId="0182647A" w14:textId="61D45772">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6 O. Padel, ‘The Nature of Arthur’, </w:t>
      </w:r>
      <w:r w:rsidRPr="2BD60C81" w:rsidR="2BD60C81">
        <w:rPr>
          <w:rFonts w:ascii="Times New Roman" w:hAnsi="Times New Roman" w:eastAsia="Times New Roman" w:cs="Times New Roman"/>
          <w:i w:val="1"/>
          <w:iCs w:val="1"/>
          <w:noProof w:val="0"/>
          <w:color w:val="auto"/>
          <w:sz w:val="24"/>
          <w:szCs w:val="24"/>
          <w:lang w:val="en-GB"/>
        </w:rPr>
        <w:t>Cambrian Medieval Celtic Studies,</w:t>
      </w:r>
      <w:r w:rsidRPr="2BD60C81" w:rsidR="2BD60C81">
        <w:rPr>
          <w:rFonts w:ascii="Times New Roman" w:hAnsi="Times New Roman" w:eastAsia="Times New Roman" w:cs="Times New Roman"/>
          <w:noProof w:val="0"/>
          <w:color w:val="auto"/>
          <w:sz w:val="24"/>
          <w:szCs w:val="24"/>
          <w:lang w:val="en-GB"/>
        </w:rPr>
        <w:t xml:space="preserve"> Volume 27 Summer, (1994) 1-31 (p.14).</w:t>
      </w:r>
    </w:p>
    <w:p w:rsidR="244B0690" w:rsidP="2BD60C81" w:rsidRDefault="244B0690" w14:paraId="703CC3CE" w14:textId="05A03DDF">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7 A. Welsh, ‘The Traditional Narrative Motifs of the Four Branches of the </w:t>
      </w:r>
      <w:proofErr w:type="spellStart"/>
      <w:r w:rsidRPr="2BD60C81" w:rsidR="2BD60C81">
        <w:rPr>
          <w:rFonts w:ascii="Times New Roman" w:hAnsi="Times New Roman" w:eastAsia="Times New Roman" w:cs="Times New Roman"/>
          <w:noProof w:val="0"/>
          <w:color w:val="auto"/>
          <w:sz w:val="24"/>
          <w:szCs w:val="24"/>
          <w:lang w:val="en-GB"/>
        </w:rPr>
        <w:t>Mabinogi</w:t>
      </w:r>
      <w:proofErr w:type="spellEnd"/>
      <w:r w:rsidRPr="2BD60C81" w:rsidR="2BD60C81">
        <w:rPr>
          <w:rFonts w:ascii="Times New Roman" w:hAnsi="Times New Roman" w:eastAsia="Times New Roman" w:cs="Times New Roman"/>
          <w:noProof w:val="0"/>
          <w:color w:val="auto"/>
          <w:sz w:val="24"/>
          <w:szCs w:val="24"/>
          <w:lang w:val="en-GB"/>
        </w:rPr>
        <w:t xml:space="preserve">’, </w:t>
      </w:r>
      <w:r w:rsidRPr="2BD60C81" w:rsidR="2BD60C81">
        <w:rPr>
          <w:rFonts w:ascii="Times New Roman" w:hAnsi="Times New Roman" w:eastAsia="Times New Roman" w:cs="Times New Roman"/>
          <w:i w:val="1"/>
          <w:iCs w:val="1"/>
          <w:noProof w:val="0"/>
          <w:color w:val="auto"/>
          <w:sz w:val="24"/>
          <w:szCs w:val="24"/>
          <w:lang w:val="en-GB"/>
        </w:rPr>
        <w:t>Cambridge Medieval Celtic Studies</w:t>
      </w:r>
      <w:r w:rsidRPr="2BD60C81" w:rsidR="2BD60C81">
        <w:rPr>
          <w:rFonts w:ascii="Times New Roman" w:hAnsi="Times New Roman" w:eastAsia="Times New Roman" w:cs="Times New Roman"/>
          <w:noProof w:val="0"/>
          <w:color w:val="auto"/>
          <w:sz w:val="24"/>
          <w:szCs w:val="24"/>
          <w:lang w:val="en-GB"/>
        </w:rPr>
        <w:t>, Volume 15, (1988) 51-62 (p.58).</w:t>
      </w:r>
    </w:p>
    <w:p w:rsidR="244B0690" w:rsidP="2BD60C81" w:rsidRDefault="244B0690" w14:paraId="29027C4D" w14:textId="5FC5FE3D">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8 P. K. Ford, ’</w:t>
      </w:r>
      <w:proofErr w:type="spellStart"/>
      <w:r w:rsidRPr="2BD60C81" w:rsidR="2BD60C81">
        <w:rPr>
          <w:rFonts w:ascii="Times New Roman" w:hAnsi="Times New Roman" w:eastAsia="Times New Roman" w:cs="Times New Roman"/>
          <w:noProof w:val="0"/>
          <w:color w:val="auto"/>
          <w:sz w:val="24"/>
          <w:szCs w:val="24"/>
          <w:lang w:val="en-GB"/>
        </w:rPr>
        <w:t>Branwen</w:t>
      </w:r>
      <w:proofErr w:type="spellEnd"/>
      <w:r w:rsidRPr="2BD60C81" w:rsidR="2BD60C81">
        <w:rPr>
          <w:rFonts w:ascii="Times New Roman" w:hAnsi="Times New Roman" w:eastAsia="Times New Roman" w:cs="Times New Roman"/>
          <w:noProof w:val="0"/>
          <w:color w:val="auto"/>
          <w:sz w:val="24"/>
          <w:szCs w:val="24"/>
          <w:lang w:val="en-GB"/>
        </w:rPr>
        <w:t xml:space="preserve">: Study of Celtic Affinities,’ </w:t>
      </w:r>
      <w:r w:rsidRPr="2BD60C81" w:rsidR="2BD60C81">
        <w:rPr>
          <w:rFonts w:ascii="Times New Roman" w:hAnsi="Times New Roman" w:eastAsia="Times New Roman" w:cs="Times New Roman"/>
          <w:i w:val="1"/>
          <w:iCs w:val="1"/>
          <w:noProof w:val="0"/>
          <w:color w:val="auto"/>
          <w:sz w:val="24"/>
          <w:szCs w:val="24"/>
          <w:lang w:val="en-GB"/>
        </w:rPr>
        <w:t>Studia Celtica</w:t>
      </w:r>
      <w:r w:rsidRPr="2BD60C81" w:rsidR="2BD60C81">
        <w:rPr>
          <w:rFonts w:ascii="Times New Roman" w:hAnsi="Times New Roman" w:eastAsia="Times New Roman" w:cs="Times New Roman"/>
          <w:noProof w:val="0"/>
          <w:color w:val="auto"/>
          <w:sz w:val="24"/>
          <w:szCs w:val="24"/>
          <w:lang w:val="en-GB"/>
        </w:rPr>
        <w:t>, Volume XX11/XX111, (1987/1988), 29-41 (p34).</w:t>
      </w:r>
    </w:p>
    <w:p w:rsidR="244B0690" w:rsidP="2BD60C81" w:rsidRDefault="244B0690" w14:paraId="03A03CB7" w14:textId="1466D465">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9 P. K. Ford, ‘Branwen: Study of Celtic Affinities,’ p36.</w:t>
      </w:r>
    </w:p>
    <w:p w:rsidR="244B0690" w:rsidP="2BD60C81" w:rsidRDefault="244B0690" w14:paraId="58ECD134" w14:textId="460B45A9">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10 S. Davies, The Mabinogion, p.235.</w:t>
      </w:r>
    </w:p>
    <w:p w:rsidR="244B0690" w:rsidP="2BD60C81" w:rsidRDefault="244B0690" w14:paraId="37AF07CC" w14:textId="0DE82B4F">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11 A. Welsh, ‘The Traditional Narrative Motifs of the Four Branches of the </w:t>
      </w:r>
      <w:proofErr w:type="spellStart"/>
      <w:r w:rsidRPr="2BD60C81" w:rsidR="2BD60C81">
        <w:rPr>
          <w:rFonts w:ascii="Times New Roman" w:hAnsi="Times New Roman" w:eastAsia="Times New Roman" w:cs="Times New Roman"/>
          <w:noProof w:val="0"/>
          <w:color w:val="auto"/>
          <w:sz w:val="24"/>
          <w:szCs w:val="24"/>
          <w:lang w:val="en-GB"/>
        </w:rPr>
        <w:t>Mabinogi</w:t>
      </w:r>
      <w:proofErr w:type="spellEnd"/>
      <w:r w:rsidRPr="2BD60C81" w:rsidR="2BD60C81">
        <w:rPr>
          <w:rFonts w:ascii="Times New Roman" w:hAnsi="Times New Roman" w:eastAsia="Times New Roman" w:cs="Times New Roman"/>
          <w:noProof w:val="0"/>
          <w:color w:val="auto"/>
          <w:sz w:val="24"/>
          <w:szCs w:val="24"/>
          <w:lang w:val="en-GB"/>
        </w:rPr>
        <w:t>’, pp.55-59.</w:t>
      </w:r>
    </w:p>
    <w:p w:rsidR="244B0690" w:rsidP="2BD60C81" w:rsidRDefault="244B0690" w14:paraId="6B6045B5" w14:textId="5B03E7AC">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12 P. Sims-Williams, ‘The Men in Bags and the Severed Head’, </w:t>
      </w:r>
      <w:r w:rsidRPr="2BD60C81" w:rsidR="2BD60C81">
        <w:rPr>
          <w:rFonts w:ascii="Times New Roman" w:hAnsi="Times New Roman" w:eastAsia="Times New Roman" w:cs="Times New Roman"/>
          <w:i w:val="1"/>
          <w:iCs w:val="1"/>
          <w:noProof w:val="0"/>
          <w:color w:val="auto"/>
          <w:sz w:val="24"/>
          <w:szCs w:val="24"/>
          <w:lang w:val="en-GB"/>
        </w:rPr>
        <w:t>Irish Influence on Medieval Welsh Literature,</w:t>
      </w:r>
      <w:r w:rsidRPr="2BD60C81" w:rsidR="2BD60C81">
        <w:rPr>
          <w:rFonts w:ascii="Times New Roman" w:hAnsi="Times New Roman" w:eastAsia="Times New Roman" w:cs="Times New Roman"/>
          <w:noProof w:val="0"/>
          <w:color w:val="auto"/>
          <w:sz w:val="24"/>
          <w:szCs w:val="24"/>
          <w:lang w:val="en-GB"/>
        </w:rPr>
        <w:t xml:space="preserve"> (Oxford: Oxford University Press, 2010), pp263-285, (p.279).  </w:t>
      </w:r>
    </w:p>
    <w:p w:rsidR="244B0690" w:rsidP="2BD60C81" w:rsidRDefault="244B0690" w14:paraId="53676439" w14:textId="476B43F5">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13 S. Davies, The Mabinogion, p.235. </w:t>
      </w:r>
    </w:p>
    <w:p w:rsidR="244B0690" w:rsidP="2BD60C81" w:rsidRDefault="244B0690" w14:paraId="498971CD" w14:textId="2C6EEF81">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14 S. Davies, ibid.</w:t>
      </w:r>
      <w:r w:rsidRPr="2BD60C81" w:rsidR="2BD60C81">
        <w:rPr>
          <w:rFonts w:ascii="Times New Roman" w:hAnsi="Times New Roman" w:eastAsia="Times New Roman" w:cs="Times New Roman"/>
          <w:noProof w:val="0"/>
          <w:color w:val="auto"/>
          <w:sz w:val="24"/>
          <w:szCs w:val="24"/>
          <w:lang w:val="en-GB"/>
        </w:rPr>
        <w:t xml:space="preserve"> p.235.</w:t>
      </w:r>
    </w:p>
    <w:p w:rsidR="244B0690" w:rsidP="2BD60C81" w:rsidRDefault="244B0690" w14:paraId="62D4532F" w14:textId="4D47BF8A">
      <w:pPr>
        <w:bidi w:val="0"/>
        <w:spacing w:after="120" w:line="480" w:lineRule="auto"/>
        <w:rPr>
          <w:rFonts w:ascii="Times New Roman" w:hAnsi="Times New Roman" w:eastAsia="Times New Roman" w:cs="Times New Roman"/>
          <w:noProof w:val="0"/>
          <w:color w:val="auto"/>
          <w:sz w:val="24"/>
          <w:szCs w:val="24"/>
          <w:lang w:val="en-GB"/>
        </w:rPr>
      </w:pPr>
      <w:r w:rsidRPr="2BD60C81">
        <w:rPr>
          <w:rFonts w:ascii="Times New Roman" w:hAnsi="Times New Roman" w:eastAsia="Times New Roman" w:cs="Times New Roman"/>
          <w:color w:val="auto"/>
        </w:rPr>
        <w:br w:type="page"/>
      </w:r>
    </w:p>
    <w:p w:rsidR="244B0690" w:rsidP="2BD60C81" w:rsidRDefault="244B0690" w14:paraId="410CA122" w14:textId="4FBB1EDF">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p>
    <w:p w:rsidR="244B0690" w:rsidP="2BD60C81" w:rsidRDefault="244B0690" w14:paraId="02549B89" w14:textId="5A8050F0">
      <w:pPr>
        <w:pStyle w:val="Normal"/>
        <w:bidi w:val="0"/>
        <w:spacing w:after="120" w:line="480" w:lineRule="auto"/>
        <w:ind w:left="360" w:hanging="360"/>
        <w:rPr>
          <w:rFonts w:ascii="Times New Roman" w:hAnsi="Times New Roman" w:eastAsia="Times New Roman" w:cs="Times New Roman"/>
          <w:noProof w:val="0"/>
          <w:color w:val="auto"/>
          <w:sz w:val="28"/>
          <w:szCs w:val="28"/>
          <w:lang w:val="en-GB"/>
        </w:rPr>
      </w:pPr>
      <w:r w:rsidRPr="2BD60C81" w:rsidR="2BD60C81">
        <w:rPr>
          <w:rFonts w:ascii="Times New Roman" w:hAnsi="Times New Roman" w:eastAsia="Times New Roman" w:cs="Times New Roman"/>
          <w:noProof w:val="0"/>
          <w:color w:val="auto"/>
          <w:sz w:val="28"/>
          <w:szCs w:val="28"/>
          <w:lang w:val="en-GB"/>
        </w:rPr>
        <w:t>Reference List</w:t>
      </w:r>
    </w:p>
    <w:p w:rsidR="244B0690" w:rsidP="2BD60C81" w:rsidRDefault="244B0690" w14:paraId="7B912CF6" w14:textId="601C9FED">
      <w:pPr>
        <w:pStyle w:val="Normal"/>
        <w:bidi w:val="0"/>
        <w:spacing w:after="120" w:line="480" w:lineRule="auto"/>
        <w:ind w:left="360" w:hanging="360"/>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Davies, S. (2007) </w:t>
      </w:r>
      <w:r w:rsidRPr="2BD60C81" w:rsidR="2BD60C81">
        <w:rPr>
          <w:rFonts w:ascii="Times New Roman" w:hAnsi="Times New Roman" w:eastAsia="Times New Roman" w:cs="Times New Roman"/>
          <w:i w:val="1"/>
          <w:iCs w:val="1"/>
          <w:noProof w:val="0"/>
          <w:color w:val="auto"/>
          <w:sz w:val="24"/>
          <w:szCs w:val="24"/>
          <w:lang w:val="en-GB"/>
        </w:rPr>
        <w:t>The Mabinogion</w:t>
      </w:r>
      <w:r w:rsidRPr="2BD60C81" w:rsidR="2BD60C81">
        <w:rPr>
          <w:rFonts w:ascii="Times New Roman" w:hAnsi="Times New Roman" w:eastAsia="Times New Roman" w:cs="Times New Roman"/>
          <w:noProof w:val="0"/>
          <w:color w:val="auto"/>
          <w:sz w:val="24"/>
          <w:szCs w:val="24"/>
          <w:lang w:val="en-GB"/>
        </w:rPr>
        <w:t>, Oxford: Oxford University Press.</w:t>
      </w:r>
    </w:p>
    <w:p w:rsidR="244B0690" w:rsidP="2BD60C81" w:rsidRDefault="244B0690" w14:paraId="25DA33B1" w14:textId="1A5D2C51">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Ford, P.K. ’</w:t>
      </w:r>
      <w:proofErr w:type="spellStart"/>
      <w:r w:rsidRPr="2BD60C81" w:rsidR="2BD60C81">
        <w:rPr>
          <w:rFonts w:ascii="Times New Roman" w:hAnsi="Times New Roman" w:eastAsia="Times New Roman" w:cs="Times New Roman"/>
          <w:noProof w:val="0"/>
          <w:color w:val="auto"/>
          <w:sz w:val="24"/>
          <w:szCs w:val="24"/>
          <w:lang w:val="en-GB"/>
        </w:rPr>
        <w:t>Branwen</w:t>
      </w:r>
      <w:proofErr w:type="spellEnd"/>
      <w:r w:rsidRPr="2BD60C81" w:rsidR="2BD60C81">
        <w:rPr>
          <w:rFonts w:ascii="Times New Roman" w:hAnsi="Times New Roman" w:eastAsia="Times New Roman" w:cs="Times New Roman"/>
          <w:noProof w:val="0"/>
          <w:color w:val="auto"/>
          <w:sz w:val="24"/>
          <w:szCs w:val="24"/>
          <w:lang w:val="en-GB"/>
        </w:rPr>
        <w:t xml:space="preserve">: Study of Celtic Affinities,’ </w:t>
      </w:r>
      <w:r w:rsidRPr="2BD60C81" w:rsidR="2BD60C81">
        <w:rPr>
          <w:rFonts w:ascii="Times New Roman" w:hAnsi="Times New Roman" w:eastAsia="Times New Roman" w:cs="Times New Roman"/>
          <w:i w:val="1"/>
          <w:iCs w:val="1"/>
          <w:noProof w:val="0"/>
          <w:color w:val="auto"/>
          <w:sz w:val="24"/>
          <w:szCs w:val="24"/>
          <w:lang w:val="en-GB"/>
        </w:rPr>
        <w:t>Studia Celtica</w:t>
      </w:r>
      <w:r w:rsidRPr="2BD60C81" w:rsidR="2BD60C81">
        <w:rPr>
          <w:rFonts w:ascii="Times New Roman" w:hAnsi="Times New Roman" w:eastAsia="Times New Roman" w:cs="Times New Roman"/>
          <w:noProof w:val="0"/>
          <w:color w:val="auto"/>
          <w:sz w:val="24"/>
          <w:szCs w:val="24"/>
          <w:lang w:val="en-GB"/>
        </w:rPr>
        <w:t>, Volume XX11/XX111, (1987/1988), pp.29-41.</w:t>
      </w:r>
    </w:p>
    <w:p w:rsidR="244B0690" w:rsidP="2BD60C81" w:rsidRDefault="244B0690" w14:paraId="31FD35C4" w14:textId="6EB185E8">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Loomis, R.A. (1949)</w:t>
      </w:r>
      <w:r w:rsidRPr="2BD60C81" w:rsidR="2BD60C81">
        <w:rPr>
          <w:rFonts w:ascii="Times New Roman" w:hAnsi="Times New Roman" w:eastAsia="Times New Roman" w:cs="Times New Roman"/>
          <w:i w:val="1"/>
          <w:iCs w:val="1"/>
          <w:noProof w:val="0"/>
          <w:color w:val="auto"/>
          <w:sz w:val="24"/>
          <w:szCs w:val="24"/>
          <w:lang w:val="en-GB"/>
        </w:rPr>
        <w:t xml:space="preserve"> Arthurian Tradition and Chrétien de Troyes</w:t>
      </w:r>
      <w:r w:rsidRPr="2BD60C81" w:rsidR="2BD60C81">
        <w:rPr>
          <w:rFonts w:ascii="Times New Roman" w:hAnsi="Times New Roman" w:eastAsia="Times New Roman" w:cs="Times New Roman"/>
          <w:noProof w:val="0"/>
          <w:color w:val="auto"/>
          <w:sz w:val="24"/>
          <w:szCs w:val="24"/>
          <w:lang w:val="en-GB"/>
        </w:rPr>
        <w:t xml:space="preserve">, New York: Columbia University Press.   </w:t>
      </w:r>
    </w:p>
    <w:p w:rsidR="244B0690" w:rsidP="2BD60C81" w:rsidRDefault="244B0690" w14:paraId="68F1AB99" w14:textId="31A92F3F">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Mac Cana, P. (1992) ‘The Four Branches’, in </w:t>
      </w:r>
      <w:r w:rsidRPr="2BD60C81" w:rsidR="2BD60C81">
        <w:rPr>
          <w:rFonts w:ascii="Times New Roman" w:hAnsi="Times New Roman" w:eastAsia="Times New Roman" w:cs="Times New Roman"/>
          <w:i w:val="1"/>
          <w:iCs w:val="1"/>
          <w:noProof w:val="0"/>
          <w:color w:val="auto"/>
          <w:sz w:val="24"/>
          <w:szCs w:val="24"/>
          <w:lang w:val="en-GB"/>
        </w:rPr>
        <w:t>The Mabinogi</w:t>
      </w:r>
      <w:r w:rsidRPr="2BD60C81" w:rsidR="2BD60C81">
        <w:rPr>
          <w:rFonts w:ascii="Times New Roman" w:hAnsi="Times New Roman" w:eastAsia="Times New Roman" w:cs="Times New Roman"/>
          <w:noProof w:val="0"/>
          <w:color w:val="auto"/>
          <w:sz w:val="24"/>
          <w:szCs w:val="24"/>
          <w:lang w:val="en-GB"/>
        </w:rPr>
        <w:t xml:space="preserve"> 2</w:t>
      </w:r>
      <w:r w:rsidRPr="2BD60C81" w:rsidR="2BD60C81">
        <w:rPr>
          <w:rFonts w:ascii="Times New Roman" w:hAnsi="Times New Roman" w:eastAsia="Times New Roman" w:cs="Times New Roman"/>
          <w:noProof w:val="0"/>
          <w:color w:val="auto"/>
          <w:sz w:val="24"/>
          <w:szCs w:val="24"/>
          <w:vertAlign w:val="superscript"/>
          <w:lang w:val="en-GB"/>
        </w:rPr>
        <w:t>nd</w:t>
      </w:r>
      <w:r w:rsidRPr="2BD60C81" w:rsidR="2BD60C81">
        <w:rPr>
          <w:rFonts w:ascii="Times New Roman" w:hAnsi="Times New Roman" w:eastAsia="Times New Roman" w:cs="Times New Roman"/>
          <w:noProof w:val="0"/>
          <w:color w:val="auto"/>
          <w:sz w:val="24"/>
          <w:szCs w:val="24"/>
          <w:lang w:val="en-GB"/>
        </w:rPr>
        <w:t xml:space="preserve"> edition (Cardiff: University of Wales Press).</w:t>
      </w:r>
    </w:p>
    <w:p w:rsidR="244B0690" w:rsidP="2BD60C81" w:rsidRDefault="244B0690" w14:paraId="45DA891F" w14:textId="74A821CE">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Padel, O. ‘The Nature of Arthur’, </w:t>
      </w:r>
      <w:r w:rsidRPr="2BD60C81" w:rsidR="2BD60C81">
        <w:rPr>
          <w:rFonts w:ascii="Times New Roman" w:hAnsi="Times New Roman" w:eastAsia="Times New Roman" w:cs="Times New Roman"/>
          <w:i w:val="1"/>
          <w:iCs w:val="1"/>
          <w:noProof w:val="0"/>
          <w:color w:val="auto"/>
          <w:sz w:val="24"/>
          <w:szCs w:val="24"/>
          <w:lang w:val="en-GB"/>
        </w:rPr>
        <w:t>Cambrian Medieval Celtic Studies</w:t>
      </w:r>
      <w:r w:rsidRPr="2BD60C81" w:rsidR="2BD60C81">
        <w:rPr>
          <w:rFonts w:ascii="Times New Roman" w:hAnsi="Times New Roman" w:eastAsia="Times New Roman" w:cs="Times New Roman"/>
          <w:noProof w:val="0"/>
          <w:color w:val="auto"/>
          <w:sz w:val="24"/>
          <w:szCs w:val="24"/>
          <w:lang w:val="en-GB"/>
        </w:rPr>
        <w:t>’, Volume 27 Summer, (1994), pp1-31.</w:t>
      </w:r>
    </w:p>
    <w:p w:rsidR="244B0690" w:rsidP="2BD60C81" w:rsidRDefault="244B0690" w14:paraId="32A6B5C3" w14:textId="205A9F9F">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Sims-Williams, P. (2010) ‘The Men in Bags and the Severed Head’, in </w:t>
      </w:r>
      <w:r w:rsidRPr="2BD60C81" w:rsidR="2BD60C81">
        <w:rPr>
          <w:rFonts w:ascii="Times New Roman" w:hAnsi="Times New Roman" w:eastAsia="Times New Roman" w:cs="Times New Roman"/>
          <w:i w:val="1"/>
          <w:iCs w:val="1"/>
          <w:noProof w:val="0"/>
          <w:color w:val="auto"/>
          <w:sz w:val="24"/>
          <w:szCs w:val="24"/>
          <w:lang w:val="en-GB"/>
        </w:rPr>
        <w:t>Irish Influence on Medieval Welsh Literature,</w:t>
      </w:r>
      <w:r w:rsidRPr="2BD60C81" w:rsidR="2BD60C81">
        <w:rPr>
          <w:rFonts w:ascii="Times New Roman" w:hAnsi="Times New Roman" w:eastAsia="Times New Roman" w:cs="Times New Roman"/>
          <w:noProof w:val="0"/>
          <w:color w:val="auto"/>
          <w:sz w:val="24"/>
          <w:szCs w:val="24"/>
          <w:lang w:val="en-GB"/>
        </w:rPr>
        <w:t xml:space="preserve"> (Oxford: Oxford University Press).</w:t>
      </w:r>
    </w:p>
    <w:p w:rsidR="244B0690" w:rsidP="2BD60C81" w:rsidRDefault="244B0690" w14:paraId="004A70E9" w14:textId="351895E1">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Thompson, S. (1955-1958) </w:t>
      </w:r>
      <w:r w:rsidRPr="2BD60C81" w:rsidR="2BD60C81">
        <w:rPr>
          <w:rFonts w:ascii="Times New Roman" w:hAnsi="Times New Roman" w:eastAsia="Times New Roman" w:cs="Times New Roman"/>
          <w:i w:val="1"/>
          <w:iCs w:val="1"/>
          <w:noProof w:val="0"/>
          <w:color w:val="auto"/>
          <w:sz w:val="24"/>
          <w:szCs w:val="24"/>
          <w:lang w:val="en-GB"/>
        </w:rPr>
        <w:t>Motif-Index of Folk-Literature</w:t>
      </w:r>
      <w:r w:rsidRPr="2BD60C81" w:rsidR="2BD60C81">
        <w:rPr>
          <w:rFonts w:ascii="Times New Roman" w:hAnsi="Times New Roman" w:eastAsia="Times New Roman" w:cs="Times New Roman"/>
          <w:noProof w:val="0"/>
          <w:color w:val="auto"/>
          <w:sz w:val="24"/>
          <w:szCs w:val="24"/>
          <w:lang w:val="en-GB"/>
        </w:rPr>
        <w:t>, Bloomington: Indiana University Press.</w:t>
      </w:r>
    </w:p>
    <w:p w:rsidR="244B0690" w:rsidP="2BD60C81" w:rsidRDefault="244B0690" w14:paraId="76D7E985" w14:textId="222FC66F">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Welsh, A. ‘Branwen, Beowulf, and the Tragic </w:t>
      </w:r>
      <w:proofErr w:type="spellStart"/>
      <w:r w:rsidRPr="2BD60C81" w:rsidR="2BD60C81">
        <w:rPr>
          <w:rFonts w:ascii="Times New Roman" w:hAnsi="Times New Roman" w:eastAsia="Times New Roman" w:cs="Times New Roman"/>
          <w:noProof w:val="0"/>
          <w:color w:val="auto"/>
          <w:sz w:val="24"/>
          <w:szCs w:val="24"/>
          <w:lang w:val="en-GB"/>
        </w:rPr>
        <w:t>Peaceweaving</w:t>
      </w:r>
      <w:proofErr w:type="spellEnd"/>
      <w:r w:rsidRPr="2BD60C81" w:rsidR="2BD60C81">
        <w:rPr>
          <w:rFonts w:ascii="Times New Roman" w:hAnsi="Times New Roman" w:eastAsia="Times New Roman" w:cs="Times New Roman"/>
          <w:noProof w:val="0"/>
          <w:color w:val="auto"/>
          <w:sz w:val="24"/>
          <w:szCs w:val="24"/>
          <w:lang w:val="en-GB"/>
        </w:rPr>
        <w:t xml:space="preserve"> Tale’, </w:t>
      </w:r>
      <w:r w:rsidRPr="2BD60C81" w:rsidR="2BD60C81">
        <w:rPr>
          <w:rFonts w:ascii="Times New Roman" w:hAnsi="Times New Roman" w:eastAsia="Times New Roman" w:cs="Times New Roman"/>
          <w:i w:val="1"/>
          <w:iCs w:val="1"/>
          <w:noProof w:val="0"/>
          <w:color w:val="auto"/>
          <w:sz w:val="24"/>
          <w:szCs w:val="24"/>
          <w:lang w:val="en-GB"/>
        </w:rPr>
        <w:t>Viator</w:t>
      </w:r>
      <w:r w:rsidRPr="2BD60C81" w:rsidR="2BD60C81">
        <w:rPr>
          <w:rFonts w:ascii="Times New Roman" w:hAnsi="Times New Roman" w:eastAsia="Times New Roman" w:cs="Times New Roman"/>
          <w:noProof w:val="0"/>
          <w:color w:val="auto"/>
          <w:sz w:val="24"/>
          <w:szCs w:val="24"/>
          <w:lang w:val="en-GB"/>
        </w:rPr>
        <w:t xml:space="preserve"> 22 (1991), pp1-14.</w:t>
      </w:r>
    </w:p>
    <w:p w:rsidR="244B0690" w:rsidP="2BD60C81" w:rsidRDefault="244B0690" w14:paraId="2500D801" w14:textId="67BA136C">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r w:rsidRPr="2BD60C81" w:rsidR="2BD60C81">
        <w:rPr>
          <w:rFonts w:ascii="Times New Roman" w:hAnsi="Times New Roman" w:eastAsia="Times New Roman" w:cs="Times New Roman"/>
          <w:noProof w:val="0"/>
          <w:color w:val="auto"/>
          <w:sz w:val="24"/>
          <w:szCs w:val="24"/>
          <w:lang w:val="en-GB"/>
        </w:rPr>
        <w:t xml:space="preserve">Welsh, A. ‘The Traditional Narrative Motifs of the Four Branches of the </w:t>
      </w:r>
      <w:proofErr w:type="spellStart"/>
      <w:r w:rsidRPr="2BD60C81" w:rsidR="2BD60C81">
        <w:rPr>
          <w:rFonts w:ascii="Times New Roman" w:hAnsi="Times New Roman" w:eastAsia="Times New Roman" w:cs="Times New Roman"/>
          <w:noProof w:val="0"/>
          <w:color w:val="auto"/>
          <w:sz w:val="24"/>
          <w:szCs w:val="24"/>
          <w:lang w:val="en-GB"/>
        </w:rPr>
        <w:t>Mabinogi</w:t>
      </w:r>
      <w:proofErr w:type="spellEnd"/>
      <w:r w:rsidRPr="2BD60C81" w:rsidR="2BD60C81">
        <w:rPr>
          <w:rFonts w:ascii="Times New Roman" w:hAnsi="Times New Roman" w:eastAsia="Times New Roman" w:cs="Times New Roman"/>
          <w:noProof w:val="0"/>
          <w:color w:val="auto"/>
          <w:sz w:val="24"/>
          <w:szCs w:val="24"/>
          <w:lang w:val="en-GB"/>
        </w:rPr>
        <w:t xml:space="preserve">’, </w:t>
      </w:r>
      <w:r w:rsidRPr="2BD60C81" w:rsidR="2BD60C81">
        <w:rPr>
          <w:rFonts w:ascii="Times New Roman" w:hAnsi="Times New Roman" w:eastAsia="Times New Roman" w:cs="Times New Roman"/>
          <w:i w:val="1"/>
          <w:iCs w:val="1"/>
          <w:noProof w:val="0"/>
          <w:color w:val="auto"/>
          <w:sz w:val="24"/>
          <w:szCs w:val="24"/>
          <w:lang w:val="en-GB"/>
        </w:rPr>
        <w:t>Cambridge Medieval Celtic Studies</w:t>
      </w:r>
      <w:r w:rsidRPr="2BD60C81" w:rsidR="2BD60C81">
        <w:rPr>
          <w:rFonts w:ascii="Times New Roman" w:hAnsi="Times New Roman" w:eastAsia="Times New Roman" w:cs="Times New Roman"/>
          <w:noProof w:val="0"/>
          <w:color w:val="auto"/>
          <w:sz w:val="24"/>
          <w:szCs w:val="24"/>
          <w:lang w:val="en-GB"/>
        </w:rPr>
        <w:t xml:space="preserve"> Volume 15 (1988), pp51-62.</w:t>
      </w:r>
    </w:p>
    <w:p w:rsidR="244B0690" w:rsidP="2BD60C81" w:rsidRDefault="244B0690" w14:paraId="0C3AA55F" w14:textId="3A9E9887">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p>
    <w:p w:rsidR="244B0690" w:rsidP="2BD60C81" w:rsidRDefault="244B0690" w14:paraId="2D0CEE1D" w14:textId="44D77987">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p>
    <w:p w:rsidR="244B0690" w:rsidP="2BD60C81" w:rsidRDefault="244B0690" w14:paraId="46286AEB" w14:textId="2341FD95">
      <w:pPr>
        <w:bidi w:val="0"/>
        <w:spacing w:after="120" w:line="480" w:lineRule="auto"/>
        <w:ind w:left="360" w:hanging="360"/>
        <w:jc w:val="left"/>
        <w:rPr>
          <w:rFonts w:ascii="Times New Roman" w:hAnsi="Times New Roman" w:eastAsia="Times New Roman" w:cs="Times New Roman"/>
          <w:noProof w:val="0"/>
          <w:color w:val="auto"/>
          <w:sz w:val="24"/>
          <w:szCs w:val="24"/>
          <w:lang w:val="en-GB"/>
        </w:rPr>
      </w:pPr>
    </w:p>
    <w:p w:rsidR="244B0690" w:rsidP="2BD60C81" w:rsidRDefault="244B0690" w14:paraId="04CDF555" w14:textId="555CA26F">
      <w:pPr>
        <w:pStyle w:val="Normal"/>
        <w:bidi w:val="0"/>
        <w:spacing w:before="0" w:beforeAutospacing="off" w:after="160" w:afterAutospacing="off" w:line="480" w:lineRule="auto"/>
        <w:ind w:left="0" w:right="0"/>
        <w:jc w:val="left"/>
        <w:rPr>
          <w:rFonts w:ascii="Times New Roman" w:hAnsi="Times New Roman" w:eastAsia="Times New Roman" w:cs="Times New Roman"/>
          <w:color w:val="auto"/>
          <w:sz w:val="24"/>
          <w:szCs w:val="24"/>
        </w:rPr>
      </w:pPr>
    </w:p>
    <w:p w:rsidR="4C6C50EE" w:rsidP="2BD60C81" w:rsidRDefault="4C6C50EE" w14:paraId="1BBEEE22" w14:textId="31C9C74D">
      <w:pPr>
        <w:pStyle w:val="Normal"/>
        <w:bidi w:val="0"/>
        <w:spacing w:before="0" w:beforeAutospacing="off" w:after="160" w:afterAutospacing="off" w:line="480" w:lineRule="auto"/>
        <w:ind w:left="0" w:right="0"/>
        <w:jc w:val="left"/>
        <w:rPr>
          <w:rFonts w:ascii="Times New Roman" w:hAnsi="Times New Roman" w:eastAsia="Times New Roman" w:cs="Times New Roman"/>
          <w:color w:val="auto"/>
          <w:sz w:val="24"/>
          <w:szCs w:val="24"/>
        </w:rPr>
      </w:pPr>
    </w:p>
    <w:p w:rsidR="4C6C50EE" w:rsidP="2BD60C81" w:rsidRDefault="4C6C50EE" w14:paraId="465876FD" w14:textId="1EFEE7A4">
      <w:pPr>
        <w:pStyle w:val="Normal"/>
        <w:bidi w:val="0"/>
        <w:spacing w:before="0" w:beforeAutospacing="off" w:after="160" w:afterAutospacing="off" w:line="480" w:lineRule="auto"/>
        <w:ind w:left="0" w:right="0"/>
        <w:jc w:val="left"/>
        <w:rPr>
          <w:rFonts w:ascii="Times New Roman" w:hAnsi="Times New Roman" w:eastAsia="Times New Roman" w:cs="Times New Roman"/>
          <w:color w:val="auto"/>
          <w:sz w:val="24"/>
          <w:szCs w:val="24"/>
        </w:rPr>
      </w:pPr>
    </w:p>
    <w:p w:rsidR="4C6C50EE" w:rsidP="2BD60C81" w:rsidRDefault="4C6C50EE" w14:paraId="3BD05461" w14:textId="5DD7D81D">
      <w:pPr>
        <w:pStyle w:val="Normal"/>
        <w:spacing w:line="480" w:lineRule="auto"/>
        <w:rPr>
          <w:rFonts w:ascii="Times New Roman" w:hAnsi="Times New Roman" w:eastAsia="Times New Roman" w:cs="Times New Roman"/>
          <w:color w:val="auto"/>
          <w:sz w:val="24"/>
          <w:szCs w:val="24"/>
        </w:rPr>
      </w:pPr>
    </w:p>
    <w:p w:rsidR="4C6C50EE" w:rsidP="2BD60C81" w:rsidRDefault="4C6C50EE" w14:paraId="526A8F3A" w14:textId="4F08AF9F">
      <w:pPr>
        <w:pStyle w:val="Normal"/>
        <w:spacing w:line="480" w:lineRule="auto"/>
        <w:rPr>
          <w:rFonts w:ascii="Times New Roman" w:hAnsi="Times New Roman" w:eastAsia="Times New Roman" w:cs="Times New Roman"/>
          <w:color w:val="auto"/>
          <w:sz w:val="24"/>
          <w:szCs w:val="24"/>
        </w:rPr>
      </w:pPr>
    </w:p>
    <w:sectPr>
      <w:pgSz w:w="11906" w:h="16838" w:orient="portrait"/>
      <w:pgMar w:top="1440" w:right="1440" w:bottom="1440" w:left="1440" w:header="720" w:footer="720" w:gutter="0"/>
      <w:cols w:space="720"/>
      <w:docGrid w:linePitch="360"/>
      <w:headerReference w:type="default" r:id="R3b9e581cc07c43be"/>
      <w:footerReference w:type="default" r:id="Rb2282ec1b5184783"/>
    </w:sectPr>
  </w:body>
</w:document>
</file>

<file path=word/endnotes.xml><?xml version="1.0" encoding="utf-8"?>
<w:endnotes xmlns:w14="http://schemas.microsoft.com/office/word/2010/wordml" xmlns:w="http://schemas.openxmlformats.org/wordprocessingml/2006/main">
  <w:endnote w:type="separator" w:id="-1">
    <w:p w:rsidR="6C9CED51" w:rsidRDefault="6C9CED51" w14:paraId="08539BFA" w14:textId="1FF0AFF0">
      <w:pPr>
        <w:spacing w:after="0" w:line="240" w:lineRule="auto"/>
      </w:pPr>
      <w:r>
        <w:separator/>
      </w:r>
    </w:p>
  </w:endnote>
  <w:endnote w:type="continuationSeparator" w:id="0">
    <w:p w:rsidR="6C9CED51" w:rsidRDefault="6C9CED51" w14:paraId="6D5C0037" w14:textId="0F40C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2F19547" w:rsidTr="32F19547" w14:paraId="4597D58C">
      <w:tc>
        <w:tcPr>
          <w:tcW w:w="3009" w:type="dxa"/>
          <w:tcMar/>
        </w:tcPr>
        <w:p w:rsidR="32F19547" w:rsidP="32F19547" w:rsidRDefault="32F19547" w14:paraId="38B10C43" w14:textId="64EC3F33">
          <w:pPr>
            <w:pStyle w:val="Header"/>
            <w:bidi w:val="0"/>
            <w:ind w:left="-115"/>
            <w:jc w:val="left"/>
          </w:pPr>
        </w:p>
      </w:tc>
      <w:tc>
        <w:tcPr>
          <w:tcW w:w="3009" w:type="dxa"/>
          <w:tcMar/>
        </w:tcPr>
        <w:p w:rsidR="32F19547" w:rsidP="32F19547" w:rsidRDefault="32F19547" w14:paraId="126FF857" w14:textId="59F0A52C">
          <w:pPr>
            <w:pStyle w:val="Header"/>
            <w:bidi w:val="0"/>
            <w:jc w:val="center"/>
          </w:pPr>
        </w:p>
      </w:tc>
      <w:tc>
        <w:tcPr>
          <w:tcW w:w="3009" w:type="dxa"/>
          <w:tcMar/>
        </w:tcPr>
        <w:p w:rsidR="32F19547" w:rsidP="32F19547" w:rsidRDefault="32F19547" w14:paraId="575C2A3F" w14:textId="15C88BB0">
          <w:pPr>
            <w:pStyle w:val="Header"/>
            <w:bidi w:val="0"/>
            <w:ind w:right="-115"/>
            <w:jc w:val="right"/>
          </w:pPr>
          <w:r>
            <w:fldChar w:fldCharType="begin"/>
          </w:r>
          <w:r>
            <w:instrText xml:space="preserve">PAGE</w:instrText>
          </w:r>
          <w:r>
            <w:fldChar w:fldCharType="end"/>
          </w:r>
        </w:p>
      </w:tc>
    </w:tr>
  </w:tbl>
  <w:p w:rsidR="32F19547" w:rsidP="32F19547" w:rsidRDefault="32F19547" w14:paraId="13BE9C71" w14:textId="709F40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2F19547" w:rsidTr="32F19547" w14:paraId="742E697B">
      <w:tc>
        <w:tcPr>
          <w:tcW w:w="3009" w:type="dxa"/>
          <w:tcMar/>
        </w:tcPr>
        <w:p w:rsidR="32F19547" w:rsidP="32F19547" w:rsidRDefault="32F19547" w14:paraId="5A587F66" w14:textId="0CFF3D45">
          <w:pPr>
            <w:pStyle w:val="Header"/>
            <w:bidi w:val="0"/>
            <w:ind w:left="-115"/>
            <w:jc w:val="left"/>
          </w:pPr>
        </w:p>
      </w:tc>
      <w:tc>
        <w:tcPr>
          <w:tcW w:w="3009" w:type="dxa"/>
          <w:tcMar/>
        </w:tcPr>
        <w:p w:rsidR="32F19547" w:rsidP="32F19547" w:rsidRDefault="32F19547" w14:paraId="21DA1D71" w14:textId="4AEF5E24">
          <w:pPr>
            <w:pStyle w:val="Header"/>
            <w:bidi w:val="0"/>
            <w:jc w:val="center"/>
          </w:pPr>
        </w:p>
      </w:tc>
      <w:tc>
        <w:tcPr>
          <w:tcW w:w="3009" w:type="dxa"/>
          <w:tcMar/>
        </w:tcPr>
        <w:p w:rsidR="32F19547" w:rsidP="32F19547" w:rsidRDefault="32F19547" w14:paraId="4A4D8C7B" w14:textId="49BC7B7C">
          <w:pPr>
            <w:pStyle w:val="Header"/>
            <w:bidi w:val="0"/>
            <w:ind w:right="-115"/>
            <w:jc w:val="right"/>
          </w:pPr>
        </w:p>
      </w:tc>
    </w:tr>
  </w:tbl>
  <w:p w:rsidR="32F19547" w:rsidP="32F19547" w:rsidRDefault="32F19547" w14:paraId="25E1EB45" w14:textId="5FF18C68">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A5BED8"/>
  <w15:docId w15:val="{242a8cfe-da4c-4196-9eb8-10044c80ba53}"/>
  <w:rsids>
    <w:rsidRoot w:val="5EA5BED8"/>
    <w:rsid w:val="0D3D69F2"/>
    <w:rsid w:val="1DE7C820"/>
    <w:rsid w:val="244B0690"/>
    <w:rsid w:val="26D2D62C"/>
    <w:rsid w:val="2BD60C81"/>
    <w:rsid w:val="2EDE8A64"/>
    <w:rsid w:val="32F19547"/>
    <w:rsid w:val="46D19A1C"/>
    <w:rsid w:val="47D5A2C8"/>
    <w:rsid w:val="4C6C50EE"/>
    <w:rsid w:val="543319F7"/>
    <w:rsid w:val="5EA5BED8"/>
    <w:rsid w:val="5F8C0478"/>
    <w:rsid w:val="69E0F277"/>
    <w:rsid w:val="6C9CED51"/>
  </w:rsids>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bc3a9101ad5438a" /><Relationship Type="http://schemas.openxmlformats.org/officeDocument/2006/relationships/endnotes" Target="/word/endnotes.xml" Id="Re72bb453888148f7" /><Relationship Type="http://schemas.openxmlformats.org/officeDocument/2006/relationships/header" Target="/word/header.xml" Id="R3b9e581cc07c43be" /><Relationship Type="http://schemas.openxmlformats.org/officeDocument/2006/relationships/footer" Target="/word/footer.xml" Id="Rb2282ec1b51847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Anne Wagstaffe (1903773)</dc:creator>
  <keywords/>
  <dc:description/>
  <lastModifiedBy>Anne Wagstaffe (1903773)</lastModifiedBy>
  <revision>15</revision>
  <dcterms:created xsi:type="dcterms:W3CDTF">2019-10-22T14:08:05.0969187Z</dcterms:created>
  <dcterms:modified xsi:type="dcterms:W3CDTF">2019-11-10T18:48:34.8037665Z</dcterms:modified>
</coreProperties>
</file>