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2F1B8" w14:textId="197C1C39" w:rsidR="00367705" w:rsidRDefault="00367705" w:rsidP="00CA3C56">
      <w:pPr>
        <w:rPr>
          <w:b/>
          <w:sz w:val="50"/>
          <w:szCs w:val="50"/>
        </w:rPr>
      </w:pPr>
    </w:p>
    <w:p w14:paraId="015FF125" w14:textId="77777777" w:rsidR="00367705" w:rsidRPr="00C77DD2" w:rsidRDefault="00367705" w:rsidP="00367705"/>
    <w:p w14:paraId="58B2CEFD" w14:textId="77777777" w:rsidR="00367705" w:rsidRPr="006F6E46" w:rsidRDefault="00367705" w:rsidP="00367705">
      <w:pPr>
        <w:jc w:val="center"/>
      </w:pPr>
      <w:r w:rsidRPr="006F6E46">
        <w:rPr>
          <w:noProof/>
          <w:lang w:val="en-IN" w:eastAsia="en-IN"/>
        </w:rPr>
        <w:drawing>
          <wp:inline distT="0" distB="0" distL="0" distR="0" wp14:anchorId="298E2878" wp14:editId="4DB34ADA">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5EBBA2BD" w14:textId="77777777" w:rsidR="00367705" w:rsidRPr="00C77DD2" w:rsidRDefault="00367705" w:rsidP="00367705"/>
    <w:p w14:paraId="5F5F285D" w14:textId="77777777" w:rsidR="00367705" w:rsidRPr="00C77DD2" w:rsidRDefault="00367705" w:rsidP="00367705"/>
    <w:p w14:paraId="609C73B7" w14:textId="77777777" w:rsidR="00367705" w:rsidRPr="00C77DD2" w:rsidRDefault="00367705" w:rsidP="00367705"/>
    <w:p w14:paraId="6D101DF3" w14:textId="77777777" w:rsidR="00367705" w:rsidRPr="00BE3F9A" w:rsidRDefault="00367705" w:rsidP="007F6868">
      <w:pPr>
        <w:spacing w:line="360" w:lineRule="auto"/>
        <w:rPr>
          <w:b/>
          <w:bCs/>
          <w:sz w:val="32"/>
          <w:szCs w:val="32"/>
        </w:rPr>
      </w:pPr>
      <w:r w:rsidRPr="00BE3F9A">
        <w:rPr>
          <w:rFonts w:eastAsia="Times New Roman"/>
          <w:b/>
          <w:bCs/>
          <w:sz w:val="32"/>
          <w:szCs w:val="32"/>
          <w:lang w:val="en-US"/>
        </w:rPr>
        <w:t>The Role of Artificial Intelligence (AI) in Enhancing Guest Experience</w:t>
      </w:r>
    </w:p>
    <w:p w14:paraId="1E59F7C1" w14:textId="77777777" w:rsidR="00367705" w:rsidRPr="00BE3F9A" w:rsidRDefault="00367705" w:rsidP="007F6868">
      <w:pPr>
        <w:spacing w:line="360" w:lineRule="auto"/>
        <w:rPr>
          <w:b/>
          <w:bCs/>
          <w:sz w:val="32"/>
          <w:szCs w:val="32"/>
        </w:rPr>
      </w:pPr>
      <w:r w:rsidRPr="00BE3F9A">
        <w:rPr>
          <w:rFonts w:eastAsia="Times New Roman"/>
          <w:b/>
          <w:bCs/>
          <w:sz w:val="32"/>
          <w:szCs w:val="32"/>
        </w:rPr>
        <w:t>International Meetings Management for Hotel Industry</w:t>
      </w:r>
    </w:p>
    <w:p w14:paraId="54338CCC" w14:textId="77777777" w:rsidR="00B713B8" w:rsidRDefault="00B713B8" w:rsidP="007F6868">
      <w:pPr>
        <w:spacing w:line="360" w:lineRule="auto"/>
        <w:rPr>
          <w:rFonts w:eastAsia="Times New Roman"/>
          <w:b/>
          <w:bCs/>
          <w:sz w:val="32"/>
          <w:szCs w:val="32"/>
        </w:rPr>
      </w:pPr>
    </w:p>
    <w:p w14:paraId="7C825FFB" w14:textId="1394F2CE" w:rsidR="00367705" w:rsidRPr="00BE3F9A" w:rsidRDefault="00367705" w:rsidP="007F6868">
      <w:pPr>
        <w:spacing w:line="360" w:lineRule="auto"/>
        <w:rPr>
          <w:b/>
          <w:bCs/>
          <w:sz w:val="32"/>
          <w:szCs w:val="32"/>
        </w:rPr>
      </w:pPr>
      <w:r w:rsidRPr="00BE3F9A">
        <w:rPr>
          <w:rFonts w:eastAsia="Times New Roman"/>
          <w:b/>
          <w:bCs/>
          <w:sz w:val="32"/>
          <w:szCs w:val="32"/>
        </w:rPr>
        <w:t>Student Name: Maria Magdalena Radu</w:t>
      </w:r>
    </w:p>
    <w:p w14:paraId="30A91B38" w14:textId="77777777" w:rsidR="00367705" w:rsidRPr="00BE3F9A" w:rsidRDefault="00367705" w:rsidP="007F6868">
      <w:pPr>
        <w:spacing w:line="360" w:lineRule="auto"/>
        <w:rPr>
          <w:b/>
          <w:bCs/>
          <w:sz w:val="32"/>
          <w:szCs w:val="32"/>
        </w:rPr>
      </w:pPr>
      <w:r w:rsidRPr="00BE3F9A">
        <w:rPr>
          <w:rFonts w:eastAsia="Times New Roman"/>
          <w:b/>
          <w:bCs/>
          <w:sz w:val="32"/>
          <w:szCs w:val="32"/>
        </w:rPr>
        <w:t xml:space="preserve">Student ID: </w:t>
      </w:r>
      <w:r w:rsidRPr="00BE3F9A">
        <w:rPr>
          <w:b/>
          <w:bCs/>
          <w:sz w:val="32"/>
          <w:szCs w:val="32"/>
          <w:lang w:val="en-US"/>
        </w:rPr>
        <w:t>2126508</w:t>
      </w:r>
    </w:p>
    <w:p w14:paraId="093B37A3" w14:textId="77777777" w:rsidR="00B713B8" w:rsidRDefault="00B713B8" w:rsidP="007F6868">
      <w:pPr>
        <w:spacing w:line="360" w:lineRule="auto"/>
        <w:rPr>
          <w:rFonts w:eastAsia="Times New Roman"/>
          <w:b/>
          <w:bCs/>
          <w:sz w:val="32"/>
          <w:szCs w:val="32"/>
        </w:rPr>
      </w:pPr>
    </w:p>
    <w:p w14:paraId="6285F0B5" w14:textId="58AD3E48" w:rsidR="00367705" w:rsidRPr="00BE3F9A" w:rsidRDefault="00367705" w:rsidP="007F6868">
      <w:pPr>
        <w:spacing w:line="360" w:lineRule="auto"/>
        <w:rPr>
          <w:b/>
          <w:bCs/>
          <w:sz w:val="32"/>
          <w:szCs w:val="32"/>
        </w:rPr>
      </w:pPr>
      <w:r w:rsidRPr="00BE3F9A">
        <w:rPr>
          <w:rFonts w:eastAsia="Times New Roman"/>
          <w:b/>
          <w:bCs/>
          <w:sz w:val="32"/>
          <w:szCs w:val="32"/>
        </w:rPr>
        <w:t>Module:</w:t>
      </w:r>
      <w:r>
        <w:rPr>
          <w:b/>
          <w:bCs/>
          <w:sz w:val="32"/>
          <w:szCs w:val="32"/>
        </w:rPr>
        <w:t xml:space="preserve"> </w:t>
      </w:r>
      <w:r w:rsidRPr="00BE3F9A">
        <w:rPr>
          <w:rFonts w:eastAsia="Times New Roman"/>
          <w:b/>
          <w:bCs/>
          <w:sz w:val="32"/>
          <w:szCs w:val="32"/>
        </w:rPr>
        <w:t>BMIH6007</w:t>
      </w:r>
    </w:p>
    <w:p w14:paraId="477046E4" w14:textId="77777777" w:rsidR="00367705" w:rsidRPr="00BE3F9A" w:rsidRDefault="00367705" w:rsidP="007F6868">
      <w:pPr>
        <w:spacing w:line="360" w:lineRule="auto"/>
        <w:rPr>
          <w:b/>
          <w:bCs/>
          <w:sz w:val="32"/>
          <w:szCs w:val="32"/>
        </w:rPr>
      </w:pPr>
      <w:r w:rsidRPr="00BE3F9A">
        <w:rPr>
          <w:rFonts w:eastAsia="Times New Roman"/>
          <w:b/>
          <w:bCs/>
          <w:sz w:val="32"/>
          <w:szCs w:val="32"/>
        </w:rPr>
        <w:t>Lecturer: Kathryn Flynn</w:t>
      </w:r>
    </w:p>
    <w:p w14:paraId="395C6B53" w14:textId="77777777" w:rsidR="00367705" w:rsidRPr="006F6E46" w:rsidRDefault="00367705" w:rsidP="00367705">
      <w:pPr>
        <w:jc w:val="center"/>
        <w:rPr>
          <w:b/>
          <w:bCs/>
          <w:sz w:val="32"/>
          <w:szCs w:val="32"/>
        </w:rPr>
      </w:pPr>
    </w:p>
    <w:p w14:paraId="38282FBF" w14:textId="77777777" w:rsidR="00367705" w:rsidRDefault="00367705" w:rsidP="00BA3C73">
      <w:pPr>
        <w:spacing w:line="360" w:lineRule="auto"/>
      </w:pPr>
    </w:p>
    <w:p w14:paraId="74200175" w14:textId="77777777" w:rsidR="00367705" w:rsidRDefault="00367705" w:rsidP="00BA3C73">
      <w:pPr>
        <w:spacing w:line="360" w:lineRule="auto"/>
      </w:pPr>
    </w:p>
    <w:p w14:paraId="05F7946D" w14:textId="77777777" w:rsidR="00367705" w:rsidRDefault="00367705" w:rsidP="00BA3C73">
      <w:pPr>
        <w:spacing w:line="360" w:lineRule="auto"/>
      </w:pPr>
    </w:p>
    <w:p w14:paraId="257F9BC3" w14:textId="77777777" w:rsidR="00367705" w:rsidRDefault="00367705" w:rsidP="00BA3C73">
      <w:pPr>
        <w:spacing w:line="360" w:lineRule="auto"/>
      </w:pPr>
    </w:p>
    <w:p w14:paraId="503E4724" w14:textId="77777777" w:rsidR="00367705" w:rsidRDefault="00367705" w:rsidP="00BA3C73">
      <w:pPr>
        <w:spacing w:line="360" w:lineRule="auto"/>
      </w:pPr>
    </w:p>
    <w:p w14:paraId="1BED7BAE" w14:textId="77777777" w:rsidR="00367705" w:rsidRDefault="00367705" w:rsidP="00BA3C73">
      <w:pPr>
        <w:spacing w:line="360" w:lineRule="auto"/>
      </w:pPr>
    </w:p>
    <w:p w14:paraId="6B8D8B9D" w14:textId="77777777" w:rsid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Introduction</w:t>
      </w:r>
    </w:p>
    <w:p w14:paraId="5AF2C6D4" w14:textId="6F0D47EF"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sz w:val="24"/>
          <w:szCs w:val="24"/>
        </w:rPr>
        <w:t xml:space="preserve">Artificial Intelligence (AI) remains a critical factor in the hospitality industry, improving guests' and institutional experiences (Nam et al., 2020). This research paper builds on a previous presentation that explored the feasibility of an AI-focused event at the International Convention </w:t>
      </w:r>
      <w:proofErr w:type="spellStart"/>
      <w:r w:rsidRPr="00F44CBB">
        <w:rPr>
          <w:rFonts w:ascii="Times New Roman" w:hAnsi="Times New Roman" w:cs="Times New Roman"/>
          <w:sz w:val="24"/>
          <w:szCs w:val="24"/>
        </w:rPr>
        <w:t>Center</w:t>
      </w:r>
      <w:proofErr w:type="spellEnd"/>
      <w:r w:rsidRPr="00F44CBB">
        <w:rPr>
          <w:rFonts w:ascii="Times New Roman" w:hAnsi="Times New Roman" w:cs="Times New Roman"/>
          <w:sz w:val="24"/>
          <w:szCs w:val="24"/>
        </w:rPr>
        <w:t xml:space="preserve"> (ICC) Wales, aiming to delve deeper into the strategic planning and delivery considerations necessary for its successful execution. </w:t>
      </w:r>
    </w:p>
    <w:p w14:paraId="2EC2A38F" w14:textId="2382B396"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The proposed event is about the role of artificial intelligence in revolutionising the hospitality industry. The objectives include promoting and encouraging AI solutions in the hospitality industry to enhance tailored service delivery arrangements and showcasing AI technologies among stakeholders</w:t>
      </w:r>
      <w:r w:rsidR="00F44CBB">
        <w:rPr>
          <w:rFonts w:ascii="Times New Roman" w:hAnsi="Times New Roman" w:cs="Times New Roman"/>
          <w:sz w:val="24"/>
          <w:szCs w:val="24"/>
        </w:rPr>
        <w:t>.</w:t>
      </w:r>
      <w:r w:rsidRPr="00F44CBB">
        <w:rPr>
          <w:rFonts w:ascii="Times New Roman" w:hAnsi="Times New Roman" w:cs="Times New Roman"/>
          <w:sz w:val="24"/>
          <w:szCs w:val="24"/>
        </w:rPr>
        <w:t xml:space="preserve"> By bringing together a diverse group of stakeholders, this event seeks to facilitate the exchange of best practices and cutting-edge developments in AI applications. </w:t>
      </w:r>
    </w:p>
    <w:p w14:paraId="7C09780B" w14:textId="0374663C"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venue will be ICC Wales Located in Newport South Wales off the M4 (Junction 24) highway, approximately 39 </w:t>
      </w:r>
      <w:r w:rsidR="00F44CBB" w:rsidRPr="00F44CBB">
        <w:rPr>
          <w:rFonts w:ascii="Times New Roman" w:hAnsi="Times New Roman" w:cs="Times New Roman"/>
          <w:sz w:val="24"/>
          <w:szCs w:val="24"/>
        </w:rPr>
        <w:t>kilometres</w:t>
      </w:r>
      <w:r w:rsidRPr="00F44CBB">
        <w:rPr>
          <w:rFonts w:ascii="Times New Roman" w:hAnsi="Times New Roman" w:cs="Times New Roman"/>
          <w:sz w:val="24"/>
          <w:szCs w:val="24"/>
        </w:rPr>
        <w:t xml:space="preserve"> northeast of Cardiff and 193 </w:t>
      </w:r>
      <w:r w:rsidR="00F44CBB" w:rsidRPr="00F44CBB">
        <w:rPr>
          <w:rFonts w:ascii="Times New Roman" w:hAnsi="Times New Roman" w:cs="Times New Roman"/>
          <w:sz w:val="24"/>
          <w:szCs w:val="24"/>
        </w:rPr>
        <w:t>kilometre</w:t>
      </w:r>
      <w:r w:rsidRPr="00F44CBB">
        <w:rPr>
          <w:rFonts w:ascii="Times New Roman" w:hAnsi="Times New Roman" w:cs="Times New Roman"/>
          <w:sz w:val="24"/>
          <w:szCs w:val="24"/>
        </w:rPr>
        <w:t xml:space="preserve"> west of London (ICC Wales, 2024). It is close to Cardiff airport approximately 48 </w:t>
      </w:r>
      <w:r w:rsidR="00F44CBB" w:rsidRPr="00F44CBB">
        <w:rPr>
          <w:rFonts w:ascii="Times New Roman" w:hAnsi="Times New Roman" w:cs="Times New Roman"/>
          <w:sz w:val="24"/>
          <w:szCs w:val="24"/>
        </w:rPr>
        <w:t>kilometres</w:t>
      </w:r>
      <w:r w:rsidRPr="00F44CBB">
        <w:rPr>
          <w:rFonts w:ascii="Times New Roman" w:hAnsi="Times New Roman" w:cs="Times New Roman"/>
          <w:sz w:val="24"/>
          <w:szCs w:val="24"/>
        </w:rPr>
        <w:t xml:space="preserve"> away. The choice of the venue is suitable as it is strategically placed and close to major transport networks. Furthermore, with its state-of-the-art facilities and strategic location (ICC Wales, 2024), it offers an ideal venue for hosting this event. With its outstanding features including a 4,000 square meter exhibition hall, and a 1500-seat auditorium (ICC Wales, 2024), the venue is ideal for the proposed. In addition, it boasts a serene natural environment that provides a refreshing ambience and flexible conference rooms to ensure an immersive experience for guests.</w:t>
      </w:r>
    </w:p>
    <w:p w14:paraId="124F28B2"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lastRenderedPageBreak/>
        <w:t>The Event Cycle</w:t>
      </w:r>
    </w:p>
    <w:p w14:paraId="01D90152"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The event cycle is a model of event management that describes the critical phases for effective event organisation (Bladen et al., 2022; Holmes &amp; Ali-Knight, 2017)).  Successful event management goes through three phases which include: planning, execution/implementation, and assessment/evaluation. All three phases are essential for fulfilling an event's objectives and ensuring that everyone who attends has the best experience possible. </w:t>
      </w:r>
    </w:p>
    <w:p w14:paraId="7D14534B"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The planning phase (feasibility) is the foundation of the event cycle, involving detailed preparation and organisation. This phase entails determining the event's goals, defining the relevant audience, choosing a suitable venue, and creating a proper budget. It also involves developing a detailed plan containing all the functional processes needed for marketing, promotion, staffing, and other crucial factors to become essential (Lyyti, 2021). According to Lynch (2009), the planning phase identifies the vision and the detailed actions to </w:t>
      </w:r>
      <w:proofErr w:type="spellStart"/>
      <w:r w:rsidRPr="00F44CBB">
        <w:rPr>
          <w:rFonts w:ascii="Times New Roman" w:hAnsi="Times New Roman" w:cs="Times New Roman"/>
          <w:sz w:val="24"/>
          <w:szCs w:val="24"/>
        </w:rPr>
        <w:t>fulfill</w:t>
      </w:r>
      <w:proofErr w:type="spellEnd"/>
      <w:r w:rsidRPr="00F44CBB">
        <w:rPr>
          <w:rFonts w:ascii="Times New Roman" w:hAnsi="Times New Roman" w:cs="Times New Roman"/>
          <w:sz w:val="24"/>
          <w:szCs w:val="24"/>
        </w:rPr>
        <w:t xml:space="preserve"> the vision. When carried out well, the planning phase paves a path for well-coordinated implementation and reduces the risks that may be inherent in the project. </w:t>
      </w:r>
    </w:p>
    <w:p w14:paraId="0FCC6068"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2E9B3F70"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implementation phase is the second phase of the Event cycle.   Also labelled the delivery phase, it entails the execution of the event. During this phase, stakeholders will arrange the vendors, logistics, planning, and overseeing all initiatives as scheduled. This is why excellent </w:t>
      </w:r>
      <w:proofErr w:type="gramStart"/>
      <w:r w:rsidRPr="00F44CBB">
        <w:rPr>
          <w:rFonts w:ascii="Times New Roman" w:hAnsi="Times New Roman" w:cs="Times New Roman"/>
          <w:sz w:val="24"/>
          <w:szCs w:val="24"/>
        </w:rPr>
        <w:t>communication</w:t>
      </w:r>
      <w:proofErr w:type="gramEnd"/>
      <w:r w:rsidRPr="00F44CBB">
        <w:rPr>
          <w:rFonts w:ascii="Times New Roman" w:hAnsi="Times New Roman" w:cs="Times New Roman"/>
          <w:sz w:val="24"/>
          <w:szCs w:val="24"/>
        </w:rPr>
        <w:t xml:space="preserve"> and problem-solving skills are required to solve any emergent issues that need to be solved (Silvers et al., 2005). Therefore, the outcome of the implementation phase largely depends on the planning phase that has been done and the flexibility to change the set plans. </w:t>
      </w:r>
    </w:p>
    <w:p w14:paraId="14DD745F" w14:textId="2D560334"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lastRenderedPageBreak/>
        <w:t xml:space="preserve">The evaluation phase is the last stage in the event cycle, with the primary aim being to compare the results achieved with the objectives set. This phase involves collecting feedback from attendees, </w:t>
      </w:r>
      <w:r w:rsidR="00F44CBB" w:rsidRPr="00F44CBB">
        <w:rPr>
          <w:rFonts w:ascii="Times New Roman" w:hAnsi="Times New Roman" w:cs="Times New Roman"/>
          <w:sz w:val="24"/>
          <w:szCs w:val="24"/>
        </w:rPr>
        <w:t>analysing</w:t>
      </w:r>
      <w:r w:rsidRPr="00F44CBB">
        <w:rPr>
          <w:rFonts w:ascii="Times New Roman" w:hAnsi="Times New Roman" w:cs="Times New Roman"/>
          <w:sz w:val="24"/>
          <w:szCs w:val="24"/>
        </w:rPr>
        <w:t xml:space="preserve"> performance metrics, and identifying areas for improvement (</w:t>
      </w:r>
      <w:proofErr w:type="spellStart"/>
      <w:r w:rsidRPr="00F44CBB">
        <w:rPr>
          <w:rFonts w:ascii="Times New Roman" w:hAnsi="Times New Roman" w:cs="Times New Roman"/>
          <w:sz w:val="24"/>
          <w:szCs w:val="24"/>
        </w:rPr>
        <w:t>Addimando</w:t>
      </w:r>
      <w:proofErr w:type="spellEnd"/>
      <w:r w:rsidRPr="00F44CBB">
        <w:rPr>
          <w:rFonts w:ascii="Times New Roman" w:hAnsi="Times New Roman" w:cs="Times New Roman"/>
          <w:sz w:val="24"/>
          <w:szCs w:val="24"/>
        </w:rPr>
        <w:t xml:space="preserve">, 2024). Evaluation of the event offers information that can be used to improve event activities and functions, hence using lessons learned in future events. Since stakeholders provide feedback concerning previous events, they help enhance the strategies and increase the success rate in the following occasions. </w:t>
      </w:r>
    </w:p>
    <w:p w14:paraId="0EC61B55"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Event Concept</w:t>
      </w:r>
    </w:p>
    <w:p w14:paraId="611355E8" w14:textId="57C5AD7E"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concept of the proposed AI-focused event is to share experiences and discuss the effectiveness and further usage of artificial intelligence in the hospitality industry. Scheduled to occur at the ICC Wales, this event would feature comprehensive and lively elements of the attendees' experience as envisaged by the event schedule and sessions. </w:t>
      </w:r>
    </w:p>
    <w:p w14:paraId="3DD390CE" w14:textId="559D9F2D"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sessions will start with the plenary session. According to </w:t>
      </w:r>
      <w:proofErr w:type="spellStart"/>
      <w:r w:rsidRPr="00F44CBB">
        <w:rPr>
          <w:rFonts w:ascii="Times New Roman" w:hAnsi="Times New Roman" w:cs="Times New Roman"/>
          <w:sz w:val="24"/>
          <w:szCs w:val="24"/>
        </w:rPr>
        <w:t>Globalconference</w:t>
      </w:r>
      <w:proofErr w:type="spellEnd"/>
      <w:r w:rsidRPr="00F44CBB">
        <w:rPr>
          <w:rFonts w:ascii="Times New Roman" w:hAnsi="Times New Roman" w:cs="Times New Roman"/>
          <w:sz w:val="24"/>
          <w:szCs w:val="24"/>
        </w:rPr>
        <w:t xml:space="preserve"> (2024), plenary sessions are critical components of an event where important decisions are made and determine the outcome of the event.  During this session, AI experts present AI's current development and potential use in the hospitality industry. More panels and practical discussions concerning AI-based guest experience, operating models, and data protection will accompany this. These sessions are intended to foster debates and sharing of information and ideas among the key stakeholders, including the business/industry, technology suppliers, and academia (High Point University, 2022; </w:t>
      </w:r>
      <w:proofErr w:type="spellStart"/>
      <w:r w:rsidRPr="00F44CBB">
        <w:rPr>
          <w:rFonts w:ascii="Times New Roman" w:hAnsi="Times New Roman" w:cs="Times New Roman"/>
          <w:sz w:val="24"/>
          <w:szCs w:val="24"/>
        </w:rPr>
        <w:t>Globalconference</w:t>
      </w:r>
      <w:proofErr w:type="spellEnd"/>
      <w:r w:rsidRPr="00F44CBB">
        <w:rPr>
          <w:rFonts w:ascii="Times New Roman" w:hAnsi="Times New Roman" w:cs="Times New Roman"/>
          <w:sz w:val="24"/>
          <w:szCs w:val="24"/>
        </w:rPr>
        <w:t xml:space="preserve">, 2024). </w:t>
      </w:r>
    </w:p>
    <w:p w14:paraId="7866FB69" w14:textId="1AF06A7A"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An essential element will be the demonstration of working programs and the exposition of emerging technologies related to artificial intelligence. Guests will witness how various service industries could benefit from AI technologies, such as recommendation and registration systems, big data, and automated analytics for equipment failure forecasts. These </w:t>
      </w:r>
      <w:r w:rsidRPr="00F44CBB">
        <w:rPr>
          <w:rFonts w:ascii="Times New Roman" w:hAnsi="Times New Roman" w:cs="Times New Roman"/>
          <w:sz w:val="24"/>
          <w:szCs w:val="24"/>
        </w:rPr>
        <w:lastRenderedPageBreak/>
        <w:t xml:space="preserve">exhibits will be set in a way that they will </w:t>
      </w:r>
      <w:proofErr w:type="gramStart"/>
      <w:r w:rsidRPr="00F44CBB">
        <w:rPr>
          <w:rFonts w:ascii="Times New Roman" w:hAnsi="Times New Roman" w:cs="Times New Roman"/>
          <w:sz w:val="24"/>
          <w:szCs w:val="24"/>
        </w:rPr>
        <w:t>be located in</w:t>
      </w:r>
      <w:proofErr w:type="gramEnd"/>
      <w:r w:rsidRPr="00F44CBB">
        <w:rPr>
          <w:rFonts w:ascii="Times New Roman" w:hAnsi="Times New Roman" w:cs="Times New Roman"/>
          <w:sz w:val="24"/>
          <w:szCs w:val="24"/>
        </w:rPr>
        <w:t xml:space="preserve"> different areas within a single area, so people will have to move from one area to cover all the exhibits (Wang, 2024). </w:t>
      </w:r>
    </w:p>
    <w:p w14:paraId="21C7DD6A"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Socialising prospects will be created when the schedule is designed to have special sessions for different levels of talks and business. Also, there will be special networking facilities where the attendees can access fellow attendees for partnership, business, or other related ventures. Therefore, this aspect of the event seeks to help people connect and enhance the co-development of artificial intelligence applications (Simons, 2018). </w:t>
      </w:r>
    </w:p>
    <w:p w14:paraId="0B85DF23"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Aim and Objectives of the Meeting/Event</w:t>
      </w:r>
    </w:p>
    <w:p w14:paraId="29CDFAF6" w14:textId="143177BB"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aim of the AI-centred event at ICC Wales is to investigate and showcase that AI implementation is viable and valuable within the hospitality business. Thus, it aims to improve guests' experiences with proper AI technology implementation, encourage further discussions, and share effective practices between companies (Ruel and Njoku, 2020). </w:t>
      </w:r>
    </w:p>
    <w:p w14:paraId="5E218083" w14:textId="77777777" w:rsidR="006515C3" w:rsidRPr="00F44CBB" w:rsidRDefault="006515C3" w:rsidP="006515C3">
      <w:pPr>
        <w:spacing w:line="480" w:lineRule="auto"/>
        <w:ind w:firstLine="720"/>
        <w:jc w:val="both"/>
        <w:rPr>
          <w:rFonts w:ascii="Times New Roman" w:hAnsi="Times New Roman" w:cs="Times New Roman"/>
          <w:sz w:val="24"/>
          <w:szCs w:val="24"/>
        </w:rPr>
      </w:pPr>
      <w:r w:rsidRPr="00F44CBB">
        <w:rPr>
          <w:rFonts w:ascii="Times New Roman" w:hAnsi="Times New Roman" w:cs="Times New Roman"/>
          <w:sz w:val="24"/>
          <w:szCs w:val="24"/>
        </w:rPr>
        <w:t xml:space="preserve">Other objectives include: </w:t>
      </w:r>
    </w:p>
    <w:p w14:paraId="464C16ED" w14:textId="77777777" w:rsidR="006515C3" w:rsidRPr="00F44CBB" w:rsidRDefault="006515C3" w:rsidP="006515C3">
      <w:pPr>
        <w:pStyle w:val="ListParagraph"/>
        <w:numPr>
          <w:ilvl w:val="0"/>
          <w:numId w:val="1"/>
        </w:numPr>
        <w:spacing w:after="0" w:line="480" w:lineRule="auto"/>
        <w:rPr>
          <w:rFonts w:ascii="Times New Roman" w:hAnsi="Times New Roman" w:cs="Times New Roman"/>
          <w:sz w:val="24"/>
          <w:szCs w:val="24"/>
        </w:rPr>
      </w:pPr>
      <w:r w:rsidRPr="00F44CBB">
        <w:rPr>
          <w:rFonts w:ascii="Times New Roman" w:hAnsi="Times New Roman" w:cs="Times New Roman"/>
          <w:sz w:val="24"/>
          <w:szCs w:val="24"/>
        </w:rPr>
        <w:t>To demonstrate the newest trends and implementation of AI technologies in the hospitality industry and give the attendees an idea of how AI can help solve organisational issues and enhance guests' experiences (</w:t>
      </w:r>
      <w:proofErr w:type="spellStart"/>
      <w:r w:rsidRPr="00F44CBB">
        <w:rPr>
          <w:rFonts w:ascii="Times New Roman" w:hAnsi="Times New Roman" w:cs="Times New Roman"/>
          <w:sz w:val="24"/>
          <w:szCs w:val="24"/>
        </w:rPr>
        <w:t>Bulchand-Gidumal</w:t>
      </w:r>
      <w:proofErr w:type="spellEnd"/>
      <w:r w:rsidRPr="00F44CBB">
        <w:rPr>
          <w:rFonts w:ascii="Times New Roman" w:hAnsi="Times New Roman" w:cs="Times New Roman"/>
          <w:sz w:val="24"/>
          <w:szCs w:val="24"/>
        </w:rPr>
        <w:t xml:space="preserve"> et al., 2023). This shall be accomplished through keynote sessions, live demonstrations, and highly participative workshops.</w:t>
      </w:r>
    </w:p>
    <w:p w14:paraId="70186D2B" w14:textId="77777777" w:rsidR="006515C3" w:rsidRPr="00F44CBB" w:rsidRDefault="006515C3" w:rsidP="006515C3">
      <w:pPr>
        <w:pStyle w:val="ListParagraph"/>
        <w:numPr>
          <w:ilvl w:val="0"/>
          <w:numId w:val="1"/>
        </w:numPr>
        <w:spacing w:after="0"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Collaborating with AI solution vendors, hospitality management specialists, and technology specialists. Thus, as an interactive platform offering diverse ways to connect, the event is designed to help industry players find new cooperation prospects and promote AI project development. </w:t>
      </w:r>
    </w:p>
    <w:p w14:paraId="41322EC7" w14:textId="77777777" w:rsidR="00F44CBB" w:rsidRDefault="006515C3" w:rsidP="00F44CBB">
      <w:pPr>
        <w:pStyle w:val="ListParagraph"/>
        <w:numPr>
          <w:ilvl w:val="0"/>
          <w:numId w:val="1"/>
        </w:numPr>
        <w:spacing w:after="0"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To provide tangible ideas and products that can be transferred directly to applying organisations. Through presentations of real-life cases and best </w:t>
      </w:r>
      <w:r w:rsidRPr="00F44CBB">
        <w:rPr>
          <w:rFonts w:ascii="Times New Roman" w:hAnsi="Times New Roman" w:cs="Times New Roman"/>
          <w:sz w:val="24"/>
          <w:szCs w:val="24"/>
        </w:rPr>
        <w:lastRenderedPageBreak/>
        <w:t>practices, the event will explain how to apply AI and improve the organisation's competitive advantage and guests' experience.</w:t>
      </w:r>
    </w:p>
    <w:p w14:paraId="30280F2A" w14:textId="1DD64C19" w:rsidR="006515C3" w:rsidRPr="00F44CBB" w:rsidRDefault="006515C3" w:rsidP="00F44CBB">
      <w:pPr>
        <w:spacing w:after="0" w:line="480" w:lineRule="auto"/>
        <w:jc w:val="both"/>
        <w:rPr>
          <w:rFonts w:ascii="Times New Roman" w:hAnsi="Times New Roman" w:cs="Times New Roman"/>
          <w:sz w:val="24"/>
          <w:szCs w:val="24"/>
        </w:rPr>
      </w:pPr>
      <w:r w:rsidRPr="00F44CBB">
        <w:rPr>
          <w:rFonts w:ascii="Times New Roman" w:hAnsi="Times New Roman" w:cs="Times New Roman"/>
          <w:b/>
          <w:bCs/>
          <w:sz w:val="24"/>
          <w:szCs w:val="24"/>
        </w:rPr>
        <w:t>Event Operations</w:t>
      </w:r>
    </w:p>
    <w:p w14:paraId="15E1818C" w14:textId="77777777" w:rsid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Timely event operations are essential to the success of the AI-focused event at ICC Wales (</w:t>
      </w:r>
      <w:proofErr w:type="spellStart"/>
      <w:r w:rsidRPr="00F44CBB">
        <w:rPr>
          <w:rFonts w:ascii="Times New Roman" w:hAnsi="Times New Roman" w:cs="Times New Roman"/>
          <w:sz w:val="24"/>
          <w:szCs w:val="24"/>
        </w:rPr>
        <w:t>Biaett</w:t>
      </w:r>
      <w:proofErr w:type="spellEnd"/>
      <w:r w:rsidRPr="00F44CBB">
        <w:rPr>
          <w:rFonts w:ascii="Times New Roman" w:hAnsi="Times New Roman" w:cs="Times New Roman"/>
          <w:sz w:val="24"/>
          <w:szCs w:val="24"/>
        </w:rPr>
        <w:t xml:space="preserve"> &amp; Richards, 2020). This section states various assets, workforce, and collaborations that must be established to avoid inconvenience and ensure attendees leave with a memorable experience. </w:t>
      </w:r>
    </w:p>
    <w:p w14:paraId="5BB94C60" w14:textId="0AD12E15"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The event management team should be composed of professionals with specific education and backgrounds in planning and organising events and people management. Proven administrative skills are helpful when organising different aspects of the context, such as programming the sessions and engaging vendors and service providers (</w:t>
      </w:r>
      <w:proofErr w:type="spellStart"/>
      <w:r w:rsidRPr="00F44CBB">
        <w:rPr>
          <w:rFonts w:ascii="Times New Roman" w:hAnsi="Times New Roman" w:cs="Times New Roman"/>
          <w:sz w:val="24"/>
          <w:szCs w:val="24"/>
        </w:rPr>
        <w:t>Biaett</w:t>
      </w:r>
      <w:proofErr w:type="spellEnd"/>
      <w:r w:rsidRPr="00F44CBB">
        <w:rPr>
          <w:rFonts w:ascii="Times New Roman" w:hAnsi="Times New Roman" w:cs="Times New Roman"/>
          <w:sz w:val="24"/>
          <w:szCs w:val="24"/>
        </w:rPr>
        <w:t xml:space="preserve"> &amp; Richards, 2020; Victoria University, 2024). Furthermore, effective communication skills are essential since they help provide accurate and concise directions to the staff and other engaged parties (Victoria University, 2024). </w:t>
      </w:r>
    </w:p>
    <w:p w14:paraId="6EB3D890"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Another significant aspect of event management is resource management. There are employees such as event organisers, technical people, chefs and their assistants, and security personnel. To enhance functioning, it is mandatory to have all the team members well-trained and informed about their duties. Also, the event will necessitate logistic commodities and items, including audiovisual staging, seating arrangements, and general hall signs leading people to their destinations (</w:t>
      </w:r>
      <w:r w:rsidRPr="00F44CBB">
        <w:rPr>
          <w:rFonts w:ascii="Times New Roman" w:eastAsia="Segoe UI" w:hAnsi="Times New Roman" w:cs="Times New Roman"/>
          <w:color w:val="0D0D0D"/>
          <w:sz w:val="24"/>
          <w:szCs w:val="24"/>
          <w:shd w:val="clear" w:color="auto" w:fill="FFFFFF"/>
        </w:rPr>
        <w:t>Falmouth University, 2020)</w:t>
      </w:r>
      <w:r w:rsidRPr="00F44CBB">
        <w:rPr>
          <w:rFonts w:ascii="Times New Roman" w:hAnsi="Times New Roman" w:cs="Times New Roman"/>
          <w:sz w:val="24"/>
          <w:szCs w:val="24"/>
        </w:rPr>
        <w:t xml:space="preserve">. </w:t>
      </w:r>
    </w:p>
    <w:p w14:paraId="0487F66A"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Vendor management is essential; hence, close cooperation with the suppliers of goods and services is expected for the event. This entails ensuring suitable catering services and arrangements to entertain VIPs by providing them with transport and accommodation and checking on all the equipment and technology used during the occasion. Day-to-day </w:t>
      </w:r>
      <w:r w:rsidRPr="00F44CBB">
        <w:rPr>
          <w:rFonts w:ascii="Times New Roman" w:hAnsi="Times New Roman" w:cs="Times New Roman"/>
          <w:sz w:val="24"/>
          <w:szCs w:val="24"/>
        </w:rPr>
        <w:lastRenderedPageBreak/>
        <w:t xml:space="preserve">coordination with the vendors and a calendar integrated with the event schedule will help deal with these issues. </w:t>
      </w:r>
    </w:p>
    <w:p w14:paraId="6F04FBC6" w14:textId="073387E4"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Therefore, risk management is one of the most crucial processes in event operations. Risk management factors that should be observed include technical catastrophes, health and safety concerns, and possible interruptions; these effects should be minimised by conducting proper risk assessments and developing contingency plans. Following the seven legal requirements, including first aid stations and correct measures, is critical (University of California, 2023). </w:t>
      </w:r>
    </w:p>
    <w:p w14:paraId="2D3BCEC5"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6A782E82"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1F9D345A"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Event Budget</w:t>
      </w:r>
    </w:p>
    <w:p w14:paraId="6CEE3596" w14:textId="5EF0F9DD"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Developing a detailed budget is relevant to successfully organising the AI-</w:t>
      </w:r>
      <w:proofErr w:type="spellStart"/>
      <w:r w:rsidRPr="00F44CBB">
        <w:rPr>
          <w:rFonts w:ascii="Times New Roman" w:hAnsi="Times New Roman" w:cs="Times New Roman"/>
          <w:sz w:val="24"/>
          <w:szCs w:val="24"/>
        </w:rPr>
        <w:t>centered</w:t>
      </w:r>
      <w:proofErr w:type="spellEnd"/>
      <w:r w:rsidRPr="00F44CBB">
        <w:rPr>
          <w:rFonts w:ascii="Times New Roman" w:hAnsi="Times New Roman" w:cs="Times New Roman"/>
          <w:sz w:val="24"/>
          <w:szCs w:val="24"/>
        </w:rPr>
        <w:t xml:space="preserve"> event at ICC Wales (Getz and Page, 2019). This has to include a breakdown of all the possible income streams and every store's </w:t>
      </w:r>
      <w:proofErr w:type="gramStart"/>
      <w:r w:rsidRPr="00F44CBB">
        <w:rPr>
          <w:rFonts w:ascii="Times New Roman" w:hAnsi="Times New Roman" w:cs="Times New Roman"/>
          <w:sz w:val="24"/>
          <w:szCs w:val="24"/>
        </w:rPr>
        <w:t>expenditures</w:t>
      </w:r>
      <w:proofErr w:type="gramEnd"/>
      <w:r w:rsidRPr="00F44CBB">
        <w:rPr>
          <w:rFonts w:ascii="Times New Roman" w:hAnsi="Times New Roman" w:cs="Times New Roman"/>
          <w:sz w:val="24"/>
          <w:szCs w:val="24"/>
        </w:rPr>
        <w:t xml:space="preserve"> to make it economically stable. </w:t>
      </w:r>
    </w:p>
    <w:p w14:paraId="098AB3FB"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Income Sources</w:t>
      </w:r>
    </w:p>
    <w:p w14:paraId="29275AA8" w14:textId="5DAE6A6D"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primary sources of income for the event will include registration fees, sponsorships, exhibitor fees, merchandise sales, and food and beverage sales. Tickets can help raise money initially, while sponsorships from companies can help save a lot of money. Additionally, extravagances such as charging fees to exhibitors who want to demonstrate their AI systems can fetch a lot of money (Eventbrite, 2019). </w:t>
      </w:r>
    </w:p>
    <w:p w14:paraId="65CDBAE4"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Expenditure</w:t>
      </w:r>
    </w:p>
    <w:p w14:paraId="2087B132"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Some of the significant expenses include staff and personnel, accommodations, publicity and advertisement, information technology and equipment, and other miscellaneous. Event coordinators and technical and security staff will likely cost between £4000 and £10000. </w:t>
      </w:r>
      <w:r w:rsidRPr="00F44CBB">
        <w:rPr>
          <w:rFonts w:ascii="Times New Roman" w:hAnsi="Times New Roman" w:cs="Times New Roman"/>
          <w:sz w:val="24"/>
          <w:szCs w:val="24"/>
        </w:rPr>
        <w:lastRenderedPageBreak/>
        <w:t>Rental costs and setting up a venue and all the required facilities are estimated to be between £2,000 and £10,000. Marketing and promotion, which is very important for attendance, is estimated to range from £1000-£5000 while technology and equipment, which include audiovisual and internet, are estimated at £500-£3000. The cost for the special guests will be the hospitality and transportation, which will take between £1,000 and £5,000.</w:t>
      </w:r>
    </w:p>
    <w:p w14:paraId="10A58204"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3879856E"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2900ACB9"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Budget Management</w:t>
      </w:r>
    </w:p>
    <w:p w14:paraId="19EEEDEE" w14:textId="0735BAF5"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Controlling and monitoring one's spending is equally essential when working with a budget (Eventbrite, 2019). Budget management software can effectively monitor expenses and ensure that all the organisation's financial activities are within the budget. Further, the budget should include contingency funds that cover unexpected expenses or emergencies (van </w:t>
      </w:r>
      <w:proofErr w:type="spellStart"/>
      <w:r w:rsidRPr="00F44CBB">
        <w:rPr>
          <w:rFonts w:ascii="Times New Roman" w:hAnsi="Times New Roman" w:cs="Times New Roman"/>
          <w:sz w:val="24"/>
          <w:szCs w:val="24"/>
        </w:rPr>
        <w:t>Teunenbroek</w:t>
      </w:r>
      <w:proofErr w:type="spellEnd"/>
      <w:r w:rsidRPr="00F44CBB">
        <w:rPr>
          <w:rFonts w:ascii="Times New Roman" w:hAnsi="Times New Roman" w:cs="Times New Roman"/>
          <w:sz w:val="24"/>
          <w:szCs w:val="24"/>
        </w:rPr>
        <w:t xml:space="preserve">, Chiesa, and Hesse, 2023). </w:t>
      </w:r>
    </w:p>
    <w:p w14:paraId="7E2A8A31"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Financial Oversight</w:t>
      </w:r>
    </w:p>
    <w:p w14:paraId="4104659F"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Budget reviews and audits, whether daily, weekly, monthly, quarterly, or annual, are vital in ensuring that the organisation's financial management is accessible from compromises (Adeusi, </w:t>
      </w:r>
      <w:proofErr w:type="spellStart"/>
      <w:r w:rsidRPr="00F44CBB">
        <w:rPr>
          <w:rFonts w:ascii="Times New Roman" w:hAnsi="Times New Roman" w:cs="Times New Roman"/>
          <w:sz w:val="24"/>
          <w:szCs w:val="24"/>
        </w:rPr>
        <w:t>Jejeniwa</w:t>
      </w:r>
      <w:proofErr w:type="spellEnd"/>
      <w:r w:rsidRPr="00F44CBB">
        <w:rPr>
          <w:rFonts w:ascii="Times New Roman" w:hAnsi="Times New Roman" w:cs="Times New Roman"/>
          <w:sz w:val="24"/>
          <w:szCs w:val="24"/>
        </w:rPr>
        <w:t xml:space="preserve">, and </w:t>
      </w:r>
      <w:proofErr w:type="spellStart"/>
      <w:r w:rsidRPr="00F44CBB">
        <w:rPr>
          <w:rFonts w:ascii="Times New Roman" w:hAnsi="Times New Roman" w:cs="Times New Roman"/>
          <w:sz w:val="24"/>
          <w:szCs w:val="24"/>
        </w:rPr>
        <w:t>Jejeniwa</w:t>
      </w:r>
      <w:proofErr w:type="spellEnd"/>
      <w:r w:rsidRPr="00F44CBB">
        <w:rPr>
          <w:rFonts w:ascii="Times New Roman" w:hAnsi="Times New Roman" w:cs="Times New Roman"/>
          <w:sz w:val="24"/>
          <w:szCs w:val="24"/>
        </w:rPr>
        <w:t xml:space="preserve">, 2024). These reviews will assist in detecting such gaps and indicate that funds are being appropriately utilised. When the financial reports of the programs are disclosed to the stakeholders and sponsors, trust and accountability will also be built. </w:t>
      </w:r>
    </w:p>
    <w:p w14:paraId="60BB6D49"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Industry Trends/Issues/Impacts</w:t>
      </w:r>
    </w:p>
    <w:p w14:paraId="115C7246" w14:textId="3351F6F0"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AI is widely adopted in the hospitality industry to improve guests' satisfaction and profitability (Nam et al., 2020). Trends include customer-centricity, working with data and </w:t>
      </w:r>
      <w:r w:rsidRPr="00F44CBB">
        <w:rPr>
          <w:rFonts w:ascii="Times New Roman" w:hAnsi="Times New Roman" w:cs="Times New Roman"/>
          <w:sz w:val="24"/>
          <w:szCs w:val="24"/>
        </w:rPr>
        <w:lastRenderedPageBreak/>
        <w:t>analytics, and automation by integrating AI solutions. It is critical to comprehend such tendencies and their implications better to outline the objectives and strategies for successfully hosting an AI-oriented event at ICC Wales</w:t>
      </w:r>
    </w:p>
    <w:p w14:paraId="2298985C" w14:textId="77777777" w:rsidR="006515C3" w:rsidRPr="00F44CBB" w:rsidRDefault="006515C3" w:rsidP="006515C3">
      <w:pPr>
        <w:rPr>
          <w:rFonts w:ascii="Times New Roman" w:hAnsi="Times New Roman" w:cs="Times New Roman"/>
          <w:sz w:val="24"/>
          <w:szCs w:val="24"/>
        </w:rPr>
      </w:pPr>
      <w:r w:rsidRPr="00F44CBB">
        <w:rPr>
          <w:rFonts w:ascii="Times New Roman" w:hAnsi="Times New Roman" w:cs="Times New Roman"/>
          <w:sz w:val="24"/>
          <w:szCs w:val="24"/>
        </w:rPr>
        <w:t>.</w:t>
      </w:r>
    </w:p>
    <w:p w14:paraId="5319CC59"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Personalised Services</w:t>
      </w:r>
    </w:p>
    <w:p w14:paraId="1FC164C0" w14:textId="6A7B15EC"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AI makes the service of guests unique since, by using technology, the organisation can anticipate the guests' needs and proceed to meet them. With the help of artificial intelligence, the prospects of chatbots and virtual assistants consist of selecting the personal appeals of guests and offering prompt and individualised replies, enhancing </w:t>
      </w:r>
      <w:proofErr w:type="gramStart"/>
      <w:r w:rsidRPr="00F44CBB">
        <w:rPr>
          <w:rFonts w:ascii="Times New Roman" w:hAnsi="Times New Roman" w:cs="Times New Roman"/>
          <w:sz w:val="24"/>
          <w:szCs w:val="24"/>
        </w:rPr>
        <w:t>satisfaction(</w:t>
      </w:r>
      <w:proofErr w:type="gramEnd"/>
      <w:r w:rsidRPr="00F44CBB">
        <w:rPr>
          <w:rFonts w:ascii="Times New Roman" w:hAnsi="Times New Roman" w:cs="Times New Roman"/>
          <w:sz w:val="24"/>
          <w:szCs w:val="24"/>
        </w:rPr>
        <w:t xml:space="preserve">Nam et al., 2020; </w:t>
      </w:r>
      <w:proofErr w:type="spellStart"/>
      <w:r w:rsidRPr="00F44CBB">
        <w:rPr>
          <w:rFonts w:ascii="Times New Roman" w:hAnsi="Times New Roman" w:cs="Times New Roman"/>
          <w:sz w:val="24"/>
          <w:szCs w:val="24"/>
        </w:rPr>
        <w:t>Bulchand-Gidumal</w:t>
      </w:r>
      <w:proofErr w:type="spellEnd"/>
      <w:r w:rsidRPr="00F44CBB">
        <w:rPr>
          <w:rFonts w:ascii="Times New Roman" w:hAnsi="Times New Roman" w:cs="Times New Roman"/>
          <w:sz w:val="24"/>
          <w:szCs w:val="24"/>
        </w:rPr>
        <w:t xml:space="preserve"> et al., 2023)). For instance, generative AI can be applied to create individual suggestions for places to eat and play, as well as to organise recreational activities, thus enriching the guest's experience. </w:t>
      </w:r>
    </w:p>
    <w:p w14:paraId="5942DB3C" w14:textId="77777777" w:rsidR="006515C3" w:rsidRPr="00F44CBB" w:rsidRDefault="006515C3" w:rsidP="00B93822">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Data-Driven Decision-Making</w:t>
      </w:r>
    </w:p>
    <w:p w14:paraId="74E1838E" w14:textId="3564F6DC" w:rsidR="006515C3" w:rsidRPr="00F44CBB" w:rsidRDefault="006515C3" w:rsidP="00B93822">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Technology is vital in hospitality, particularly in amassing and processing big data and changing decisions. Through AI, big data is analysed from multiple sources, and business intelligence is delivered to support hotel operations, covering decisions like price setting, employees' scheduling, and all related requirements (Haleem et al., 2022). It contributes to making good operations, increasing efficiency, decreasing expenses, and enhancing service delivery. </w:t>
      </w:r>
    </w:p>
    <w:p w14:paraId="0A80DAF8"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Operational Efficiency</w:t>
      </w:r>
    </w:p>
    <w:p w14:paraId="0C5D23A7"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AI is also being used to support all the well-known repetitive business operations; thus, the staff is being released to manage more specific and valuable operations. Furthermore, AI systems can easily undertake check-ins and check-out check-ins and check-outs, AI systems, inventory control, and even anticipate the need for maintenance, hence removing barriers to </w:t>
      </w:r>
      <w:r w:rsidRPr="00F44CBB">
        <w:rPr>
          <w:rFonts w:ascii="Times New Roman" w:hAnsi="Times New Roman" w:cs="Times New Roman"/>
          <w:sz w:val="24"/>
          <w:szCs w:val="24"/>
        </w:rPr>
        <w:lastRenderedPageBreak/>
        <w:t>efficiency (</w:t>
      </w:r>
      <w:proofErr w:type="spellStart"/>
      <w:r w:rsidRPr="00F44CBB">
        <w:rPr>
          <w:rFonts w:ascii="Times New Roman" w:hAnsi="Times New Roman" w:cs="Times New Roman"/>
          <w:sz w:val="24"/>
          <w:szCs w:val="24"/>
        </w:rPr>
        <w:t>Bulchand-Gidumal</w:t>
      </w:r>
      <w:proofErr w:type="spellEnd"/>
      <w:r w:rsidRPr="00F44CBB">
        <w:rPr>
          <w:rFonts w:ascii="Times New Roman" w:hAnsi="Times New Roman" w:cs="Times New Roman"/>
          <w:sz w:val="24"/>
          <w:szCs w:val="24"/>
        </w:rPr>
        <w:t xml:space="preserve"> et al., 2023). The latter is beneficial in augmenting productivity and adding value to the guest experience. </w:t>
      </w:r>
    </w:p>
    <w:p w14:paraId="6C2D830D"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SWOT Analysis</w:t>
      </w:r>
    </w:p>
    <w:p w14:paraId="29096B35" w14:textId="0F04FC8B"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Since it is essential to identify the significant advantages, disadvantages, and threats associated with implementing this approach, it is necessary to assess the Automotive Industry's Strengths, Weaknesses, Opportunities, and Threats (</w:t>
      </w:r>
      <w:proofErr w:type="spellStart"/>
      <w:r w:rsidRPr="00F44CBB">
        <w:rPr>
          <w:rFonts w:ascii="Times New Roman" w:hAnsi="Times New Roman" w:cs="Times New Roman"/>
          <w:sz w:val="24"/>
          <w:szCs w:val="24"/>
        </w:rPr>
        <w:t>SmartDraw</w:t>
      </w:r>
      <w:proofErr w:type="spellEnd"/>
      <w:r w:rsidRPr="00F44CBB">
        <w:rPr>
          <w:rFonts w:ascii="Times New Roman" w:hAnsi="Times New Roman" w:cs="Times New Roman"/>
          <w:sz w:val="24"/>
          <w:szCs w:val="24"/>
        </w:rPr>
        <w:t xml:space="preserve">, 2018). The former focuses on accommodating customer needs, while the latter involves achieving better organisational effectiveness. Limitations may include the first cost or expense of introducing AI innovations in a specific business or organisation and corporal employee resistance. The strengths at </w:t>
      </w:r>
      <w:proofErr w:type="spellStart"/>
      <w:r w:rsidRPr="00F44CBB">
        <w:rPr>
          <w:rFonts w:ascii="Times New Roman" w:hAnsi="Times New Roman" w:cs="Times New Roman"/>
          <w:sz w:val="24"/>
          <w:szCs w:val="24"/>
        </w:rPr>
        <w:t>Augmentors</w:t>
      </w:r>
      <w:proofErr w:type="spellEnd"/>
      <w:r w:rsidRPr="00F44CBB">
        <w:rPr>
          <w:rFonts w:ascii="Times New Roman" w:hAnsi="Times New Roman" w:cs="Times New Roman"/>
          <w:sz w:val="24"/>
          <w:szCs w:val="24"/>
        </w:rPr>
        <w:t xml:space="preserve">' disposal are prospects in the intelligent hospitality solutions market, whereas the weaknesses could be data privacy violations and problems with technology systems. </w:t>
      </w:r>
    </w:p>
    <w:p w14:paraId="69628FDE"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PESTLE Analysis</w:t>
      </w:r>
    </w:p>
    <w:p w14:paraId="053619A9"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PESTLE analysis helps determine the factors that are out of the organisation's control and might influence the event. A few examples of political factors are legal guidelines about data protection and the utilisation of AI. Economic factors pertain to expenses to be incurred while implementing the AI technology and the profitability of the investment (CIPD, 2017). The social factors include guest acceptance of AI and staff working in organisational AI adaptation. Technological factors pertain to a company's accessibility and the sophistication of AI applications. Legal concerns are related to data protection, while the environment looks at the impact of implementing AI. </w:t>
      </w:r>
    </w:p>
    <w:p w14:paraId="07830BFD"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Cultural and Situational Considerations</w:t>
      </w:r>
    </w:p>
    <w:p w14:paraId="496FA71A"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 Cultural and situational factors are central to the planning and implementation of an AI-themed conference at ICC Wales. The conference will discuss incorporating culturally </w:t>
      </w:r>
      <w:r w:rsidRPr="00F44CBB">
        <w:rPr>
          <w:rFonts w:ascii="Times New Roman" w:hAnsi="Times New Roman" w:cs="Times New Roman"/>
          <w:sz w:val="24"/>
          <w:szCs w:val="24"/>
        </w:rPr>
        <w:lastRenderedPageBreak/>
        <w:t>sensitive approaches and practices devoid of offensively insensitive practices that could be considered otherwise insensitive in other parts of the world.</w:t>
      </w:r>
    </w:p>
    <w:p w14:paraId="5B6A6124"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1B1D93F9"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58C26E87"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Cultural Sensitivity</w:t>
      </w:r>
    </w:p>
    <w:p w14:paraId="36171E4A"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When designing and implementing conferences, leaders must be aware of the cultural background of the participants. They must appreciate the cultural differences in universal informed consent, decision-making, and communication expectations. For example, the attendance must consider the unique needs of attendees, such as the choice of meals during the event, which can be addressed with catering services (Events and MICE in the Hospitality Industry). Further, posting multilingual notices and providing translation services can be helpful to internationals staying at the establishment, and they will be unrestricted due to language differences.</w:t>
      </w:r>
    </w:p>
    <w:p w14:paraId="2FF1D048"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Situational Awareness</w:t>
      </w:r>
    </w:p>
    <w:p w14:paraId="6AD01400"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Another type of environmental conditions that may affect the choice of strategies in planning an event are situational factors, including the existing layout of the venue, the customs of the country and region, and the seasons. The planned event shall take place at the ICC Wales, equipped with modern technologies to support the event. However, transport, parking space, and accommodation must be well organised for the event to run smoothly—accessibility of the function's venue and previous directions to the same impact on testimonials received.</w:t>
      </w:r>
    </w:p>
    <w:p w14:paraId="4B9C2688"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Inclusivity and Accessibility</w:t>
      </w:r>
    </w:p>
    <w:p w14:paraId="407F03DA"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event should be elaborated to consider that people with disabilities will also attend as the audience. This includes choosing a site that is accessible and providing services, including </w:t>
      </w:r>
      <w:r w:rsidRPr="00F44CBB">
        <w:rPr>
          <w:rFonts w:ascii="Times New Roman" w:hAnsi="Times New Roman" w:cs="Times New Roman"/>
          <w:sz w:val="24"/>
          <w:szCs w:val="24"/>
        </w:rPr>
        <w:lastRenderedPageBreak/>
        <w:t>accessible rooms, front-sign interpreters, and TDD equipment. Also, a clear statement of the accessibility features of the event in all the communication materials used to advertise the event assists the participants in planning their attendance.</w:t>
      </w:r>
    </w:p>
    <w:p w14:paraId="63C390DE"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Local Customs and Regulations</w:t>
      </w:r>
    </w:p>
    <w:p w14:paraId="60998A36"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Failure to observe the culture is considered a sign of disrespect, while failing to observe the legal requirements may result in liability to the law. Familiarising oneself with the laws within the host nation concerning personal data, AI technology, and event organising helps avoid legal issues (Crewe, 2024). Incorporating local governments and officials into planning such events will effectively ensure compliance with the nation's laws and practices of the region.</w:t>
      </w:r>
    </w:p>
    <w:p w14:paraId="7D58133A"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Practical Application and Deployment</w:t>
      </w:r>
    </w:p>
    <w:p w14:paraId="36E6A191"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The best examples of the practical use of AI and AI solutions will be presented at the AI pioneers' event at ICC Wales, showing the possibilities of applying AI in the hotel industry (Cheong et al., 2023). Thus, the event participants' efforts aim to demonstrate concrete instances of how AI might be beneficial.</w:t>
      </w:r>
    </w:p>
    <w:p w14:paraId="48D0F724"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AI Implementation</w:t>
      </w:r>
    </w:p>
    <w:p w14:paraId="13A5F427"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Other vital outputs will showcase AI usage in various areas, including visitors' reception, recommendations for local attractions, and customer care chatbots (Shahin, F. Frank Chen, and Hosseinzadeh, 2024). This will further demonstrate how AI can increase functional effectiveness and guest satisfaction.</w:t>
      </w:r>
    </w:p>
    <w:p w14:paraId="60942800"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Case Studies and Best Practices</w:t>
      </w:r>
    </w:p>
    <w:p w14:paraId="2ECF6BCE"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lastRenderedPageBreak/>
        <w:t>These events will also include examples of AI applications and presentations of companies that actively use AI in their practice. These sessions will present real-life cases and best practice examples to reflect on AI's main obstacles and the outcomes of initial adopters.</w:t>
      </w:r>
    </w:p>
    <w:p w14:paraId="66679593"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Interactive Workshops</w:t>
      </w:r>
    </w:p>
    <w:p w14:paraId="2EE21D24"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Some example activities that can be included in the congress program are as follows: Interactive workshops will allow people to try artificial intelligence technologies and tools firsthand (Chen, 2023). These working sessions will entail implementing and incorporating specific AI and related technologies into the hospitality industry servicing environments for registered participants' organisations.</w:t>
      </w:r>
    </w:p>
    <w:p w14:paraId="3384C7C5"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Networking and Collaboration</w:t>
      </w:r>
    </w:p>
    <w:p w14:paraId="07F0944E"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Opportunities for business meetings will allow attendees to interact with various AI solutions providers, information specialists, and other like-minded people (Aksoy et al., 2019). These interactions will enhance collaboration and knowledge sharing, increasing the use of AI in the hospitality industry.</w:t>
      </w:r>
    </w:p>
    <w:p w14:paraId="33762F9B" w14:textId="77777777" w:rsidR="006515C3" w:rsidRPr="00F44CBB" w:rsidRDefault="006515C3" w:rsidP="00F44CBB">
      <w:pPr>
        <w:spacing w:line="480" w:lineRule="auto"/>
        <w:rPr>
          <w:rFonts w:ascii="Times New Roman" w:hAnsi="Times New Roman" w:cs="Times New Roman"/>
          <w:b/>
          <w:bCs/>
          <w:sz w:val="24"/>
          <w:szCs w:val="24"/>
        </w:rPr>
      </w:pPr>
      <w:r w:rsidRPr="00F44CBB">
        <w:rPr>
          <w:rFonts w:ascii="Times New Roman" w:hAnsi="Times New Roman" w:cs="Times New Roman"/>
          <w:b/>
          <w:bCs/>
          <w:sz w:val="24"/>
          <w:szCs w:val="24"/>
        </w:rPr>
        <w:t>Conclusion</w:t>
      </w:r>
    </w:p>
    <w:p w14:paraId="580D1AC9" w14:textId="77777777" w:rsidR="006515C3" w:rsidRPr="00F44CBB" w:rsidRDefault="006515C3" w:rsidP="00F44CBB">
      <w:pPr>
        <w:spacing w:line="480" w:lineRule="auto"/>
        <w:jc w:val="both"/>
        <w:rPr>
          <w:rFonts w:ascii="Times New Roman" w:hAnsi="Times New Roman" w:cs="Times New Roman"/>
          <w:sz w:val="24"/>
          <w:szCs w:val="24"/>
        </w:rPr>
      </w:pPr>
      <w:r w:rsidRPr="00F44CBB">
        <w:rPr>
          <w:rFonts w:ascii="Times New Roman" w:hAnsi="Times New Roman" w:cs="Times New Roman"/>
          <w:sz w:val="24"/>
          <w:szCs w:val="24"/>
        </w:rPr>
        <w:t xml:space="preserve">The AI-focused event at ICC Wales will highlight ways and opportunities for AI's further usage in hospitality through proper planning. Since the thrust of the event is on illustrations of the applications, information sharing, and culture or situation uniqueness, it becomes relevant towards promoting AI implementation across the industry. The opportunity AI presents for the future is improved guest experience and productivity in the hospitality industry; hence, the industry stands to benefit a lot. Proper planning and great implementation will contribute to the high results of the event and generate insights and ideas in the sphere of the industry. It will pave the way for positive change and further advancement synthesis. By implementing the above strategies, the proposed event will meet its objective. </w:t>
      </w:r>
    </w:p>
    <w:p w14:paraId="4854440B" w14:textId="77777777" w:rsidR="00F44CBB" w:rsidRDefault="00F44CBB" w:rsidP="00F44CBB">
      <w:pPr>
        <w:pStyle w:val="Heading1"/>
        <w:keepNext w:val="0"/>
        <w:keepLines w:val="0"/>
        <w:spacing w:before="0" w:after="360"/>
        <w:rPr>
          <w:b/>
          <w:sz w:val="36"/>
          <w:szCs w:val="36"/>
        </w:rPr>
      </w:pPr>
      <w:r>
        <w:rPr>
          <w:b/>
          <w:sz w:val="36"/>
          <w:szCs w:val="36"/>
        </w:rPr>
        <w:lastRenderedPageBreak/>
        <w:t>Reference list</w:t>
      </w:r>
    </w:p>
    <w:p w14:paraId="4126FDE3" w14:textId="692194BF" w:rsidR="006515C3" w:rsidRPr="00F44CBB" w:rsidRDefault="006515C3" w:rsidP="00F44CBB">
      <w:pPr>
        <w:rPr>
          <w:rFonts w:ascii="Times New Roman" w:hAnsi="Times New Roman" w:cs="Times New Roman"/>
          <w:sz w:val="24"/>
          <w:szCs w:val="24"/>
        </w:rPr>
      </w:pPr>
      <w:proofErr w:type="spellStart"/>
      <w:r w:rsidRPr="00F44CBB">
        <w:rPr>
          <w:rFonts w:ascii="Times New Roman" w:hAnsi="Times New Roman" w:cs="Times New Roman"/>
          <w:sz w:val="24"/>
          <w:szCs w:val="24"/>
        </w:rPr>
        <w:t>Addimando</w:t>
      </w:r>
      <w:proofErr w:type="spellEnd"/>
      <w:r w:rsidRPr="00F44CBB">
        <w:rPr>
          <w:rFonts w:ascii="Times New Roman" w:hAnsi="Times New Roman" w:cs="Times New Roman"/>
          <w:sz w:val="24"/>
          <w:szCs w:val="24"/>
        </w:rPr>
        <w:t xml:space="preserve">, F. (2024). Beyond the Booth: Post-event Analysis. </w:t>
      </w:r>
      <w:proofErr w:type="spellStart"/>
      <w:r w:rsidRPr="00F44CBB">
        <w:rPr>
          <w:rFonts w:ascii="Times New Roman" w:hAnsi="Times New Roman" w:cs="Times New Roman"/>
          <w:i/>
          <w:iCs/>
          <w:sz w:val="24"/>
          <w:szCs w:val="24"/>
        </w:rPr>
        <w:t>SpringerBriefs</w:t>
      </w:r>
      <w:proofErr w:type="spellEnd"/>
      <w:r w:rsidRPr="00F44CBB">
        <w:rPr>
          <w:rFonts w:ascii="Times New Roman" w:hAnsi="Times New Roman" w:cs="Times New Roman"/>
          <w:i/>
          <w:iCs/>
          <w:sz w:val="24"/>
          <w:szCs w:val="24"/>
        </w:rPr>
        <w:t xml:space="preserve"> in psychology</w:t>
      </w:r>
      <w:r w:rsidRPr="00F44CBB">
        <w:rPr>
          <w:rFonts w:ascii="Times New Roman" w:hAnsi="Times New Roman" w:cs="Times New Roman"/>
          <w:sz w:val="24"/>
          <w:szCs w:val="24"/>
        </w:rPr>
        <w:t xml:space="preserve">, pp.123–143. </w:t>
      </w:r>
      <w:proofErr w:type="spellStart"/>
      <w:proofErr w:type="gramStart"/>
      <w:r w:rsidRPr="00F44CBB">
        <w:rPr>
          <w:rFonts w:ascii="Times New Roman" w:hAnsi="Times New Roman" w:cs="Times New Roman"/>
          <w:sz w:val="24"/>
          <w:szCs w:val="24"/>
        </w:rPr>
        <w:t>doi:https</w:t>
      </w:r>
      <w:proofErr w:type="spellEnd"/>
      <w:r w:rsidRPr="00F44CBB">
        <w:rPr>
          <w:rFonts w:ascii="Times New Roman" w:hAnsi="Times New Roman" w:cs="Times New Roman"/>
          <w:sz w:val="24"/>
          <w:szCs w:val="24"/>
        </w:rPr>
        <w:t>://doi.org/10.1007/978-3-031-53606-9_8</w:t>
      </w:r>
      <w:proofErr w:type="gramEnd"/>
      <w:r w:rsidRPr="00F44CBB">
        <w:rPr>
          <w:rFonts w:ascii="Times New Roman" w:hAnsi="Times New Roman" w:cs="Times New Roman"/>
          <w:sz w:val="24"/>
          <w:szCs w:val="24"/>
        </w:rPr>
        <w:t>.</w:t>
      </w:r>
    </w:p>
    <w:p w14:paraId="0FE6BED7"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Adeusi, K.B., </w:t>
      </w:r>
      <w:proofErr w:type="spellStart"/>
      <w:r w:rsidRPr="00F44CBB">
        <w:t>Jejeniwa</w:t>
      </w:r>
      <w:proofErr w:type="spellEnd"/>
      <w:r w:rsidRPr="00F44CBB">
        <w:t xml:space="preserve">, T.O. and </w:t>
      </w:r>
      <w:proofErr w:type="spellStart"/>
      <w:r w:rsidRPr="00F44CBB">
        <w:t>Jejeniwa</w:t>
      </w:r>
      <w:proofErr w:type="spellEnd"/>
      <w:r w:rsidRPr="00F44CBB">
        <w:t xml:space="preserve">, T.O. (2024). Advancing financial transparency and ethical governance: innovative cost management and accountability in higher education and industry. </w:t>
      </w:r>
      <w:r w:rsidRPr="00F44CBB">
        <w:rPr>
          <w:i/>
          <w:iCs/>
        </w:rPr>
        <w:t>International Journal of Management &amp; Entrepreneurship Research</w:t>
      </w:r>
      <w:r w:rsidRPr="00F44CBB">
        <w:t xml:space="preserve">, [online] 6(5), pp.1533–1546. </w:t>
      </w:r>
      <w:proofErr w:type="spellStart"/>
      <w:proofErr w:type="gramStart"/>
      <w:r w:rsidRPr="00F44CBB">
        <w:rPr>
          <w:color w:val="0000FF"/>
          <w:u w:val="single"/>
        </w:rPr>
        <w:t>doi:https</w:t>
      </w:r>
      <w:proofErr w:type="spellEnd"/>
      <w:r w:rsidRPr="00F44CBB">
        <w:rPr>
          <w:color w:val="0000FF"/>
          <w:u w:val="single"/>
        </w:rPr>
        <w:t>://doi.org/10.51594/ijmer.v6i5.1099</w:t>
      </w:r>
      <w:proofErr w:type="gramEnd"/>
      <w:r w:rsidRPr="00F44CBB">
        <w:rPr>
          <w:color w:val="0000FF"/>
          <w:u w:val="single"/>
        </w:rPr>
        <w:t>.</w:t>
      </w:r>
    </w:p>
    <w:p w14:paraId="2233FBA0"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rPr>
          <w:color w:val="000000" w:themeColor="text1"/>
        </w:rPr>
        <w:t xml:space="preserve">Aksoy, L., Guilloux, L., </w:t>
      </w:r>
      <w:proofErr w:type="spellStart"/>
      <w:r w:rsidRPr="00F44CBB">
        <w:rPr>
          <w:color w:val="000000" w:themeColor="text1"/>
        </w:rPr>
        <w:t>Duneigre</w:t>
      </w:r>
      <w:proofErr w:type="spellEnd"/>
      <w:r w:rsidRPr="00F44CBB">
        <w:rPr>
          <w:color w:val="000000" w:themeColor="text1"/>
        </w:rPr>
        <w:t>, H. and Keita, S. (2019). Viewpoint: service research priorities – bridging the academic and practitioner perspectives. Journal of Services Marketing, 33(5), pp.626–631</w:t>
      </w:r>
      <w:r w:rsidRPr="00F44CBB">
        <w:rPr>
          <w:color w:val="0000FF"/>
          <w:u w:val="single"/>
        </w:rPr>
        <w:t xml:space="preserve"> doi.org/10.1108/jsm-03-2019-0147.</w:t>
      </w:r>
    </w:p>
    <w:p w14:paraId="3F48E179" w14:textId="77777777" w:rsidR="006515C3" w:rsidRPr="00F44CBB" w:rsidRDefault="006515C3" w:rsidP="006515C3">
      <w:pPr>
        <w:spacing w:before="100" w:beforeAutospacing="1" w:after="100" w:afterAutospacing="1"/>
        <w:ind w:left="567" w:hanging="567"/>
        <w:rPr>
          <w:rFonts w:ascii="Times New Roman" w:eastAsia="Times New Roman" w:hAnsi="Times New Roman" w:cs="Times New Roman"/>
          <w:sz w:val="24"/>
          <w:szCs w:val="24"/>
        </w:rPr>
      </w:pPr>
      <w:proofErr w:type="spellStart"/>
      <w:r w:rsidRPr="00F44CBB">
        <w:rPr>
          <w:rFonts w:ascii="Times New Roman" w:eastAsia="Times New Roman" w:hAnsi="Times New Roman" w:cs="Times New Roman"/>
          <w:sz w:val="24"/>
          <w:szCs w:val="24"/>
        </w:rPr>
        <w:t>Biaett</w:t>
      </w:r>
      <w:proofErr w:type="spellEnd"/>
      <w:r w:rsidRPr="00F44CBB">
        <w:rPr>
          <w:rFonts w:ascii="Times New Roman" w:eastAsia="Times New Roman" w:hAnsi="Times New Roman" w:cs="Times New Roman"/>
          <w:sz w:val="24"/>
          <w:szCs w:val="24"/>
        </w:rPr>
        <w:t xml:space="preserve">, V. and Richards, G. (2020) ‘Event experiences: Measurement and meaning’, </w:t>
      </w:r>
      <w:r w:rsidRPr="00F44CBB">
        <w:rPr>
          <w:rFonts w:ascii="Times New Roman" w:eastAsia="Times New Roman" w:hAnsi="Times New Roman" w:cs="Times New Roman"/>
          <w:i/>
          <w:iCs/>
          <w:sz w:val="24"/>
          <w:szCs w:val="24"/>
        </w:rPr>
        <w:t xml:space="preserve">Journal of Policy Research in Tourism, </w:t>
      </w:r>
      <w:proofErr w:type="gramStart"/>
      <w:r w:rsidRPr="00F44CBB">
        <w:rPr>
          <w:rFonts w:ascii="Times New Roman" w:eastAsia="Times New Roman" w:hAnsi="Times New Roman" w:cs="Times New Roman"/>
          <w:i/>
          <w:iCs/>
          <w:sz w:val="24"/>
          <w:szCs w:val="24"/>
        </w:rPr>
        <w:t>Leisure</w:t>
      </w:r>
      <w:proofErr w:type="gramEnd"/>
      <w:r w:rsidRPr="00F44CBB">
        <w:rPr>
          <w:rFonts w:ascii="Times New Roman" w:eastAsia="Times New Roman" w:hAnsi="Times New Roman" w:cs="Times New Roman"/>
          <w:i/>
          <w:iCs/>
          <w:sz w:val="24"/>
          <w:szCs w:val="24"/>
        </w:rPr>
        <w:t xml:space="preserve"> and Events</w:t>
      </w:r>
      <w:r w:rsidRPr="00F44CBB">
        <w:rPr>
          <w:rFonts w:ascii="Times New Roman" w:eastAsia="Times New Roman" w:hAnsi="Times New Roman" w:cs="Times New Roman"/>
          <w:sz w:val="24"/>
          <w:szCs w:val="24"/>
        </w:rPr>
        <w:t>, 12(3), pp. 277–292. doi:10.1080/19407963.2020.1820146.</w:t>
      </w:r>
    </w:p>
    <w:p w14:paraId="69FEA935"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Bladen, C., Wilde, N., Kennell, J. and Abson, E. (2022). Events Management. </w:t>
      </w:r>
      <w:proofErr w:type="spellStart"/>
      <w:proofErr w:type="gramStart"/>
      <w:r w:rsidRPr="00F44CBB">
        <w:rPr>
          <w:color w:val="0000FF"/>
          <w:u w:val="single"/>
        </w:rPr>
        <w:t>doi:https</w:t>
      </w:r>
      <w:proofErr w:type="spellEnd"/>
      <w:r w:rsidRPr="00F44CBB">
        <w:rPr>
          <w:color w:val="0000FF"/>
          <w:u w:val="single"/>
        </w:rPr>
        <w:t>://doi.org/10.4324/9781003102878</w:t>
      </w:r>
      <w:proofErr w:type="gramEnd"/>
      <w:r w:rsidRPr="00F44CBB">
        <w:rPr>
          <w:color w:val="0000FF"/>
          <w:u w:val="single"/>
        </w:rPr>
        <w:t>.</w:t>
      </w:r>
    </w:p>
    <w:p w14:paraId="69AE56AE" w14:textId="77777777" w:rsidR="006515C3" w:rsidRPr="00F44CBB" w:rsidRDefault="006515C3" w:rsidP="006515C3">
      <w:pPr>
        <w:pStyle w:val="NormalWeb"/>
        <w:spacing w:before="0" w:beforeAutospacing="0" w:after="210" w:afterAutospacing="0" w:line="360" w:lineRule="auto"/>
        <w:ind w:left="720" w:hanging="720"/>
      </w:pPr>
      <w:proofErr w:type="spellStart"/>
      <w:r w:rsidRPr="00F44CBB">
        <w:t>Bulchand-Gidumal</w:t>
      </w:r>
      <w:proofErr w:type="spellEnd"/>
      <w:r w:rsidRPr="00F44CBB">
        <w:t xml:space="preserve">, J., </w:t>
      </w:r>
      <w:proofErr w:type="spellStart"/>
      <w:r w:rsidRPr="00F44CBB">
        <w:t>Secin</w:t>
      </w:r>
      <w:proofErr w:type="spellEnd"/>
      <w:r w:rsidRPr="00F44CBB">
        <w:t xml:space="preserve">, E.W., O’Connor, P. and </w:t>
      </w:r>
      <w:proofErr w:type="spellStart"/>
      <w:r w:rsidRPr="00F44CBB">
        <w:t>Buhalis</w:t>
      </w:r>
      <w:proofErr w:type="spellEnd"/>
      <w:r w:rsidRPr="00F44CBB">
        <w:t xml:space="preserve">, D. (2023). Artificial intelligence’s impact on hospitality and tourism marketing: exploring key themes and addressing challenges. </w:t>
      </w:r>
      <w:r w:rsidRPr="00F44CBB">
        <w:rPr>
          <w:i/>
          <w:iCs/>
        </w:rPr>
        <w:t>Current Issues in Tourism</w:t>
      </w:r>
      <w:r w:rsidRPr="00F44CBB">
        <w:t xml:space="preserve">, [online] pp.1–18. </w:t>
      </w:r>
      <w:proofErr w:type="spellStart"/>
      <w:proofErr w:type="gramStart"/>
      <w:r w:rsidRPr="00F44CBB">
        <w:rPr>
          <w:color w:val="0000FF"/>
          <w:u w:val="single"/>
        </w:rPr>
        <w:t>doi:https</w:t>
      </w:r>
      <w:proofErr w:type="spellEnd"/>
      <w:r w:rsidRPr="00F44CBB">
        <w:rPr>
          <w:color w:val="0000FF"/>
          <w:u w:val="single"/>
        </w:rPr>
        <w:t>://doi.org/10.1080/13683500.2023.2229480</w:t>
      </w:r>
      <w:proofErr w:type="gramEnd"/>
      <w:r w:rsidRPr="00F44CBB">
        <w:rPr>
          <w:color w:val="0000FF"/>
          <w:u w:val="single"/>
        </w:rPr>
        <w:t>.</w:t>
      </w:r>
    </w:p>
    <w:p w14:paraId="604037C9" w14:textId="77777777" w:rsidR="006515C3" w:rsidRPr="00F44CBB" w:rsidRDefault="006515C3" w:rsidP="006515C3">
      <w:pPr>
        <w:pStyle w:val="NormalWeb"/>
        <w:spacing w:before="0" w:beforeAutospacing="0" w:after="210" w:afterAutospacing="0" w:line="360" w:lineRule="auto"/>
        <w:ind w:left="720" w:hanging="720"/>
      </w:pPr>
      <w:r w:rsidRPr="00F44CBB">
        <w:t xml:space="preserve">Chen, Z. (2023). Ethics and Discrimination in Artificial intelligence-enabled Recruitment Practices. </w:t>
      </w:r>
      <w:r w:rsidRPr="00F44CBB">
        <w:rPr>
          <w:i/>
          <w:iCs/>
        </w:rPr>
        <w:t>Humanities and Social Sciences Communications</w:t>
      </w:r>
      <w:r w:rsidRPr="00F44CBB">
        <w:t xml:space="preserve">, [online] 10(1), pp.1–12. </w:t>
      </w:r>
      <w:proofErr w:type="spellStart"/>
      <w:proofErr w:type="gramStart"/>
      <w:r w:rsidRPr="00F44CBB">
        <w:rPr>
          <w:color w:val="0000FF"/>
          <w:u w:val="single"/>
        </w:rPr>
        <w:t>doi:https</w:t>
      </w:r>
      <w:proofErr w:type="spellEnd"/>
      <w:r w:rsidRPr="00F44CBB">
        <w:rPr>
          <w:color w:val="0000FF"/>
          <w:u w:val="single"/>
        </w:rPr>
        <w:t>://doi.org/10.1057/s41599-023-02079-x</w:t>
      </w:r>
      <w:proofErr w:type="gramEnd"/>
      <w:r w:rsidRPr="00F44CBB">
        <w:t>.</w:t>
      </w:r>
    </w:p>
    <w:p w14:paraId="1AA90D69" w14:textId="77777777" w:rsidR="006515C3" w:rsidRPr="00F44CBB" w:rsidRDefault="006515C3" w:rsidP="006515C3">
      <w:pPr>
        <w:pStyle w:val="NormalWeb"/>
        <w:spacing w:before="0" w:beforeAutospacing="0" w:after="210" w:afterAutospacing="0" w:line="360" w:lineRule="auto"/>
        <w:ind w:left="720" w:hanging="720"/>
      </w:pPr>
      <w:r w:rsidRPr="00F44CBB">
        <w:t xml:space="preserve">Cheong, F., Huang, Q., Ye, H. and Law, R. (2023). Application and Consequences of Service Robots in Tourism and Hospitality Scenarios: A Systematic Literature Review. </w:t>
      </w:r>
      <w:r w:rsidRPr="00F44CBB">
        <w:rPr>
          <w:i/>
          <w:iCs/>
        </w:rPr>
        <w:t>Journal of Quality Assurance in Hospitality &amp; Tourism</w:t>
      </w:r>
      <w:r w:rsidRPr="00F44CBB">
        <w:t xml:space="preserve">, pp.1–23. </w:t>
      </w:r>
      <w:proofErr w:type="spellStart"/>
      <w:proofErr w:type="gramStart"/>
      <w:r w:rsidRPr="00F44CBB">
        <w:rPr>
          <w:color w:val="0000FF"/>
          <w:u w:val="single"/>
        </w:rPr>
        <w:t>doi:https</w:t>
      </w:r>
      <w:proofErr w:type="spellEnd"/>
      <w:r w:rsidRPr="00F44CBB">
        <w:rPr>
          <w:color w:val="0000FF"/>
          <w:u w:val="single"/>
        </w:rPr>
        <w:t>://doi.org/10.1080/1528008x.2023.2300119</w:t>
      </w:r>
      <w:proofErr w:type="gramEnd"/>
      <w:r w:rsidRPr="00F44CBB">
        <w:rPr>
          <w:color w:val="0000FF"/>
          <w:u w:val="single"/>
        </w:rPr>
        <w:t>.</w:t>
      </w:r>
    </w:p>
    <w:p w14:paraId="6274447E" w14:textId="77777777" w:rsidR="006515C3" w:rsidRPr="00F44CBB" w:rsidRDefault="006515C3" w:rsidP="006515C3">
      <w:pPr>
        <w:pStyle w:val="NormalWeb"/>
        <w:spacing w:before="0" w:beforeAutospacing="0" w:after="210" w:afterAutospacing="0" w:line="360" w:lineRule="auto"/>
        <w:ind w:left="720" w:hanging="720"/>
        <w:rPr>
          <w:rStyle w:val="Hyperlink"/>
        </w:rPr>
      </w:pPr>
      <w:r w:rsidRPr="00F44CBB">
        <w:t xml:space="preserve">CIPD (2017). </w:t>
      </w:r>
      <w:r w:rsidRPr="00F44CBB">
        <w:rPr>
          <w:i/>
          <w:iCs/>
        </w:rPr>
        <w:t>PESTLE analysis</w:t>
      </w:r>
      <w:r w:rsidRPr="00F44CBB">
        <w:t xml:space="preserve">. [online] YouTube. Available at: </w:t>
      </w:r>
      <w:hyperlink r:id="rId6" w:history="1">
        <w:r w:rsidRPr="00F44CBB">
          <w:rPr>
            <w:rStyle w:val="Hyperlink"/>
          </w:rPr>
          <w:t>https://youtu.be/GFVKKTwkANY?si=HvYk43GRgbE_hpA1</w:t>
        </w:r>
      </w:hyperlink>
    </w:p>
    <w:p w14:paraId="21747D54" w14:textId="77777777" w:rsidR="006515C3" w:rsidRPr="00F44CBB" w:rsidRDefault="006515C3" w:rsidP="006515C3">
      <w:pPr>
        <w:pStyle w:val="NormalWeb"/>
        <w:spacing w:before="0" w:beforeAutospacing="0" w:after="210" w:afterAutospacing="0" w:line="360" w:lineRule="auto"/>
        <w:ind w:left="720" w:hanging="720"/>
      </w:pPr>
      <w:r w:rsidRPr="00F44CBB">
        <w:lastRenderedPageBreak/>
        <w:t xml:space="preserve">Crewe, E. (2024). Parliamentary standards under attack: an interdisciplinary approach to understanding the Westminster Parliament. </w:t>
      </w:r>
      <w:r w:rsidRPr="00F44CBB">
        <w:rPr>
          <w:i/>
          <w:iCs/>
        </w:rPr>
        <w:t>Journal of legislative studies</w:t>
      </w:r>
      <w:r w:rsidRPr="00F44CBB">
        <w:t xml:space="preserve">, pp.1–21. </w:t>
      </w:r>
      <w:proofErr w:type="spellStart"/>
      <w:proofErr w:type="gramStart"/>
      <w:r w:rsidRPr="00F44CBB">
        <w:rPr>
          <w:color w:val="0000FF"/>
          <w:u w:val="single"/>
        </w:rPr>
        <w:t>doi:https</w:t>
      </w:r>
      <w:proofErr w:type="spellEnd"/>
      <w:r w:rsidRPr="00F44CBB">
        <w:rPr>
          <w:color w:val="0000FF"/>
          <w:u w:val="single"/>
        </w:rPr>
        <w:t>://doi.org/10.1080/13572334.2024.2345036</w:t>
      </w:r>
      <w:proofErr w:type="gramEnd"/>
      <w:r w:rsidRPr="00F44CBB">
        <w:t>.</w:t>
      </w:r>
    </w:p>
    <w:p w14:paraId="0CF8B40B" w14:textId="77777777" w:rsidR="006515C3" w:rsidRPr="00F44CBB" w:rsidRDefault="006515C3" w:rsidP="006515C3">
      <w:pPr>
        <w:pStyle w:val="NormalWeb"/>
        <w:spacing w:before="0" w:beforeAutospacing="0" w:after="210" w:afterAutospacing="0" w:line="360" w:lineRule="auto"/>
        <w:ind w:left="720" w:hanging="720"/>
      </w:pPr>
      <w:r w:rsidRPr="00F44CBB">
        <w:t xml:space="preserve">Eventbrite (2019). How to get funding for an event (8 Ideas). [online] Eventbrite UK. Available at: </w:t>
      </w:r>
      <w:hyperlink r:id="rId7" w:history="1">
        <w:r w:rsidRPr="00F44CBB">
          <w:rPr>
            <w:rStyle w:val="Hyperlink"/>
          </w:rPr>
          <w:t>https://www.eventbrite.co.uk/blog/8-ways-to-finance-your-event-idea-ds00/</w:t>
        </w:r>
      </w:hyperlink>
      <w:r w:rsidRPr="00F44CBB">
        <w:t xml:space="preserve"> [Accessed 28 May 2024].</w:t>
      </w:r>
    </w:p>
    <w:p w14:paraId="3C1FCA23" w14:textId="77777777" w:rsidR="006515C3" w:rsidRPr="00F44CBB" w:rsidRDefault="006515C3" w:rsidP="006515C3">
      <w:pPr>
        <w:pStyle w:val="NormalWeb"/>
        <w:spacing w:before="0" w:beforeAutospacing="0" w:after="210" w:afterAutospacing="0" w:line="360" w:lineRule="auto"/>
        <w:ind w:left="720" w:hanging="720"/>
      </w:pPr>
      <w:r w:rsidRPr="00F44CBB">
        <w:t xml:space="preserve">Falmouth University (2020). </w:t>
      </w:r>
      <w:r w:rsidRPr="00F44CBB">
        <w:rPr>
          <w:i/>
          <w:iCs/>
        </w:rPr>
        <w:t>Top 10 event management skills</w:t>
      </w:r>
      <w:r w:rsidRPr="00F44CBB">
        <w:t xml:space="preserve">. [online] flexible.falmouth.ac.uk. Available at: </w:t>
      </w:r>
      <w:hyperlink r:id="rId8" w:history="1">
        <w:r w:rsidRPr="00F44CBB">
          <w:rPr>
            <w:rStyle w:val="Hyperlink"/>
          </w:rPr>
          <w:t>https://flexible.falmouth.ac.uk/resources/top-10-event-management-skills.</w:t>
        </w:r>
      </w:hyperlink>
    </w:p>
    <w:p w14:paraId="2A9A66C6" w14:textId="77777777" w:rsidR="006515C3" w:rsidRPr="00F44CBB" w:rsidRDefault="006515C3" w:rsidP="006515C3">
      <w:pPr>
        <w:pStyle w:val="NormalWeb"/>
        <w:spacing w:before="0" w:beforeAutospacing="0" w:after="210" w:afterAutospacing="0" w:line="360" w:lineRule="auto"/>
        <w:ind w:left="720" w:hanging="720"/>
      </w:pPr>
      <w:r w:rsidRPr="00F44CBB">
        <w:t xml:space="preserve">Getz, </w:t>
      </w:r>
      <w:proofErr w:type="gramStart"/>
      <w:r w:rsidRPr="00F44CBB">
        <w:t>D.</w:t>
      </w:r>
      <w:proofErr w:type="gramEnd"/>
      <w:r w:rsidRPr="00F44CBB">
        <w:t xml:space="preserve"> and Page, S.J., 2019. Event studies: Theory, </w:t>
      </w:r>
      <w:proofErr w:type="gramStart"/>
      <w:r w:rsidRPr="00F44CBB">
        <w:t>research</w:t>
      </w:r>
      <w:proofErr w:type="gramEnd"/>
      <w:r w:rsidRPr="00F44CBB">
        <w:t xml:space="preserve"> and policy for planned events. Routledge.</w:t>
      </w:r>
    </w:p>
    <w:p w14:paraId="00658D67" w14:textId="77777777" w:rsidR="006515C3" w:rsidRPr="00F44CBB" w:rsidRDefault="006515C3" w:rsidP="006515C3">
      <w:pPr>
        <w:spacing w:before="100" w:beforeAutospacing="1" w:after="100" w:afterAutospacing="1"/>
        <w:ind w:left="567" w:hanging="567"/>
        <w:rPr>
          <w:rFonts w:ascii="Times New Roman" w:eastAsia="Times New Roman" w:hAnsi="Times New Roman" w:cs="Times New Roman"/>
          <w:sz w:val="24"/>
          <w:szCs w:val="24"/>
        </w:rPr>
      </w:pPr>
      <w:proofErr w:type="spellStart"/>
      <w:r w:rsidRPr="00F44CBB">
        <w:rPr>
          <w:rFonts w:ascii="Times New Roman" w:eastAsia="Times New Roman" w:hAnsi="Times New Roman" w:cs="Times New Roman"/>
          <w:sz w:val="24"/>
          <w:szCs w:val="24"/>
        </w:rPr>
        <w:t>Globalconference</w:t>
      </w:r>
      <w:proofErr w:type="spellEnd"/>
      <w:r w:rsidRPr="00F44CBB">
        <w:rPr>
          <w:rFonts w:ascii="Times New Roman" w:eastAsia="Times New Roman" w:hAnsi="Times New Roman" w:cs="Times New Roman"/>
          <w:sz w:val="24"/>
          <w:szCs w:val="24"/>
        </w:rPr>
        <w:t xml:space="preserve"> (2024) </w:t>
      </w:r>
      <w:r w:rsidRPr="00F44CBB">
        <w:rPr>
          <w:rFonts w:ascii="Times New Roman" w:eastAsia="Times New Roman" w:hAnsi="Times New Roman" w:cs="Times New Roman"/>
          <w:i/>
          <w:iCs/>
          <w:sz w:val="24"/>
          <w:szCs w:val="24"/>
        </w:rPr>
        <w:t>What is the Plenary Session in a conference?</w:t>
      </w:r>
      <w:r w:rsidRPr="00F44CBB">
        <w:rPr>
          <w:rFonts w:ascii="Times New Roman" w:eastAsia="Times New Roman" w:hAnsi="Times New Roman" w:cs="Times New Roman"/>
          <w:sz w:val="24"/>
          <w:szCs w:val="24"/>
        </w:rPr>
        <w:t xml:space="preserve">, </w:t>
      </w:r>
      <w:r w:rsidRPr="00F44CBB">
        <w:rPr>
          <w:rFonts w:ascii="Times New Roman" w:eastAsia="Times New Roman" w:hAnsi="Times New Roman" w:cs="Times New Roman"/>
          <w:i/>
          <w:iCs/>
          <w:sz w:val="24"/>
          <w:szCs w:val="24"/>
        </w:rPr>
        <w:t>Global Conference Alliance Inc</w:t>
      </w:r>
      <w:r w:rsidRPr="00F44CBB">
        <w:rPr>
          <w:rFonts w:ascii="Times New Roman" w:eastAsia="Times New Roman" w:hAnsi="Times New Roman" w:cs="Times New Roman"/>
          <w:sz w:val="24"/>
          <w:szCs w:val="24"/>
        </w:rPr>
        <w:t xml:space="preserve">. Available at: </w:t>
      </w:r>
      <w:hyperlink r:id="rId9" w:history="1">
        <w:r w:rsidRPr="00F44CBB">
          <w:rPr>
            <w:rStyle w:val="Hyperlink"/>
            <w:rFonts w:ascii="Times New Roman" w:eastAsia="Times New Roman" w:hAnsi="Times New Roman" w:cs="Times New Roman"/>
            <w:sz w:val="24"/>
            <w:szCs w:val="24"/>
          </w:rPr>
          <w:t>https://globalconference.ca/what-is-the-plenary-session-in-a-conference/</w:t>
        </w:r>
      </w:hyperlink>
    </w:p>
    <w:p w14:paraId="52EE693B" w14:textId="77777777" w:rsidR="006515C3" w:rsidRPr="00F44CBB" w:rsidRDefault="006515C3" w:rsidP="006515C3">
      <w:pPr>
        <w:pStyle w:val="NormalWeb"/>
        <w:spacing w:before="0" w:beforeAutospacing="0" w:after="210" w:afterAutospacing="0" w:line="360" w:lineRule="auto"/>
        <w:ind w:left="720" w:hanging="720"/>
      </w:pPr>
      <w:r w:rsidRPr="00F44CBB">
        <w:t xml:space="preserve">Haleem, A., Javaid, M., Qadri, M.A., Singh, R.P. and Suman, R. (2022). Artificial Intelligence (AI) Applications for marketing: a literature-based Study. </w:t>
      </w:r>
      <w:r w:rsidRPr="00F44CBB">
        <w:rPr>
          <w:i/>
          <w:iCs/>
        </w:rPr>
        <w:t>International Journal of Intelligent Networks</w:t>
      </w:r>
      <w:r w:rsidRPr="00F44CBB">
        <w:t xml:space="preserve">, [online] 3(3), pp.119–132. Available at: </w:t>
      </w:r>
      <w:hyperlink r:id="rId10" w:history="1">
        <w:r w:rsidRPr="00F44CBB">
          <w:rPr>
            <w:rStyle w:val="Hyperlink"/>
          </w:rPr>
          <w:t>https://www.sciencedirect.com/science/article/pii/S2666603022000136.</w:t>
        </w:r>
      </w:hyperlink>
    </w:p>
    <w:p w14:paraId="1F47DAD9" w14:textId="77777777" w:rsidR="006515C3" w:rsidRPr="00F44CBB" w:rsidRDefault="006515C3" w:rsidP="006515C3">
      <w:pPr>
        <w:pStyle w:val="NormalWeb"/>
        <w:spacing w:before="0" w:beforeAutospacing="0" w:after="210" w:afterAutospacing="0" w:line="360" w:lineRule="auto"/>
        <w:ind w:left="720" w:hanging="720"/>
      </w:pPr>
      <w:r w:rsidRPr="00F44CBB">
        <w:t xml:space="preserve">High Point University (2022). Event planning checklist. [online] Available at: </w:t>
      </w:r>
      <w:hyperlink r:id="rId11" w:history="1">
        <w:r w:rsidRPr="00F44CBB">
          <w:rPr>
            <w:rStyle w:val="Hyperlink"/>
          </w:rPr>
          <w:t>https://www.highpoint.edu/concierge/files/Event-Planning-Checklist.pdf</w:t>
        </w:r>
      </w:hyperlink>
      <w:r w:rsidRPr="00F44CBB">
        <w:t xml:space="preserve"> [Accessed 20 May 2024].</w:t>
      </w:r>
    </w:p>
    <w:p w14:paraId="22A3739A" w14:textId="77777777" w:rsidR="006515C3" w:rsidRPr="00F44CBB" w:rsidRDefault="006515C3" w:rsidP="006515C3">
      <w:pPr>
        <w:pStyle w:val="NormalWeb"/>
        <w:spacing w:before="0" w:beforeAutospacing="0" w:after="210" w:afterAutospacing="0" w:line="360" w:lineRule="auto"/>
        <w:ind w:left="720" w:hanging="720"/>
      </w:pPr>
      <w:r w:rsidRPr="00F44CBB">
        <w:t>Lynch, R. (2009) Strategic Management, 5th ed. Prentice Hall: Harlow</w:t>
      </w:r>
    </w:p>
    <w:p w14:paraId="73969A55" w14:textId="77777777" w:rsidR="006515C3" w:rsidRPr="00F44CBB" w:rsidRDefault="006515C3" w:rsidP="006515C3">
      <w:pPr>
        <w:pStyle w:val="NormalWeb"/>
        <w:spacing w:before="0" w:beforeAutospacing="0" w:after="210" w:afterAutospacing="0" w:line="360" w:lineRule="auto"/>
        <w:ind w:left="720" w:hanging="720"/>
      </w:pPr>
      <w:r w:rsidRPr="00F44CBB">
        <w:t xml:space="preserve">Lyyti. (2021) 'Introducing the Event Cycle – The core of Event Success Management', Lyyti, 21 June. Available at: </w:t>
      </w:r>
      <w:hyperlink r:id="rId12" w:history="1">
        <w:r w:rsidRPr="00F44CBB">
          <w:rPr>
            <w:rStyle w:val="Hyperlink"/>
          </w:rPr>
          <w:t>https://www.lyyti.com/en/blog/introducing-the-event-cycle-the-core-of-event-success-management</w:t>
        </w:r>
      </w:hyperlink>
      <w:r w:rsidRPr="00F44CBB">
        <w:t xml:space="preserve"> (Accessed: 20 May 2024).</w:t>
      </w:r>
    </w:p>
    <w:p w14:paraId="73ABA257" w14:textId="77777777" w:rsidR="006515C3" w:rsidRPr="00F44CBB" w:rsidRDefault="006515C3" w:rsidP="006515C3">
      <w:pPr>
        <w:pStyle w:val="NormalWeb"/>
        <w:spacing w:before="0" w:beforeAutospacing="0" w:after="210" w:afterAutospacing="0" w:line="360" w:lineRule="auto"/>
        <w:ind w:left="720" w:hanging="720"/>
      </w:pPr>
      <w:r w:rsidRPr="00F44CBB">
        <w:t xml:space="preserve">Nam, K., Dutt, C.S., </w:t>
      </w:r>
      <w:proofErr w:type="spellStart"/>
      <w:r w:rsidRPr="00F44CBB">
        <w:t>Chathoth</w:t>
      </w:r>
      <w:proofErr w:type="spellEnd"/>
      <w:r w:rsidRPr="00F44CBB">
        <w:t xml:space="preserve">, P., </w:t>
      </w:r>
      <w:proofErr w:type="spellStart"/>
      <w:r w:rsidRPr="00F44CBB">
        <w:t>Daghfous</w:t>
      </w:r>
      <w:proofErr w:type="spellEnd"/>
      <w:r w:rsidRPr="00F44CBB">
        <w:t xml:space="preserve">, A. and Khan, M.S. (2020). The adoption of artificial intelligence and robotics in the hotel industry: Prospects and challenges. </w:t>
      </w:r>
      <w:r w:rsidRPr="00F44CBB">
        <w:rPr>
          <w:i/>
          <w:iCs/>
        </w:rPr>
        <w:t>Electronic Markets</w:t>
      </w:r>
      <w:r w:rsidRPr="00F44CBB">
        <w:t>, 31(3).</w:t>
      </w:r>
    </w:p>
    <w:p w14:paraId="1A7FE05D" w14:textId="77777777" w:rsidR="006515C3" w:rsidRPr="00F44CBB" w:rsidRDefault="006515C3" w:rsidP="006515C3">
      <w:pPr>
        <w:pStyle w:val="NormalWeb"/>
        <w:spacing w:before="0" w:beforeAutospacing="0" w:after="210" w:afterAutospacing="0" w:line="360" w:lineRule="auto"/>
        <w:ind w:left="720" w:hanging="720"/>
      </w:pPr>
      <w:r w:rsidRPr="00F44CBB">
        <w:lastRenderedPageBreak/>
        <w:t xml:space="preserve">Ruel, H. and Njoku, E. (2020). AI redefining the hospitality industry. </w:t>
      </w:r>
      <w:r w:rsidRPr="00F44CBB">
        <w:rPr>
          <w:i/>
          <w:iCs/>
        </w:rPr>
        <w:t>Journal of Tourism Futures</w:t>
      </w:r>
      <w:r w:rsidRPr="00F44CBB">
        <w:t xml:space="preserve">, [online] ahead-of-print(ahead-of-print). </w:t>
      </w:r>
      <w:proofErr w:type="spellStart"/>
      <w:proofErr w:type="gramStart"/>
      <w:r w:rsidRPr="00F44CBB">
        <w:rPr>
          <w:color w:val="0000FF"/>
          <w:u w:val="single"/>
        </w:rPr>
        <w:t>doi:https</w:t>
      </w:r>
      <w:proofErr w:type="spellEnd"/>
      <w:r w:rsidRPr="00F44CBB">
        <w:rPr>
          <w:color w:val="0000FF"/>
          <w:u w:val="single"/>
        </w:rPr>
        <w:t>://doi.org/10.1108/jtf-03-2020-0032</w:t>
      </w:r>
      <w:proofErr w:type="gramEnd"/>
      <w:r w:rsidRPr="00F44CBB">
        <w:t>.</w:t>
      </w:r>
    </w:p>
    <w:p w14:paraId="36CF13E5"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Shahin, M., F. Frank Chen and Hosseinzadeh, A. (2024). Harnessing customized AI to create voice of customer via GPT3.5. </w:t>
      </w:r>
      <w:r w:rsidRPr="00F44CBB">
        <w:rPr>
          <w:i/>
          <w:iCs/>
        </w:rPr>
        <w:t>Advanced Engineering Informatics</w:t>
      </w:r>
      <w:r w:rsidRPr="00F44CBB">
        <w:t xml:space="preserve">, 61, pp.102462–102462. </w:t>
      </w:r>
      <w:proofErr w:type="spellStart"/>
      <w:proofErr w:type="gramStart"/>
      <w:r w:rsidRPr="00F44CBB">
        <w:rPr>
          <w:color w:val="0000FF"/>
          <w:u w:val="single"/>
        </w:rPr>
        <w:t>doi:https</w:t>
      </w:r>
      <w:proofErr w:type="spellEnd"/>
      <w:r w:rsidRPr="00F44CBB">
        <w:rPr>
          <w:color w:val="0000FF"/>
          <w:u w:val="single"/>
        </w:rPr>
        <w:t>://doi.org/10.1016/j.aei.2024.102462</w:t>
      </w:r>
      <w:proofErr w:type="gramEnd"/>
      <w:r w:rsidRPr="00F44CBB">
        <w:rPr>
          <w:color w:val="0000FF"/>
          <w:u w:val="single"/>
        </w:rPr>
        <w:t>.</w:t>
      </w:r>
    </w:p>
    <w:p w14:paraId="413B164D"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Silvers, J.R., Bowdin, G.A.J., O’Toole, W.J. and Nelson, K.B. (2005). Towards an International Event Management Body of Knowledge (EMBOK). </w:t>
      </w:r>
      <w:r w:rsidRPr="00F44CBB">
        <w:rPr>
          <w:i/>
          <w:iCs/>
        </w:rPr>
        <w:t>Event Management</w:t>
      </w:r>
      <w:r w:rsidRPr="00F44CBB">
        <w:t xml:space="preserve">, 9(4), pp.185–198. </w:t>
      </w:r>
      <w:proofErr w:type="spellStart"/>
      <w:proofErr w:type="gramStart"/>
      <w:r w:rsidRPr="00F44CBB">
        <w:rPr>
          <w:color w:val="0000FF"/>
          <w:u w:val="single"/>
        </w:rPr>
        <w:t>doi:https</w:t>
      </w:r>
      <w:proofErr w:type="spellEnd"/>
      <w:r w:rsidRPr="00F44CBB">
        <w:rPr>
          <w:color w:val="0000FF"/>
          <w:u w:val="single"/>
        </w:rPr>
        <w:t>://doi.org/10.3727/152599506776771571</w:t>
      </w:r>
      <w:proofErr w:type="gramEnd"/>
      <w:r w:rsidRPr="00F44CBB">
        <w:rPr>
          <w:color w:val="0000FF"/>
          <w:u w:val="single"/>
        </w:rPr>
        <w:t>.</w:t>
      </w:r>
    </w:p>
    <w:p w14:paraId="12D36736"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Simons, I. (2018). Events and online interaction: the construction of hybrid event communities. </w:t>
      </w:r>
      <w:r w:rsidRPr="00F44CBB">
        <w:rPr>
          <w:i/>
          <w:iCs/>
        </w:rPr>
        <w:t>Leisure Studies</w:t>
      </w:r>
      <w:r w:rsidRPr="00F44CBB">
        <w:t xml:space="preserve">, 38(2), pp.145–159. </w:t>
      </w:r>
      <w:proofErr w:type="spellStart"/>
      <w:proofErr w:type="gramStart"/>
      <w:r w:rsidRPr="00F44CBB">
        <w:rPr>
          <w:color w:val="0000FF"/>
          <w:u w:val="single"/>
        </w:rPr>
        <w:t>doi:https</w:t>
      </w:r>
      <w:proofErr w:type="spellEnd"/>
      <w:r w:rsidRPr="00F44CBB">
        <w:rPr>
          <w:color w:val="0000FF"/>
          <w:u w:val="single"/>
        </w:rPr>
        <w:t>://doi.org/10.1080/02614367.2018.1553994</w:t>
      </w:r>
      <w:proofErr w:type="gramEnd"/>
      <w:r w:rsidRPr="00F44CBB">
        <w:rPr>
          <w:color w:val="0000FF"/>
          <w:u w:val="single"/>
        </w:rPr>
        <w:t>.</w:t>
      </w:r>
    </w:p>
    <w:p w14:paraId="532B30EC" w14:textId="77777777" w:rsidR="006515C3" w:rsidRPr="00F44CBB" w:rsidRDefault="006515C3" w:rsidP="006515C3">
      <w:pPr>
        <w:pStyle w:val="NormalWeb"/>
        <w:spacing w:before="0" w:beforeAutospacing="0" w:after="210" w:afterAutospacing="0" w:line="360" w:lineRule="auto"/>
        <w:ind w:left="720" w:hanging="720"/>
      </w:pPr>
      <w:proofErr w:type="spellStart"/>
      <w:r w:rsidRPr="00F44CBB">
        <w:t>SmartDraw</w:t>
      </w:r>
      <w:proofErr w:type="spellEnd"/>
      <w:r w:rsidRPr="00F44CBB">
        <w:t xml:space="preserve"> (2018). </w:t>
      </w:r>
      <w:r w:rsidRPr="00F44CBB">
        <w:rPr>
          <w:i/>
          <w:iCs/>
        </w:rPr>
        <w:t>SWOT Analysis - What is SWOT? Definition, Examples and How to Do a SWOT Analysis</w:t>
      </w:r>
      <w:r w:rsidRPr="00F44CBB">
        <w:t xml:space="preserve">. [online] YouTube. Available at: </w:t>
      </w:r>
      <w:hyperlink r:id="rId13" w:history="1">
        <w:r w:rsidRPr="00F44CBB">
          <w:rPr>
            <w:rStyle w:val="Hyperlink"/>
          </w:rPr>
          <w:t>https://youtu.be/JXXHqM6RzZQ?si=6W8SUfGbqn-sfbkb</w:t>
        </w:r>
      </w:hyperlink>
      <w:r w:rsidRPr="00F44CBB">
        <w:t xml:space="preserve"> [Accessed 28 May 2024].</w:t>
      </w:r>
    </w:p>
    <w:p w14:paraId="3B00B151" w14:textId="77777777" w:rsidR="006515C3" w:rsidRPr="00F44CBB" w:rsidRDefault="006515C3" w:rsidP="006515C3">
      <w:pPr>
        <w:pStyle w:val="NormalWeb"/>
        <w:spacing w:before="0" w:beforeAutospacing="0" w:after="210" w:afterAutospacing="0" w:line="360" w:lineRule="auto"/>
        <w:ind w:left="720" w:hanging="720"/>
      </w:pPr>
      <w:r w:rsidRPr="00F44CBB">
        <w:t xml:space="preserve">University of California (2023). Event planning guide. [online] Available at: </w:t>
      </w:r>
      <w:hyperlink r:id="rId14" w:history="1">
        <w:r w:rsidRPr="00F44CBB">
          <w:rPr>
            <w:rStyle w:val="Hyperlink"/>
          </w:rPr>
          <w:t>https://advancement.ucr.edu/event-planning-guide</w:t>
        </w:r>
      </w:hyperlink>
      <w:r w:rsidRPr="00F44CBB">
        <w:t xml:space="preserve">  [Accessed 28 May 2024].</w:t>
      </w:r>
    </w:p>
    <w:p w14:paraId="249F3344"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van </w:t>
      </w:r>
      <w:proofErr w:type="spellStart"/>
      <w:r w:rsidRPr="00F44CBB">
        <w:t>Teunenbroek</w:t>
      </w:r>
      <w:proofErr w:type="spellEnd"/>
      <w:r w:rsidRPr="00F44CBB">
        <w:t xml:space="preserve">, C., Chiesa, C.D. and Hesse, L. (2023). The contribution of crowdfunding </w:t>
      </w:r>
      <w:proofErr w:type="gramStart"/>
      <w:r w:rsidRPr="00F44CBB">
        <w:t>for</w:t>
      </w:r>
      <w:proofErr w:type="gramEnd"/>
      <w:r w:rsidRPr="00F44CBB">
        <w:t xml:space="preserve"> philanthropy: A systematic review and framework of donation and reward crowdfunding. </w:t>
      </w:r>
      <w:r w:rsidRPr="00F44CBB">
        <w:rPr>
          <w:i/>
          <w:iCs/>
        </w:rPr>
        <w:t>Journal of Philanthropy and Marketing</w:t>
      </w:r>
      <w:r w:rsidRPr="00F44CBB">
        <w:t xml:space="preserve">. </w:t>
      </w:r>
      <w:proofErr w:type="spellStart"/>
      <w:proofErr w:type="gramStart"/>
      <w:r w:rsidRPr="00F44CBB">
        <w:rPr>
          <w:color w:val="0000FF"/>
          <w:u w:val="single"/>
        </w:rPr>
        <w:t>doi:https</w:t>
      </w:r>
      <w:proofErr w:type="spellEnd"/>
      <w:r w:rsidRPr="00F44CBB">
        <w:rPr>
          <w:color w:val="0000FF"/>
          <w:u w:val="single"/>
        </w:rPr>
        <w:t>://doi.org/10.1002/nvsm.1791</w:t>
      </w:r>
      <w:proofErr w:type="gramEnd"/>
      <w:r w:rsidRPr="00F44CBB">
        <w:rPr>
          <w:color w:val="0000FF"/>
          <w:u w:val="single"/>
        </w:rPr>
        <w:t>.</w:t>
      </w:r>
    </w:p>
    <w:p w14:paraId="0A7E6C15" w14:textId="77777777" w:rsidR="006515C3" w:rsidRPr="00F44CBB" w:rsidRDefault="006515C3" w:rsidP="006515C3">
      <w:pPr>
        <w:pStyle w:val="NormalWeb"/>
        <w:spacing w:before="0" w:beforeAutospacing="0" w:after="210" w:afterAutospacing="0" w:line="360" w:lineRule="auto"/>
        <w:ind w:left="720" w:hanging="720"/>
      </w:pPr>
      <w:r w:rsidRPr="00F44CBB">
        <w:t xml:space="preserve">Victoria University (2024). 8 skills that will help you succeed in hospitality tourism &amp; events. [online] Victoria University Australia. Available at: </w:t>
      </w:r>
      <w:hyperlink r:id="rId15" w:history="1">
        <w:r w:rsidRPr="00F44CBB">
          <w:rPr>
            <w:rStyle w:val="Hyperlink"/>
          </w:rPr>
          <w:t>https://www.vu.edu.au/about-vu/news-events/study-space/8-skills-that-will-help-you-succeed-in-hospitality-tourism-events</w:t>
        </w:r>
      </w:hyperlink>
      <w:r w:rsidRPr="00F44CBB">
        <w:t xml:space="preserve">  [Accessed 28 May 2024].</w:t>
      </w:r>
    </w:p>
    <w:p w14:paraId="2F0513D5" w14:textId="77777777" w:rsidR="006515C3" w:rsidRPr="00F44CBB" w:rsidRDefault="006515C3" w:rsidP="006515C3">
      <w:pPr>
        <w:pStyle w:val="NormalWeb"/>
        <w:spacing w:before="0" w:beforeAutospacing="0" w:after="210" w:afterAutospacing="0" w:line="360" w:lineRule="auto"/>
        <w:ind w:left="720" w:hanging="720"/>
        <w:rPr>
          <w:color w:val="0000FF"/>
          <w:u w:val="single"/>
        </w:rPr>
      </w:pPr>
      <w:r w:rsidRPr="00F44CBB">
        <w:t xml:space="preserve">Wang, P.Q. (2024). Personalizing guest experience with generative AI in the hotel industry: there’s more to it than meets a Kiwi’s eye. </w:t>
      </w:r>
      <w:r w:rsidRPr="00F44CBB">
        <w:rPr>
          <w:i/>
          <w:iCs/>
        </w:rPr>
        <w:t>Current Issues in Tourism</w:t>
      </w:r>
      <w:r w:rsidRPr="00F44CBB">
        <w:t xml:space="preserve">, pp.1–18. </w:t>
      </w:r>
      <w:proofErr w:type="spellStart"/>
      <w:proofErr w:type="gramStart"/>
      <w:r w:rsidRPr="00F44CBB">
        <w:rPr>
          <w:color w:val="0000FF"/>
          <w:u w:val="single"/>
        </w:rPr>
        <w:t>doi:https</w:t>
      </w:r>
      <w:proofErr w:type="spellEnd"/>
      <w:r w:rsidRPr="00F44CBB">
        <w:rPr>
          <w:color w:val="0000FF"/>
          <w:u w:val="single"/>
        </w:rPr>
        <w:t>://doi.org/10.1080/13683500.2023.2300030</w:t>
      </w:r>
      <w:proofErr w:type="gramEnd"/>
      <w:r w:rsidRPr="00F44CBB">
        <w:rPr>
          <w:color w:val="0000FF"/>
          <w:u w:val="single"/>
        </w:rPr>
        <w:t>.</w:t>
      </w:r>
    </w:p>
    <w:p w14:paraId="70D6A0AD" w14:textId="77777777" w:rsidR="006515C3" w:rsidRPr="00F44CBB" w:rsidRDefault="006515C3" w:rsidP="006515C3">
      <w:pPr>
        <w:spacing w:line="480" w:lineRule="auto"/>
        <w:ind w:firstLine="720"/>
        <w:jc w:val="both"/>
        <w:rPr>
          <w:rFonts w:ascii="Times New Roman" w:hAnsi="Times New Roman" w:cs="Times New Roman"/>
          <w:sz w:val="24"/>
          <w:szCs w:val="24"/>
        </w:rPr>
      </w:pPr>
    </w:p>
    <w:p w14:paraId="79DE717B" w14:textId="77777777" w:rsidR="00BA3C73" w:rsidRPr="00F44CBB" w:rsidRDefault="00BA3C73" w:rsidP="00BA3C73">
      <w:pPr>
        <w:spacing w:line="360" w:lineRule="auto"/>
        <w:rPr>
          <w:rFonts w:ascii="Times New Roman" w:hAnsi="Times New Roman" w:cs="Times New Roman"/>
          <w:sz w:val="24"/>
          <w:szCs w:val="24"/>
        </w:rPr>
      </w:pPr>
    </w:p>
    <w:sectPr w:rsidR="00BA3C73" w:rsidRPr="00F44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231876"/>
    <w:multiLevelType w:val="hybridMultilevel"/>
    <w:tmpl w:val="2836F1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1542866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A3C73"/>
    <w:rsid w:val="0002086D"/>
    <w:rsid w:val="000958EB"/>
    <w:rsid w:val="00212313"/>
    <w:rsid w:val="002B2379"/>
    <w:rsid w:val="00307AC0"/>
    <w:rsid w:val="00354EBB"/>
    <w:rsid w:val="00367705"/>
    <w:rsid w:val="005626C6"/>
    <w:rsid w:val="0059216D"/>
    <w:rsid w:val="006515C3"/>
    <w:rsid w:val="007B1186"/>
    <w:rsid w:val="007F10DA"/>
    <w:rsid w:val="007F6868"/>
    <w:rsid w:val="008D2975"/>
    <w:rsid w:val="00B713B8"/>
    <w:rsid w:val="00B756D8"/>
    <w:rsid w:val="00B93822"/>
    <w:rsid w:val="00BA3C73"/>
    <w:rsid w:val="00CA3C56"/>
    <w:rsid w:val="00CA6A2A"/>
    <w:rsid w:val="00D0163F"/>
    <w:rsid w:val="00D21E33"/>
    <w:rsid w:val="00E431CF"/>
    <w:rsid w:val="00EA2948"/>
    <w:rsid w:val="00F44CBB"/>
    <w:rsid w:val="00FB57C8"/>
    <w:rsid w:val="00FE3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D6A9"/>
  <w15:docId w15:val="{5EF45953-970F-4AAF-91CE-4BEDFC54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A3C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C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C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C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C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C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C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C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C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3C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C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C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C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C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C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C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C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C73"/>
    <w:rPr>
      <w:rFonts w:eastAsiaTheme="majorEastAsia" w:cstheme="majorBidi"/>
      <w:color w:val="272727" w:themeColor="text1" w:themeTint="D8"/>
    </w:rPr>
  </w:style>
  <w:style w:type="paragraph" w:styleId="Title">
    <w:name w:val="Title"/>
    <w:basedOn w:val="Normal"/>
    <w:next w:val="Normal"/>
    <w:link w:val="TitleChar"/>
    <w:uiPriority w:val="10"/>
    <w:qFormat/>
    <w:rsid w:val="00BA3C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C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C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C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C73"/>
    <w:pPr>
      <w:spacing w:before="160"/>
      <w:jc w:val="center"/>
    </w:pPr>
    <w:rPr>
      <w:i/>
      <w:iCs/>
      <w:color w:val="404040" w:themeColor="text1" w:themeTint="BF"/>
    </w:rPr>
  </w:style>
  <w:style w:type="character" w:customStyle="1" w:styleId="QuoteChar">
    <w:name w:val="Quote Char"/>
    <w:basedOn w:val="DefaultParagraphFont"/>
    <w:link w:val="Quote"/>
    <w:uiPriority w:val="29"/>
    <w:rsid w:val="00BA3C73"/>
    <w:rPr>
      <w:i/>
      <w:iCs/>
      <w:color w:val="404040" w:themeColor="text1" w:themeTint="BF"/>
    </w:rPr>
  </w:style>
  <w:style w:type="paragraph" w:styleId="ListParagraph">
    <w:name w:val="List Paragraph"/>
    <w:basedOn w:val="Normal"/>
    <w:uiPriority w:val="99"/>
    <w:qFormat/>
    <w:rsid w:val="00BA3C73"/>
    <w:pPr>
      <w:ind w:left="720"/>
      <w:contextualSpacing/>
    </w:pPr>
  </w:style>
  <w:style w:type="character" w:styleId="IntenseEmphasis">
    <w:name w:val="Intense Emphasis"/>
    <w:basedOn w:val="DefaultParagraphFont"/>
    <w:uiPriority w:val="21"/>
    <w:qFormat/>
    <w:rsid w:val="00BA3C73"/>
    <w:rPr>
      <w:i/>
      <w:iCs/>
      <w:color w:val="0F4761" w:themeColor="accent1" w:themeShade="BF"/>
    </w:rPr>
  </w:style>
  <w:style w:type="paragraph" w:styleId="IntenseQuote">
    <w:name w:val="Intense Quote"/>
    <w:basedOn w:val="Normal"/>
    <w:next w:val="Normal"/>
    <w:link w:val="IntenseQuoteChar"/>
    <w:uiPriority w:val="30"/>
    <w:qFormat/>
    <w:rsid w:val="00BA3C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C73"/>
    <w:rPr>
      <w:i/>
      <w:iCs/>
      <w:color w:val="0F4761" w:themeColor="accent1" w:themeShade="BF"/>
    </w:rPr>
  </w:style>
  <w:style w:type="character" w:styleId="IntenseReference">
    <w:name w:val="Intense Reference"/>
    <w:basedOn w:val="DefaultParagraphFont"/>
    <w:uiPriority w:val="32"/>
    <w:qFormat/>
    <w:rsid w:val="00BA3C73"/>
    <w:rPr>
      <w:b/>
      <w:bCs/>
      <w:smallCaps/>
      <w:color w:val="0F4761" w:themeColor="accent1" w:themeShade="BF"/>
      <w:spacing w:val="5"/>
    </w:rPr>
  </w:style>
  <w:style w:type="character" w:styleId="Hyperlink">
    <w:name w:val="Hyperlink"/>
    <w:basedOn w:val="DefaultParagraphFont"/>
    <w:semiHidden/>
    <w:unhideWhenUsed/>
    <w:rsid w:val="006515C3"/>
    <w:rPr>
      <w:color w:val="0000FF"/>
      <w:u w:val="single"/>
    </w:rPr>
  </w:style>
  <w:style w:type="paragraph" w:styleId="NormalWeb">
    <w:name w:val="Normal (Web)"/>
    <w:uiPriority w:val="99"/>
    <w:semiHidden/>
    <w:unhideWhenUsed/>
    <w:rsid w:val="006515C3"/>
    <w:pPr>
      <w:spacing w:before="100" w:beforeAutospacing="1" w:after="100" w:afterAutospacing="1" w:line="240" w:lineRule="auto"/>
    </w:pPr>
    <w:rPr>
      <w:rFonts w:ascii="Times New Roman" w:eastAsia="SimSun" w:hAnsi="Times New Roman" w:cs="Times New Roman"/>
      <w:kern w:val="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2593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exible.falmouth.ac.uk/resources/top-10-event-management-skills." TargetMode="External"/><Relationship Id="rId13" Type="http://schemas.openxmlformats.org/officeDocument/2006/relationships/hyperlink" Target="https://youtu.be/JXXHqM6RzZQ?si=6W8SUfGbqn-sfbkb" TargetMode="External"/><Relationship Id="rId3" Type="http://schemas.openxmlformats.org/officeDocument/2006/relationships/settings" Target="settings.xml"/><Relationship Id="rId7" Type="http://schemas.openxmlformats.org/officeDocument/2006/relationships/hyperlink" Target="https://www.eventbrite.co.uk/blog/8-ways-to-finance-your-event-idea-ds00/" TargetMode="External"/><Relationship Id="rId12" Type="http://schemas.openxmlformats.org/officeDocument/2006/relationships/hyperlink" Target="https://www.lyyti.com/en/blog/introducing-the-event-cycle-the-core-of-event-success-manag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youtu.be/GFVKKTwkANY?si=HvYk43GRgbE_hpA1" TargetMode="External"/><Relationship Id="rId11" Type="http://schemas.openxmlformats.org/officeDocument/2006/relationships/hyperlink" Target="https://www.highpoint.edu/concierge/files/Event-Planning-Checklist.pdf" TargetMode="External"/><Relationship Id="rId5" Type="http://schemas.openxmlformats.org/officeDocument/2006/relationships/image" Target="media/image1.png"/><Relationship Id="rId15" Type="http://schemas.openxmlformats.org/officeDocument/2006/relationships/hyperlink" Target="https://www.vu.edu.au/about-vu/news-events/study-space/8-skills-that-will-help-you-succeed-in-hospitality-tourism-events" TargetMode="External"/><Relationship Id="rId10" Type="http://schemas.openxmlformats.org/officeDocument/2006/relationships/hyperlink" Target="https://www.sciencedirect.com/science/article/pii/S2666603022000136." TargetMode="External"/><Relationship Id="rId4" Type="http://schemas.openxmlformats.org/officeDocument/2006/relationships/webSettings" Target="webSettings.xml"/><Relationship Id="rId9" Type="http://schemas.openxmlformats.org/officeDocument/2006/relationships/hyperlink" Target="https://globalconference.ca/what-is-the-plenary-session-in-a-conference/" TargetMode="External"/><Relationship Id="rId14" Type="http://schemas.openxmlformats.org/officeDocument/2006/relationships/hyperlink" Target="https://advancement.ucr.edu/event-planning-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Pages>
  <Words>4123</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8</cp:revision>
  <dcterms:created xsi:type="dcterms:W3CDTF">2024-05-06T06:02:00Z</dcterms:created>
  <dcterms:modified xsi:type="dcterms:W3CDTF">2024-05-31T15:25:00Z</dcterms:modified>
</cp:coreProperties>
</file>