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892A5" w14:textId="77777777" w:rsidR="00A7010E" w:rsidRDefault="00A7010E" w:rsidP="00A7010E">
      <w:pPr>
        <w:jc w:val="center"/>
        <w:rPr>
          <w:b/>
          <w:bCs/>
        </w:rPr>
      </w:pPr>
      <w:r>
        <w:rPr>
          <w:b/>
          <w:bCs/>
        </w:rPr>
        <w:t>Component 2</w:t>
      </w:r>
    </w:p>
    <w:p w14:paraId="5A8E9264" w14:textId="77777777" w:rsidR="00A7010E" w:rsidRDefault="00A7010E" w:rsidP="00A7010E">
      <w:pPr>
        <w:jc w:val="center"/>
        <w:rPr>
          <w:b/>
          <w:bCs/>
        </w:rPr>
      </w:pPr>
    </w:p>
    <w:p w14:paraId="2A92E6FD" w14:textId="77777777" w:rsidR="00A7010E" w:rsidRDefault="00A7010E" w:rsidP="00A7010E">
      <w:pPr>
        <w:jc w:val="center"/>
        <w:rPr>
          <w:b/>
          <w:bCs/>
        </w:rPr>
      </w:pPr>
    </w:p>
    <w:p w14:paraId="60B43786" w14:textId="77777777" w:rsidR="00A7010E" w:rsidRDefault="00A7010E" w:rsidP="00A7010E">
      <w:pPr>
        <w:jc w:val="center"/>
        <w:rPr>
          <w:b/>
          <w:bCs/>
        </w:rPr>
      </w:pPr>
      <w:r w:rsidRPr="00B16673">
        <w:rPr>
          <w:b/>
          <w:bCs/>
        </w:rPr>
        <w:t>Module Code/Name:   LCBB 4016 Global Business Environment</w:t>
      </w:r>
    </w:p>
    <w:p w14:paraId="7CC2F1AF" w14:textId="77777777" w:rsidR="00A7010E" w:rsidRDefault="00A7010E" w:rsidP="00A7010E">
      <w:pPr>
        <w:jc w:val="center"/>
        <w:rPr>
          <w:b/>
          <w:bCs/>
        </w:rPr>
      </w:pPr>
    </w:p>
    <w:p w14:paraId="5DBEB6E4" w14:textId="77777777" w:rsidR="00A7010E" w:rsidRDefault="00A7010E" w:rsidP="00A7010E">
      <w:pPr>
        <w:jc w:val="center"/>
        <w:rPr>
          <w:b/>
          <w:bCs/>
        </w:rPr>
      </w:pPr>
    </w:p>
    <w:p w14:paraId="787B2D74" w14:textId="77777777" w:rsidR="00A7010E" w:rsidRDefault="00A7010E" w:rsidP="00A7010E">
      <w:pPr>
        <w:jc w:val="center"/>
        <w:rPr>
          <w:b/>
          <w:bCs/>
        </w:rPr>
      </w:pPr>
      <w:r>
        <w:rPr>
          <w:b/>
          <w:bCs/>
        </w:rPr>
        <w:t>Student Code/name: 2008584 Eros Alexandru</w:t>
      </w:r>
    </w:p>
    <w:p w14:paraId="288BB92C" w14:textId="77777777" w:rsidR="00A7010E" w:rsidRDefault="00A7010E" w:rsidP="00A7010E">
      <w:pPr>
        <w:jc w:val="center"/>
        <w:rPr>
          <w:b/>
          <w:bCs/>
        </w:rPr>
      </w:pPr>
    </w:p>
    <w:p w14:paraId="134B948B" w14:textId="77777777" w:rsidR="00A7010E" w:rsidRDefault="00A7010E" w:rsidP="00A7010E">
      <w:pPr>
        <w:jc w:val="center"/>
        <w:rPr>
          <w:b/>
          <w:bCs/>
        </w:rPr>
      </w:pPr>
      <w:r>
        <w:rPr>
          <w:b/>
          <w:bCs/>
        </w:rPr>
        <w:t>Essay</w:t>
      </w:r>
    </w:p>
    <w:p w14:paraId="558E5DE1" w14:textId="77777777" w:rsidR="00A7010E" w:rsidRDefault="00A7010E" w:rsidP="00A7010E">
      <w:pPr>
        <w:jc w:val="center"/>
        <w:rPr>
          <w:b/>
          <w:bCs/>
        </w:rPr>
      </w:pPr>
    </w:p>
    <w:p w14:paraId="51B46238" w14:textId="77777777" w:rsidR="00A7010E" w:rsidRDefault="00A7010E" w:rsidP="00A7010E">
      <w:pPr>
        <w:jc w:val="center"/>
        <w:rPr>
          <w:b/>
          <w:bCs/>
        </w:rPr>
      </w:pPr>
    </w:p>
    <w:p w14:paraId="1028E440" w14:textId="77777777" w:rsidR="00A7010E" w:rsidRDefault="00A7010E" w:rsidP="00A7010E">
      <w:pPr>
        <w:jc w:val="center"/>
        <w:rPr>
          <w:b/>
          <w:bCs/>
        </w:rPr>
      </w:pPr>
    </w:p>
    <w:p w14:paraId="0BC91FEE" w14:textId="77777777" w:rsidR="00A7010E" w:rsidRDefault="00A7010E" w:rsidP="00A7010E">
      <w:pPr>
        <w:jc w:val="center"/>
        <w:rPr>
          <w:b/>
          <w:bCs/>
        </w:rPr>
      </w:pPr>
    </w:p>
    <w:p w14:paraId="3DDA952C" w14:textId="77777777" w:rsidR="00A7010E" w:rsidRDefault="00A7010E" w:rsidP="00A7010E">
      <w:pPr>
        <w:jc w:val="center"/>
        <w:rPr>
          <w:b/>
          <w:bCs/>
        </w:rPr>
      </w:pPr>
    </w:p>
    <w:p w14:paraId="05999D2B" w14:textId="77777777" w:rsidR="00A7010E" w:rsidRDefault="00A7010E" w:rsidP="00A7010E">
      <w:pPr>
        <w:jc w:val="center"/>
        <w:rPr>
          <w:b/>
          <w:bCs/>
        </w:rPr>
      </w:pPr>
    </w:p>
    <w:p w14:paraId="712F2879" w14:textId="77777777" w:rsidR="00A7010E" w:rsidRDefault="00A7010E" w:rsidP="00A7010E">
      <w:pPr>
        <w:jc w:val="center"/>
        <w:rPr>
          <w:b/>
          <w:bCs/>
        </w:rPr>
      </w:pPr>
    </w:p>
    <w:p w14:paraId="3930B074" w14:textId="77777777" w:rsidR="00A7010E" w:rsidRDefault="00A7010E" w:rsidP="00A7010E">
      <w:pPr>
        <w:jc w:val="center"/>
        <w:rPr>
          <w:b/>
          <w:bCs/>
        </w:rPr>
      </w:pPr>
    </w:p>
    <w:p w14:paraId="1BEE2DC8" w14:textId="77777777" w:rsidR="00A7010E" w:rsidRDefault="00A7010E" w:rsidP="00A7010E">
      <w:pPr>
        <w:jc w:val="center"/>
        <w:rPr>
          <w:b/>
          <w:bCs/>
        </w:rPr>
      </w:pPr>
    </w:p>
    <w:p w14:paraId="1B5F0AC1" w14:textId="77777777" w:rsidR="00A7010E" w:rsidRDefault="00A7010E" w:rsidP="00A7010E">
      <w:pPr>
        <w:jc w:val="center"/>
        <w:rPr>
          <w:b/>
          <w:bCs/>
        </w:rPr>
      </w:pPr>
    </w:p>
    <w:p w14:paraId="282C5153" w14:textId="77777777" w:rsidR="00A7010E" w:rsidRDefault="00A7010E" w:rsidP="00A7010E">
      <w:pPr>
        <w:jc w:val="center"/>
        <w:rPr>
          <w:b/>
          <w:bCs/>
        </w:rPr>
      </w:pPr>
    </w:p>
    <w:p w14:paraId="4738B45E" w14:textId="77777777" w:rsidR="00A7010E" w:rsidRDefault="00A7010E" w:rsidP="00A7010E">
      <w:pPr>
        <w:jc w:val="center"/>
        <w:rPr>
          <w:b/>
          <w:bCs/>
        </w:rPr>
      </w:pPr>
    </w:p>
    <w:p w14:paraId="656C6478" w14:textId="77777777" w:rsidR="00A7010E" w:rsidRDefault="00A7010E" w:rsidP="00A7010E">
      <w:pPr>
        <w:jc w:val="center"/>
        <w:rPr>
          <w:b/>
          <w:bCs/>
        </w:rPr>
      </w:pPr>
    </w:p>
    <w:p w14:paraId="0A574622" w14:textId="77777777" w:rsidR="00A7010E" w:rsidRDefault="00A7010E" w:rsidP="00A7010E">
      <w:pPr>
        <w:jc w:val="center"/>
        <w:rPr>
          <w:b/>
          <w:bCs/>
        </w:rPr>
      </w:pPr>
    </w:p>
    <w:p w14:paraId="512A4777" w14:textId="77777777" w:rsidR="00A7010E" w:rsidRDefault="00A7010E" w:rsidP="00A7010E">
      <w:pPr>
        <w:jc w:val="center"/>
        <w:rPr>
          <w:b/>
          <w:bCs/>
        </w:rPr>
      </w:pPr>
    </w:p>
    <w:p w14:paraId="5E047426" w14:textId="77777777" w:rsidR="00A7010E" w:rsidRDefault="00A7010E" w:rsidP="00A7010E">
      <w:pPr>
        <w:jc w:val="center"/>
        <w:rPr>
          <w:b/>
          <w:bCs/>
        </w:rPr>
      </w:pPr>
    </w:p>
    <w:p w14:paraId="6BE8C06D" w14:textId="77777777" w:rsidR="00A7010E" w:rsidRDefault="00A7010E" w:rsidP="00A7010E">
      <w:pPr>
        <w:jc w:val="center"/>
        <w:rPr>
          <w:b/>
          <w:bCs/>
        </w:rPr>
      </w:pPr>
    </w:p>
    <w:p w14:paraId="5B2B01A5" w14:textId="77777777" w:rsidR="00A7010E" w:rsidRDefault="00A7010E" w:rsidP="00A7010E">
      <w:pPr>
        <w:jc w:val="center"/>
        <w:rPr>
          <w:b/>
          <w:bCs/>
        </w:rPr>
      </w:pPr>
    </w:p>
    <w:p w14:paraId="1BEAEE16" w14:textId="77777777" w:rsidR="00A7010E" w:rsidRDefault="00A7010E" w:rsidP="00A7010E">
      <w:pPr>
        <w:jc w:val="center"/>
        <w:rPr>
          <w:b/>
          <w:bCs/>
        </w:rPr>
      </w:pPr>
    </w:p>
    <w:p w14:paraId="1EBC7EFC" w14:textId="77777777" w:rsidR="00A7010E" w:rsidRDefault="00A7010E" w:rsidP="00A7010E">
      <w:pPr>
        <w:jc w:val="center"/>
        <w:rPr>
          <w:b/>
          <w:bCs/>
        </w:rPr>
      </w:pPr>
      <w:r>
        <w:rPr>
          <w:b/>
          <w:bCs/>
        </w:rPr>
        <w:lastRenderedPageBreak/>
        <w:t>Table of Contents</w:t>
      </w:r>
    </w:p>
    <w:p w14:paraId="40605DD7" w14:textId="77777777" w:rsidR="00A7010E" w:rsidRDefault="00A7010E" w:rsidP="00A7010E">
      <w:pPr>
        <w:rPr>
          <w:b/>
          <w:bCs/>
        </w:rPr>
      </w:pPr>
      <w:r>
        <w:rPr>
          <w:b/>
          <w:bCs/>
        </w:rPr>
        <w:t>1.T</w:t>
      </w:r>
      <w:r w:rsidRPr="00551BB1">
        <w:rPr>
          <w:b/>
          <w:bCs/>
        </w:rPr>
        <w:t>he Influence of AI Adoption, Geopolitical Supply Chain Disruptions, and Sustainability Mandates on Unilever’s International Strategy and Operations</w:t>
      </w:r>
    </w:p>
    <w:p w14:paraId="4BFCE835" w14:textId="77777777" w:rsidR="00A7010E" w:rsidRDefault="00A7010E" w:rsidP="00A7010E">
      <w:pPr>
        <w:rPr>
          <w:b/>
          <w:bCs/>
        </w:rPr>
      </w:pPr>
      <w:r>
        <w:rPr>
          <w:b/>
          <w:bCs/>
        </w:rPr>
        <w:t>2.</w:t>
      </w:r>
      <w:r w:rsidRPr="00551BB1">
        <w:t xml:space="preserve"> </w:t>
      </w:r>
      <w:r w:rsidRPr="00551BB1">
        <w:rPr>
          <w:b/>
          <w:bCs/>
        </w:rPr>
        <w:t>Opportunities and Challenges</w:t>
      </w:r>
    </w:p>
    <w:p w14:paraId="406510B2" w14:textId="77777777" w:rsidR="00A7010E" w:rsidRPr="00551BB1" w:rsidRDefault="00A7010E" w:rsidP="00A7010E">
      <w:pPr>
        <w:rPr>
          <w:b/>
          <w:bCs/>
        </w:rPr>
      </w:pPr>
      <w:r>
        <w:rPr>
          <w:b/>
          <w:bCs/>
        </w:rPr>
        <w:t>3.</w:t>
      </w:r>
      <w:r w:rsidRPr="00551BB1">
        <w:t xml:space="preserve"> </w:t>
      </w:r>
      <w:r w:rsidRPr="00551BB1">
        <w:rPr>
          <w:b/>
          <w:bCs/>
        </w:rPr>
        <w:t>Effect on the Organisation</w:t>
      </w:r>
    </w:p>
    <w:p w14:paraId="003E5589" w14:textId="77777777" w:rsidR="00A7010E" w:rsidRDefault="00A7010E" w:rsidP="00A7010E">
      <w:pPr>
        <w:rPr>
          <w:b/>
          <w:bCs/>
        </w:rPr>
      </w:pPr>
      <w:r w:rsidRPr="00505265">
        <w:rPr>
          <w:b/>
          <w:bCs/>
        </w:rPr>
        <w:t>4.Strategy Recommendations</w:t>
      </w:r>
    </w:p>
    <w:p w14:paraId="72640637" w14:textId="77777777" w:rsidR="00A7010E" w:rsidRDefault="00A7010E" w:rsidP="00A7010E">
      <w:pPr>
        <w:rPr>
          <w:b/>
          <w:bCs/>
        </w:rPr>
      </w:pPr>
      <w:r>
        <w:rPr>
          <w:b/>
          <w:bCs/>
        </w:rPr>
        <w:t>5.Conclusion</w:t>
      </w:r>
    </w:p>
    <w:p w14:paraId="024F5496" w14:textId="77777777" w:rsidR="00A7010E" w:rsidRPr="00505265" w:rsidRDefault="00A7010E" w:rsidP="00A7010E">
      <w:pPr>
        <w:rPr>
          <w:b/>
          <w:bCs/>
        </w:rPr>
      </w:pPr>
      <w:r>
        <w:rPr>
          <w:b/>
          <w:bCs/>
        </w:rPr>
        <w:t>6.Refferences</w:t>
      </w:r>
    </w:p>
    <w:p w14:paraId="386CAFDF" w14:textId="77777777" w:rsidR="00A7010E" w:rsidRDefault="00A7010E" w:rsidP="00A7010E">
      <w:pPr>
        <w:jc w:val="center"/>
        <w:rPr>
          <w:b/>
          <w:bCs/>
        </w:rPr>
      </w:pPr>
    </w:p>
    <w:p w14:paraId="3CA3CC64" w14:textId="77777777" w:rsidR="00A7010E" w:rsidRDefault="00A7010E" w:rsidP="00A7010E">
      <w:pPr>
        <w:jc w:val="center"/>
        <w:rPr>
          <w:b/>
          <w:bCs/>
        </w:rPr>
      </w:pPr>
    </w:p>
    <w:p w14:paraId="72E4E2A7" w14:textId="77777777" w:rsidR="00A7010E" w:rsidRDefault="00A7010E" w:rsidP="00A7010E">
      <w:pPr>
        <w:jc w:val="center"/>
        <w:rPr>
          <w:b/>
          <w:bCs/>
        </w:rPr>
      </w:pPr>
    </w:p>
    <w:p w14:paraId="51D82810" w14:textId="77777777" w:rsidR="00A7010E" w:rsidRDefault="00A7010E" w:rsidP="00A7010E">
      <w:pPr>
        <w:jc w:val="center"/>
        <w:rPr>
          <w:b/>
          <w:bCs/>
        </w:rPr>
      </w:pPr>
    </w:p>
    <w:p w14:paraId="6C85D057" w14:textId="77777777" w:rsidR="00A7010E" w:rsidRDefault="00A7010E" w:rsidP="00A7010E">
      <w:pPr>
        <w:jc w:val="center"/>
        <w:rPr>
          <w:b/>
          <w:bCs/>
        </w:rPr>
      </w:pPr>
    </w:p>
    <w:p w14:paraId="64969456" w14:textId="77777777" w:rsidR="00A7010E" w:rsidRDefault="00A7010E" w:rsidP="00A7010E">
      <w:pPr>
        <w:jc w:val="center"/>
        <w:rPr>
          <w:b/>
          <w:bCs/>
        </w:rPr>
      </w:pPr>
    </w:p>
    <w:p w14:paraId="7FC59575" w14:textId="77777777" w:rsidR="00A7010E" w:rsidRDefault="00A7010E" w:rsidP="00A7010E">
      <w:pPr>
        <w:jc w:val="center"/>
        <w:rPr>
          <w:b/>
          <w:bCs/>
        </w:rPr>
      </w:pPr>
    </w:p>
    <w:p w14:paraId="5A03B11F" w14:textId="77777777" w:rsidR="00A7010E" w:rsidRDefault="00A7010E" w:rsidP="00A7010E">
      <w:pPr>
        <w:jc w:val="center"/>
        <w:rPr>
          <w:b/>
          <w:bCs/>
        </w:rPr>
      </w:pPr>
    </w:p>
    <w:p w14:paraId="5AAEE9C5" w14:textId="77777777" w:rsidR="00A7010E" w:rsidRDefault="00A7010E" w:rsidP="00A7010E">
      <w:pPr>
        <w:jc w:val="center"/>
        <w:rPr>
          <w:b/>
          <w:bCs/>
        </w:rPr>
      </w:pPr>
    </w:p>
    <w:p w14:paraId="034B1FE8" w14:textId="77777777" w:rsidR="00A7010E" w:rsidRDefault="00A7010E" w:rsidP="00A7010E">
      <w:pPr>
        <w:jc w:val="center"/>
        <w:rPr>
          <w:b/>
          <w:bCs/>
        </w:rPr>
      </w:pPr>
    </w:p>
    <w:p w14:paraId="7413CBFD" w14:textId="77777777" w:rsidR="00A7010E" w:rsidRDefault="00A7010E" w:rsidP="00A7010E">
      <w:pPr>
        <w:jc w:val="center"/>
        <w:rPr>
          <w:b/>
          <w:bCs/>
        </w:rPr>
      </w:pPr>
    </w:p>
    <w:p w14:paraId="36859868" w14:textId="77777777" w:rsidR="00A7010E" w:rsidRDefault="00A7010E" w:rsidP="00A7010E">
      <w:pPr>
        <w:jc w:val="center"/>
        <w:rPr>
          <w:b/>
          <w:bCs/>
        </w:rPr>
      </w:pPr>
    </w:p>
    <w:p w14:paraId="3E34A320" w14:textId="77777777" w:rsidR="00A7010E" w:rsidRDefault="00A7010E" w:rsidP="00A7010E">
      <w:pPr>
        <w:jc w:val="center"/>
        <w:rPr>
          <w:b/>
          <w:bCs/>
        </w:rPr>
      </w:pPr>
    </w:p>
    <w:p w14:paraId="0462D832" w14:textId="77777777" w:rsidR="00A7010E" w:rsidRDefault="00A7010E" w:rsidP="00A7010E">
      <w:pPr>
        <w:jc w:val="center"/>
        <w:rPr>
          <w:b/>
          <w:bCs/>
        </w:rPr>
      </w:pPr>
    </w:p>
    <w:p w14:paraId="5F0CBA46" w14:textId="77777777" w:rsidR="00A7010E" w:rsidRDefault="00A7010E" w:rsidP="00A7010E">
      <w:pPr>
        <w:jc w:val="center"/>
        <w:rPr>
          <w:b/>
          <w:bCs/>
        </w:rPr>
      </w:pPr>
    </w:p>
    <w:p w14:paraId="0652ED8B" w14:textId="77777777" w:rsidR="00A7010E" w:rsidRDefault="00A7010E" w:rsidP="00A7010E">
      <w:pPr>
        <w:jc w:val="center"/>
        <w:rPr>
          <w:b/>
          <w:bCs/>
        </w:rPr>
      </w:pPr>
    </w:p>
    <w:p w14:paraId="366FA65E" w14:textId="77777777" w:rsidR="00A7010E" w:rsidRDefault="00A7010E" w:rsidP="00A7010E">
      <w:pPr>
        <w:jc w:val="center"/>
        <w:rPr>
          <w:b/>
          <w:bCs/>
        </w:rPr>
      </w:pPr>
    </w:p>
    <w:p w14:paraId="744E38D1" w14:textId="77777777" w:rsidR="00A7010E" w:rsidRDefault="00A7010E" w:rsidP="00A7010E">
      <w:pPr>
        <w:jc w:val="center"/>
        <w:rPr>
          <w:b/>
          <w:bCs/>
        </w:rPr>
      </w:pPr>
    </w:p>
    <w:p w14:paraId="77E68D81" w14:textId="77777777" w:rsidR="00A7010E" w:rsidRDefault="00A7010E" w:rsidP="00A7010E">
      <w:pPr>
        <w:jc w:val="center"/>
        <w:rPr>
          <w:b/>
          <w:bCs/>
        </w:rPr>
      </w:pPr>
    </w:p>
    <w:p w14:paraId="62CF7723" w14:textId="77777777" w:rsidR="00A7010E" w:rsidRDefault="00A7010E" w:rsidP="00A7010E">
      <w:pPr>
        <w:jc w:val="center"/>
        <w:rPr>
          <w:b/>
          <w:bCs/>
        </w:rPr>
      </w:pPr>
    </w:p>
    <w:p w14:paraId="4C1A5B7F" w14:textId="77777777" w:rsidR="00A7010E" w:rsidRDefault="00A7010E" w:rsidP="00A7010E">
      <w:pPr>
        <w:jc w:val="center"/>
        <w:rPr>
          <w:b/>
          <w:bCs/>
        </w:rPr>
      </w:pPr>
    </w:p>
    <w:p w14:paraId="2A34F28D" w14:textId="77777777" w:rsidR="00A7010E" w:rsidRDefault="00A7010E" w:rsidP="00A7010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1.</w:t>
      </w:r>
      <w:r w:rsidRPr="00505265">
        <w:rPr>
          <w:rFonts w:ascii="Times New Roman" w:eastAsia="Times New Roman" w:hAnsi="Times New Roman" w:cs="Times New Roman"/>
          <w:b/>
          <w:bCs/>
          <w:kern w:val="0"/>
          <w:lang w:eastAsia="en-GB"/>
          <w14:ligatures w14:val="none"/>
        </w:rPr>
        <w:t>How AI Adoption, Geopolitical Supply Chain Disruptions, and Sustainability Mandates are Impacting Unilever’s International Strategy and Operations</w:t>
      </w:r>
    </w:p>
    <w:p w14:paraId="4C49D5C7" w14:textId="77777777" w:rsidR="00A7010E" w:rsidRDefault="00A7010E" w:rsidP="00A7010E">
      <w:pPr>
        <w:spacing w:after="0" w:line="240" w:lineRule="auto"/>
        <w:rPr>
          <w:rFonts w:ascii="Times New Roman" w:eastAsia="Times New Roman" w:hAnsi="Times New Roman" w:cs="Times New Roman"/>
          <w:kern w:val="0"/>
          <w:lang w:eastAsia="en-GB"/>
          <w14:ligatures w14:val="none"/>
        </w:rPr>
      </w:pPr>
      <w:r w:rsidRPr="00505265">
        <w:rPr>
          <w:rFonts w:ascii="Times New Roman" w:eastAsia="Times New Roman" w:hAnsi="Times New Roman" w:cs="Times New Roman"/>
          <w:kern w:val="0"/>
          <w:lang w:eastAsia="en-GB"/>
          <w14:ligatures w14:val="none"/>
        </w:rPr>
        <w:br/>
      </w:r>
      <w:r w:rsidRPr="00F2708D">
        <w:rPr>
          <w:rFonts w:ascii="Times New Roman" w:eastAsia="Times New Roman" w:hAnsi="Times New Roman" w:cs="Times New Roman"/>
          <w:kern w:val="0"/>
          <w:lang w:eastAsia="en-GB"/>
          <w14:ligatures w14:val="none"/>
        </w:rPr>
        <w:t>Globalisation, the ongoing process of the integration of national economies through trade, investment, capital flows and the spread of technology and knowledge (Dicken, 2015), remains a key feature of international business. But by the mid-2020s it had changed character. Observers talk of a process of “</w:t>
      </w:r>
      <w:proofErr w:type="spellStart"/>
      <w:r w:rsidRPr="00F2708D">
        <w:rPr>
          <w:rFonts w:ascii="Times New Roman" w:eastAsia="Times New Roman" w:hAnsi="Times New Roman" w:cs="Times New Roman"/>
          <w:kern w:val="0"/>
          <w:lang w:eastAsia="en-GB"/>
          <w14:ligatures w14:val="none"/>
        </w:rPr>
        <w:t>reglobalisation</w:t>
      </w:r>
      <w:proofErr w:type="spellEnd"/>
      <w:r w:rsidRPr="00F2708D">
        <w:rPr>
          <w:rFonts w:ascii="Times New Roman" w:eastAsia="Times New Roman" w:hAnsi="Times New Roman" w:cs="Times New Roman"/>
          <w:kern w:val="0"/>
          <w:lang w:eastAsia="en-GB"/>
          <w14:ligatures w14:val="none"/>
        </w:rPr>
        <w:t xml:space="preserve">” in which firms reconfigure global value chains around resilience, geopolitical alignment, technological capability and sustainability requirements, rather than simple liberalisation or deglobalisation (World Economic Forum, 2026; </w:t>
      </w:r>
      <w:proofErr w:type="spellStart"/>
      <w:r w:rsidRPr="00F2708D">
        <w:rPr>
          <w:rFonts w:ascii="Times New Roman" w:eastAsia="Times New Roman" w:hAnsi="Times New Roman" w:cs="Times New Roman"/>
          <w:kern w:val="0"/>
          <w:lang w:eastAsia="en-GB"/>
          <w14:ligatures w14:val="none"/>
        </w:rPr>
        <w:t>Benedikter</w:t>
      </w:r>
      <w:proofErr w:type="spellEnd"/>
      <w:r w:rsidRPr="00F2708D">
        <w:rPr>
          <w:rFonts w:ascii="Times New Roman" w:eastAsia="Times New Roman" w:hAnsi="Times New Roman" w:cs="Times New Roman"/>
          <w:kern w:val="0"/>
          <w:lang w:eastAsia="en-GB"/>
          <w14:ligatures w14:val="none"/>
        </w:rPr>
        <w:t>, 2025). The cross-border activity is still very large, but it is increasingly conditioned by multipolar power rivalries, rapid advances in artificial intelligence (AI) and binding environmental and social disclosure regimes.</w:t>
      </w:r>
      <w:r w:rsidRPr="00F2708D">
        <w:rPr>
          <w:rFonts w:ascii="Times New Roman" w:eastAsia="Times New Roman" w:hAnsi="Times New Roman" w:cs="Times New Roman"/>
          <w:kern w:val="0"/>
          <w:lang w:eastAsia="en-GB"/>
          <w14:ligatures w14:val="none"/>
        </w:rPr>
        <w:br/>
        <w:t xml:space="preserve">A clear case study of these dynamics can be seen in Unilever PLC, a British multinational consumer-goods company that is principally listed in London. Unilever has a global footprint, marketing brands such as Dove, Hellmann’s, Knorr and </w:t>
      </w:r>
      <w:proofErr w:type="spellStart"/>
      <w:r w:rsidRPr="00F2708D">
        <w:rPr>
          <w:rFonts w:ascii="Times New Roman" w:eastAsia="Times New Roman" w:hAnsi="Times New Roman" w:cs="Times New Roman"/>
          <w:kern w:val="0"/>
          <w:lang w:eastAsia="en-GB"/>
          <w14:ligatures w14:val="none"/>
        </w:rPr>
        <w:t>Domestos</w:t>
      </w:r>
      <w:proofErr w:type="spellEnd"/>
      <w:r w:rsidRPr="00F2708D">
        <w:rPr>
          <w:rFonts w:ascii="Times New Roman" w:eastAsia="Times New Roman" w:hAnsi="Times New Roman" w:cs="Times New Roman"/>
          <w:kern w:val="0"/>
          <w:lang w:eastAsia="en-GB"/>
          <w14:ligatures w14:val="none"/>
        </w:rPr>
        <w:t xml:space="preserve"> to around 3.7 billion consumers in almost 190 countries, and has extensive manufacturing, sourcing and distribution networks (Unilever, 2026a). Emerging markets account for a large share of turnover. This essay aims to critically assess how three intertwined forces—accelerating AI adoption, supply-chain vulnerabilities associated with geopolitical tensions (including Red Sea disruptions and China-Taiwan risks), and increased sustainability expectations exemplified by the EU Corporate Sustainability Reporting Directive (CSRD)—create both opportunities and challenges for Unilever’s international strategy and operations. The analysis addresses effects on market positioning, innovation, talent management and competitiveness before providing practical recommendations.</w:t>
      </w:r>
    </w:p>
    <w:p w14:paraId="479B02DE" w14:textId="77777777" w:rsidR="00A7010E" w:rsidRDefault="00A7010E" w:rsidP="00A7010E">
      <w:pPr>
        <w:spacing w:after="0" w:line="240" w:lineRule="auto"/>
        <w:rPr>
          <w:rFonts w:ascii="Times New Roman" w:eastAsia="Times New Roman" w:hAnsi="Times New Roman" w:cs="Times New Roman"/>
          <w:b/>
          <w:bCs/>
          <w:kern w:val="0"/>
          <w:lang w:eastAsia="en-GB"/>
          <w14:ligatures w14:val="none"/>
        </w:rPr>
      </w:pPr>
      <w:r w:rsidRPr="00F2708D">
        <w:rPr>
          <w:rFonts w:ascii="Times New Roman" w:eastAsia="Times New Roman" w:hAnsi="Times New Roman" w:cs="Times New Roman"/>
          <w:kern w:val="0"/>
          <w:lang w:eastAsia="en-GB"/>
          <w14:ligatures w14:val="none"/>
        </w:rPr>
        <w:br/>
      </w:r>
      <w:r>
        <w:rPr>
          <w:rFonts w:ascii="Times New Roman" w:eastAsia="Times New Roman" w:hAnsi="Times New Roman" w:cs="Times New Roman"/>
          <w:b/>
          <w:bCs/>
          <w:kern w:val="0"/>
          <w:lang w:eastAsia="en-GB"/>
          <w14:ligatures w14:val="none"/>
        </w:rPr>
        <w:t>2.</w:t>
      </w:r>
      <w:r w:rsidRPr="00505265">
        <w:rPr>
          <w:rFonts w:ascii="Times New Roman" w:eastAsia="Times New Roman" w:hAnsi="Times New Roman" w:cs="Times New Roman"/>
          <w:b/>
          <w:bCs/>
          <w:kern w:val="0"/>
          <w:lang w:eastAsia="en-GB"/>
          <w14:ligatures w14:val="none"/>
        </w:rPr>
        <w:t>The Opportunities and the Challenges</w:t>
      </w:r>
    </w:p>
    <w:p w14:paraId="20C9D4BE" w14:textId="77777777" w:rsidR="00A7010E" w:rsidRDefault="00A7010E" w:rsidP="00A7010E">
      <w:pPr>
        <w:spacing w:after="0" w:line="240" w:lineRule="auto"/>
        <w:rPr>
          <w:rFonts w:ascii="Times New Roman" w:eastAsia="Times New Roman" w:hAnsi="Times New Roman" w:cs="Times New Roman"/>
          <w:kern w:val="0"/>
          <w:lang w:eastAsia="en-GB"/>
          <w14:ligatures w14:val="none"/>
        </w:rPr>
      </w:pPr>
      <w:r w:rsidRPr="00505265">
        <w:rPr>
          <w:rFonts w:ascii="Times New Roman" w:eastAsia="Times New Roman" w:hAnsi="Times New Roman" w:cs="Times New Roman"/>
          <w:b/>
          <w:bCs/>
          <w:kern w:val="0"/>
          <w:lang w:eastAsia="en-GB"/>
          <w14:ligatures w14:val="none"/>
        </w:rPr>
        <w:br/>
      </w:r>
      <w:r w:rsidRPr="00F2708D">
        <w:rPr>
          <w:rFonts w:ascii="Times New Roman" w:eastAsia="Times New Roman" w:hAnsi="Times New Roman" w:cs="Times New Roman"/>
          <w:kern w:val="0"/>
          <w:lang w:eastAsia="en-GB"/>
          <w14:ligatures w14:val="none"/>
        </w:rPr>
        <w:t>AI provides Unilever with substantial operational and strategic benefits. The company has taken an explicit “AI-first” approach, training more than 23,000 employees in generative AI tools by late 2024 and rolling out hundreds of AI projects across the value chain (Unilever, 2026a; CIO Dive, 2026). Partnerships, including a five-year agreement with Google Cloud that uses Vertex AI and Gemini, to create a unified data and AI backbone (Unilever, 2026a). In manufacturing, digital twins with AI optimise energy use, ingredients and production scheduling, with one US personal-care plant reporting a 10 per cent increase in capacity (Unilever, 2026a). The balance of activity in research and development has inverted: around 80 per cent of laboratory work is now digital simulation, reducing innovation cycles from two-to-three years to nine-to-twelve months and allowing thousands of virtual experiments in seconds (Consumer Goods Technology, 2026). Marketing, too, has been similarly changed. Generative-AI platforms speed up content production by as much as 30 per cent, enhance key performance metrics and enable fast, culturally tailored campaigns (Unilever, 2025). Waste in temperature-sensitive categories like ice cream has been cut by demand-forecasting models that include weather data (Supply Chain Dive, 2025).</w:t>
      </w:r>
      <w:r w:rsidRPr="00F2708D">
        <w:rPr>
          <w:rFonts w:ascii="Times New Roman" w:eastAsia="Times New Roman" w:hAnsi="Times New Roman" w:cs="Times New Roman"/>
          <w:kern w:val="0"/>
          <w:lang w:eastAsia="en-GB"/>
          <w14:ligatures w14:val="none"/>
        </w:rPr>
        <w:br/>
        <w:t>These technological capabilities are also aligned with sustainability goals. Digital twins and process optimisation reduce energy and water consumption, while AI-enabled packaging design shortens development cycles and enables higher recycled content (Unilever, 2026b). Such gains are consistent with Unilever’s science-based targets of net-zero operational (Scope 1 and 2) emissions by 2030 and significant Scope 3 reductions by 2039 (Unilever, 2025).</w:t>
      </w:r>
      <w:r w:rsidRPr="00F2708D">
        <w:rPr>
          <w:rFonts w:ascii="Times New Roman" w:eastAsia="Times New Roman" w:hAnsi="Times New Roman" w:cs="Times New Roman"/>
          <w:kern w:val="0"/>
          <w:lang w:eastAsia="en-GB"/>
          <w14:ligatures w14:val="none"/>
        </w:rPr>
        <w:br/>
      </w:r>
      <w:r w:rsidRPr="00F2708D">
        <w:rPr>
          <w:rFonts w:ascii="Times New Roman" w:eastAsia="Times New Roman" w:hAnsi="Times New Roman" w:cs="Times New Roman"/>
          <w:kern w:val="0"/>
          <w:lang w:eastAsia="en-GB"/>
          <w14:ligatures w14:val="none"/>
        </w:rPr>
        <w:lastRenderedPageBreak/>
        <w:t>However, geopolitical and regulatory pressures create material challenges. Since late 2023, Houthi attacks in the Red Sea have diverted commercial shipping to longer Cape of Good Hope routes, raising freight rates, transit times and emissions while sharply reducing Suez Canal volumes (UNCTAD, 2025). Wider risks – US-China trade friction, possible disruption in the Taiwan Strait and increasing protectionism – threaten concentrated Asian sourcing and manufacturing nodes. Unilever’s response has been China-plus-one diversification, near-shoring (including investment in Mexican capacity), and more local-for-local production (</w:t>
      </w:r>
      <w:proofErr w:type="spellStart"/>
      <w:r w:rsidRPr="00F2708D">
        <w:rPr>
          <w:rFonts w:ascii="Times New Roman" w:eastAsia="Times New Roman" w:hAnsi="Times New Roman" w:cs="Times New Roman"/>
          <w:kern w:val="0"/>
          <w:lang w:eastAsia="en-GB"/>
          <w14:ligatures w14:val="none"/>
        </w:rPr>
        <w:t>Tradlinx</w:t>
      </w:r>
      <w:proofErr w:type="spellEnd"/>
      <w:r w:rsidRPr="00F2708D">
        <w:rPr>
          <w:rFonts w:ascii="Times New Roman" w:eastAsia="Times New Roman" w:hAnsi="Times New Roman" w:cs="Times New Roman"/>
          <w:kern w:val="0"/>
          <w:lang w:eastAsia="en-GB"/>
          <w14:ligatures w14:val="none"/>
        </w:rPr>
        <w:t>, 2025). Full decoupling is not feasible at China’s scale and integrated ecosystems of suppliers, and high logistics costs continue to squeeze margins on high-volume consumer goods.</w:t>
      </w:r>
      <w:r w:rsidRPr="00F2708D">
        <w:rPr>
          <w:rFonts w:ascii="Times New Roman" w:eastAsia="Times New Roman" w:hAnsi="Times New Roman" w:cs="Times New Roman"/>
          <w:kern w:val="0"/>
          <w:lang w:eastAsia="en-GB"/>
          <w14:ligatures w14:val="none"/>
        </w:rPr>
        <w:br/>
        <w:t>Growing complexity of sustainability regulation. Under the CSRD, large companies operating in the EU must report under European Sustainability Reporting Standards (ESRS), which include double materiality assessments, Scope 1–3 emissions and value-chain impacts (BDO, 2026). Unilever already produces sustainability statements that are in line with ESRS and are subject to limited external assurance (Unilever, 2026c). However, the need to collect reliable data across thousands of suppliers, assure Scope 3 accuracy and adapt to evolving Omnibus simplifications imposes ongoing compliance costs and managerial attention. Failure to disclose fully or accurately can damage a firm’s reputation and limit its ability to access capital.</w:t>
      </w:r>
    </w:p>
    <w:p w14:paraId="79F34B8C" w14:textId="77777777" w:rsidR="00A7010E" w:rsidRDefault="00A7010E" w:rsidP="00A7010E">
      <w:pPr>
        <w:spacing w:after="0" w:line="240" w:lineRule="auto"/>
        <w:rPr>
          <w:rFonts w:ascii="Times New Roman" w:eastAsia="Times New Roman" w:hAnsi="Times New Roman" w:cs="Times New Roman"/>
          <w:b/>
          <w:bCs/>
          <w:kern w:val="0"/>
          <w:lang w:eastAsia="en-GB"/>
          <w14:ligatures w14:val="none"/>
        </w:rPr>
      </w:pPr>
      <w:r w:rsidRPr="00F2708D">
        <w:rPr>
          <w:rFonts w:ascii="Times New Roman" w:eastAsia="Times New Roman" w:hAnsi="Times New Roman" w:cs="Times New Roman"/>
          <w:kern w:val="0"/>
          <w:lang w:eastAsia="en-GB"/>
          <w14:ligatures w14:val="none"/>
        </w:rPr>
        <w:br/>
      </w:r>
      <w:r>
        <w:rPr>
          <w:rFonts w:ascii="Times New Roman" w:eastAsia="Times New Roman" w:hAnsi="Times New Roman" w:cs="Times New Roman"/>
          <w:b/>
          <w:bCs/>
          <w:kern w:val="0"/>
          <w:lang w:eastAsia="en-GB"/>
          <w14:ligatures w14:val="none"/>
        </w:rPr>
        <w:t>3.</w:t>
      </w:r>
      <w:r w:rsidRPr="00F2708D">
        <w:rPr>
          <w:rFonts w:ascii="Times New Roman" w:eastAsia="Times New Roman" w:hAnsi="Times New Roman" w:cs="Times New Roman"/>
          <w:b/>
          <w:bCs/>
          <w:kern w:val="0"/>
          <w:lang w:eastAsia="en-GB"/>
          <w14:ligatures w14:val="none"/>
        </w:rPr>
        <w:t>Effects on the organization</w:t>
      </w:r>
    </w:p>
    <w:p w14:paraId="05A6217D" w14:textId="77777777" w:rsidR="00A7010E" w:rsidRDefault="00A7010E" w:rsidP="00A7010E">
      <w:pPr>
        <w:spacing w:after="0" w:line="240" w:lineRule="auto"/>
        <w:rPr>
          <w:rFonts w:ascii="Times New Roman" w:eastAsia="Times New Roman" w:hAnsi="Times New Roman" w:cs="Times New Roman"/>
          <w:kern w:val="0"/>
          <w:lang w:eastAsia="en-GB"/>
          <w14:ligatures w14:val="none"/>
        </w:rPr>
      </w:pPr>
      <w:r w:rsidRPr="00F2708D">
        <w:rPr>
          <w:rFonts w:ascii="Times New Roman" w:eastAsia="Times New Roman" w:hAnsi="Times New Roman" w:cs="Times New Roman"/>
          <w:kern w:val="0"/>
          <w:lang w:eastAsia="en-GB"/>
          <w14:ligatures w14:val="none"/>
        </w:rPr>
        <w:br/>
        <w:t>Combined, these forces redefine Unilever’s market positioning, innovation capacity, talent strategies and competitive position. On the positive side, AI-driven speed-to-market and personalised demand creation boost brand desirability and help Power Brands achieve premiumization. Digital twins and predictive analytics fortify supply chain resilience by allowing for quicker recovery from disruptions and more dependable service levels, which bolster competitive advantage against both global peers and nimble local players (World Economic Forum, 2026). Assured sustainability reporting also differentiates the firm with environmentally conscious consumers, retailers and investors, particularly in Europe (Unilever, 2026c).</w:t>
      </w:r>
      <w:r w:rsidRPr="00F2708D">
        <w:rPr>
          <w:rFonts w:ascii="Times New Roman" w:eastAsia="Times New Roman" w:hAnsi="Times New Roman" w:cs="Times New Roman"/>
          <w:kern w:val="0"/>
          <w:lang w:eastAsia="en-GB"/>
          <w14:ligatures w14:val="none"/>
        </w:rPr>
        <w:br/>
      </w:r>
      <w:proofErr w:type="spellStart"/>
      <w:r w:rsidRPr="00F2708D">
        <w:rPr>
          <w:rFonts w:ascii="Times New Roman" w:eastAsia="Times New Roman" w:hAnsi="Times New Roman" w:cs="Times New Roman"/>
          <w:kern w:val="0"/>
          <w:lang w:eastAsia="en-GB"/>
          <w14:ligatures w14:val="none"/>
        </w:rPr>
        <w:t>Constrainings</w:t>
      </w:r>
      <w:proofErr w:type="spellEnd"/>
      <w:r w:rsidRPr="00F2708D">
        <w:rPr>
          <w:rFonts w:ascii="Times New Roman" w:eastAsia="Times New Roman" w:hAnsi="Times New Roman" w:cs="Times New Roman"/>
          <w:kern w:val="0"/>
          <w:lang w:eastAsia="en-GB"/>
          <w14:ligatures w14:val="none"/>
        </w:rPr>
        <w:t xml:space="preserve"> are also visible. Higher logistics costs and the necessity of inventory buffers erode gross margins and limit pricing flexibility in inflation-sensitive markets. Significant funding for AI infrastructure, data governance and specialist talent is competing for capital against brand building and geographic expansion. Talent management has a twofold challenge: to attract scarce AI, data-science and sustainability specialists and reskill a large traditional workforce, while tackling potential displacement concerns. Geopolitical fragmentation may further constrain the free movement of people and knowledge. Ultimately, competitiveness is about execution: organisations that treat AI and sustainability as peripheral compliance exercises risk falling behind those that embed both into core strategy.</w:t>
      </w:r>
    </w:p>
    <w:p w14:paraId="515F73FA" w14:textId="77777777" w:rsidR="00A7010E" w:rsidRDefault="00A7010E" w:rsidP="00A7010E">
      <w:pPr>
        <w:spacing w:after="0" w:line="240" w:lineRule="auto"/>
        <w:rPr>
          <w:rFonts w:ascii="Times New Roman" w:eastAsia="Times New Roman" w:hAnsi="Times New Roman" w:cs="Times New Roman"/>
          <w:b/>
          <w:bCs/>
          <w:kern w:val="0"/>
          <w:lang w:eastAsia="en-GB"/>
          <w14:ligatures w14:val="none"/>
        </w:rPr>
      </w:pPr>
      <w:r w:rsidRPr="00F2708D">
        <w:rPr>
          <w:rFonts w:ascii="Times New Roman" w:eastAsia="Times New Roman" w:hAnsi="Times New Roman" w:cs="Times New Roman"/>
          <w:kern w:val="0"/>
          <w:lang w:eastAsia="en-GB"/>
          <w14:ligatures w14:val="none"/>
        </w:rPr>
        <w:br/>
      </w:r>
      <w:r>
        <w:rPr>
          <w:rFonts w:ascii="Times New Roman" w:eastAsia="Times New Roman" w:hAnsi="Times New Roman" w:cs="Times New Roman"/>
          <w:b/>
          <w:bCs/>
          <w:kern w:val="0"/>
          <w:lang w:eastAsia="en-GB"/>
          <w14:ligatures w14:val="none"/>
        </w:rPr>
        <w:t>4.</w:t>
      </w:r>
      <w:r w:rsidRPr="00505265">
        <w:rPr>
          <w:rFonts w:ascii="Times New Roman" w:eastAsia="Times New Roman" w:hAnsi="Times New Roman" w:cs="Times New Roman"/>
          <w:b/>
          <w:bCs/>
          <w:kern w:val="0"/>
          <w:lang w:eastAsia="en-GB"/>
          <w14:ligatures w14:val="none"/>
        </w:rPr>
        <w:t>Strategy Making Recommendations</w:t>
      </w:r>
    </w:p>
    <w:p w14:paraId="55F1272B" w14:textId="77777777" w:rsidR="00A7010E" w:rsidRDefault="00A7010E" w:rsidP="00A7010E">
      <w:pPr>
        <w:spacing w:after="0" w:line="240" w:lineRule="auto"/>
        <w:rPr>
          <w:rFonts w:ascii="Times New Roman" w:eastAsia="Times New Roman" w:hAnsi="Times New Roman" w:cs="Times New Roman"/>
          <w:kern w:val="0"/>
          <w:lang w:eastAsia="en-GB"/>
          <w14:ligatures w14:val="none"/>
        </w:rPr>
      </w:pPr>
      <w:r w:rsidRPr="00F2708D">
        <w:rPr>
          <w:rFonts w:ascii="Times New Roman" w:eastAsia="Times New Roman" w:hAnsi="Times New Roman" w:cs="Times New Roman"/>
          <w:kern w:val="0"/>
          <w:lang w:eastAsia="en-GB"/>
          <w14:ligatures w14:val="none"/>
        </w:rPr>
        <w:br/>
        <w:t xml:space="preserve">Unilever can turn these forces into sustained advantage through four practical priorities. First, scale proven AI applications, while embedding strong governance. Under clear responsible-AI principles and human oversight, expanding digital-twin, generative-content and predictive-maintenance solutions across the global manufacturing and marketing network will maximise productivity gains and mitigate reputational or regulatory risks (Unilever, 2026a). Second, improve supply chain resilience by adopting modular, multi-regional footprints and advanced visibility platforms. More near-shoring, dual-sourcing of key </w:t>
      </w:r>
      <w:r w:rsidRPr="00F2708D">
        <w:rPr>
          <w:rFonts w:ascii="Times New Roman" w:eastAsia="Times New Roman" w:hAnsi="Times New Roman" w:cs="Times New Roman"/>
          <w:kern w:val="0"/>
          <w:lang w:eastAsia="en-GB"/>
          <w14:ligatures w14:val="none"/>
        </w:rPr>
        <w:lastRenderedPageBreak/>
        <w:t xml:space="preserve">ingredients and packaging, and AI-enabled scenario planning for chokepoint disruptions will reduce exposure to shocks related to the Red Sea or Taiwan, without sacrificing efficiency (UNCTAD, 2025; </w:t>
      </w:r>
      <w:proofErr w:type="spellStart"/>
      <w:r w:rsidRPr="00F2708D">
        <w:rPr>
          <w:rFonts w:ascii="Times New Roman" w:eastAsia="Times New Roman" w:hAnsi="Times New Roman" w:cs="Times New Roman"/>
          <w:kern w:val="0"/>
          <w:lang w:eastAsia="en-GB"/>
          <w14:ligatures w14:val="none"/>
        </w:rPr>
        <w:t>Tradlinx</w:t>
      </w:r>
      <w:proofErr w:type="spellEnd"/>
      <w:r w:rsidRPr="00F2708D">
        <w:rPr>
          <w:rFonts w:ascii="Times New Roman" w:eastAsia="Times New Roman" w:hAnsi="Times New Roman" w:cs="Times New Roman"/>
          <w:kern w:val="0"/>
          <w:lang w:eastAsia="en-GB"/>
          <w14:ligatures w14:val="none"/>
        </w:rPr>
        <w:t>, 2025). Third, treat CSRD and other related disclosure regimes as strategic assets. High-quality, assured sustainability data can help brands to stand out, encourage suppliers to engage in regenerative practices and attract green finance (BDO, 2026). Fourth, systematically invest in talent and organisational culture. Scaling up AI-fluency programmes, creating hybrid career paths that combine domain expertise with digital skills, and building cross-functional “AI + sustainability” teams will ensure the organisation can both invent and implement solutions at scale.</w:t>
      </w:r>
    </w:p>
    <w:p w14:paraId="1F78854C" w14:textId="77777777" w:rsidR="00A7010E" w:rsidRDefault="00A7010E" w:rsidP="00A7010E">
      <w:pPr>
        <w:spacing w:after="0" w:line="240" w:lineRule="auto"/>
        <w:rPr>
          <w:rFonts w:ascii="Times New Roman" w:eastAsia="Times New Roman" w:hAnsi="Times New Roman" w:cs="Times New Roman"/>
          <w:b/>
          <w:bCs/>
          <w:kern w:val="0"/>
          <w:lang w:eastAsia="en-GB"/>
          <w14:ligatures w14:val="none"/>
        </w:rPr>
      </w:pPr>
      <w:r w:rsidRPr="00F2708D">
        <w:rPr>
          <w:rFonts w:ascii="Times New Roman" w:eastAsia="Times New Roman" w:hAnsi="Times New Roman" w:cs="Times New Roman"/>
          <w:kern w:val="0"/>
          <w:lang w:eastAsia="en-GB"/>
          <w14:ligatures w14:val="none"/>
        </w:rPr>
        <w:br/>
      </w:r>
      <w:r>
        <w:rPr>
          <w:rFonts w:ascii="Times New Roman" w:eastAsia="Times New Roman" w:hAnsi="Times New Roman" w:cs="Times New Roman"/>
          <w:b/>
          <w:bCs/>
          <w:kern w:val="0"/>
          <w:lang w:eastAsia="en-GB"/>
          <w14:ligatures w14:val="none"/>
        </w:rPr>
        <w:t>5.</w:t>
      </w:r>
      <w:r w:rsidRPr="00F2708D">
        <w:rPr>
          <w:rFonts w:ascii="Times New Roman" w:eastAsia="Times New Roman" w:hAnsi="Times New Roman" w:cs="Times New Roman"/>
          <w:b/>
          <w:bCs/>
          <w:kern w:val="0"/>
          <w:lang w:eastAsia="en-GB"/>
          <w14:ligatures w14:val="none"/>
        </w:rPr>
        <w:t>Conclusions</w:t>
      </w:r>
    </w:p>
    <w:p w14:paraId="6D9E84EE" w14:textId="77777777" w:rsidR="00A7010E" w:rsidRPr="00F2708D" w:rsidRDefault="00A7010E" w:rsidP="00A7010E">
      <w:pPr>
        <w:spacing w:after="0" w:line="240" w:lineRule="auto"/>
        <w:rPr>
          <w:rFonts w:ascii="Times New Roman" w:eastAsia="Times New Roman" w:hAnsi="Times New Roman" w:cs="Times New Roman"/>
          <w:kern w:val="0"/>
          <w:lang w:eastAsia="en-GB"/>
          <w14:ligatures w14:val="none"/>
        </w:rPr>
      </w:pPr>
      <w:r w:rsidRPr="00F2708D">
        <w:rPr>
          <w:rFonts w:ascii="Times New Roman" w:eastAsia="Times New Roman" w:hAnsi="Times New Roman" w:cs="Times New Roman"/>
          <w:kern w:val="0"/>
          <w:lang w:eastAsia="en-GB"/>
          <w14:ligatures w14:val="none"/>
        </w:rPr>
        <w:br/>
        <w:t xml:space="preserve">AI adoption, geopolitical supply-chain pressures and sustainability mandates are not isolated shocks but interlocking features of contemporary globalisation. For Unilever they simultaneously </w:t>
      </w:r>
      <w:proofErr w:type="gramStart"/>
      <w:r w:rsidRPr="00F2708D">
        <w:rPr>
          <w:rFonts w:ascii="Times New Roman" w:eastAsia="Times New Roman" w:hAnsi="Times New Roman" w:cs="Times New Roman"/>
          <w:kern w:val="0"/>
          <w:lang w:eastAsia="en-GB"/>
          <w14:ligatures w14:val="none"/>
        </w:rPr>
        <w:t>open up</w:t>
      </w:r>
      <w:proofErr w:type="gramEnd"/>
      <w:r w:rsidRPr="00F2708D">
        <w:rPr>
          <w:rFonts w:ascii="Times New Roman" w:eastAsia="Times New Roman" w:hAnsi="Times New Roman" w:cs="Times New Roman"/>
          <w:kern w:val="0"/>
          <w:lang w:eastAsia="en-GB"/>
          <w14:ligatures w14:val="none"/>
        </w:rPr>
        <w:t xml:space="preserve"> routes to faster innovation, greater operational agility and stronger brand differentiation while imposing cost, complexity and risk. Companies that view these forces as strategic variables—investing in technology, re-configuring networks and embedding transparency—can improve their long-term competitiveness; those that respond reactively risk erosion of margins and market position. And understanding these global dynamics, and proactively responding to them, continues to be critical to effective international business strategy in the late 2020s and beyond.</w:t>
      </w:r>
      <w:r w:rsidRPr="00F2708D">
        <w:rPr>
          <w:rFonts w:ascii="Times New Roman" w:eastAsia="Times New Roman" w:hAnsi="Times New Roman" w:cs="Times New Roman"/>
          <w:kern w:val="0"/>
          <w:lang w:eastAsia="en-GB"/>
          <w14:ligatures w14:val="none"/>
        </w:rPr>
        <w:br/>
        <w:t>Bibliography</w:t>
      </w:r>
    </w:p>
    <w:p w14:paraId="755E93DF" w14:textId="77777777" w:rsidR="00A7010E" w:rsidRDefault="00A7010E" w:rsidP="00A7010E">
      <w:pPr>
        <w:jc w:val="center"/>
        <w:rPr>
          <w:b/>
          <w:bCs/>
        </w:rPr>
      </w:pPr>
    </w:p>
    <w:p w14:paraId="485BC421" w14:textId="77777777" w:rsidR="00A7010E" w:rsidRDefault="00A7010E" w:rsidP="00A7010E">
      <w:pPr>
        <w:jc w:val="center"/>
        <w:rPr>
          <w:b/>
          <w:bCs/>
        </w:rPr>
      </w:pPr>
    </w:p>
    <w:p w14:paraId="037FF20B" w14:textId="77777777" w:rsidR="00A7010E" w:rsidRDefault="00A7010E" w:rsidP="00A7010E">
      <w:pPr>
        <w:jc w:val="center"/>
        <w:rPr>
          <w:b/>
          <w:bCs/>
        </w:rPr>
      </w:pPr>
    </w:p>
    <w:p w14:paraId="5E75517B" w14:textId="77777777" w:rsidR="00A7010E" w:rsidRDefault="00A7010E" w:rsidP="00A7010E">
      <w:pPr>
        <w:jc w:val="center"/>
        <w:rPr>
          <w:b/>
          <w:bCs/>
        </w:rPr>
      </w:pPr>
    </w:p>
    <w:p w14:paraId="55C3D272" w14:textId="77777777" w:rsidR="00A7010E" w:rsidRDefault="00A7010E" w:rsidP="00A7010E">
      <w:pPr>
        <w:jc w:val="center"/>
        <w:rPr>
          <w:b/>
          <w:bCs/>
        </w:rPr>
      </w:pPr>
    </w:p>
    <w:p w14:paraId="546D356E" w14:textId="77777777" w:rsidR="00A7010E" w:rsidRDefault="00A7010E" w:rsidP="00A7010E">
      <w:pPr>
        <w:jc w:val="center"/>
        <w:rPr>
          <w:b/>
          <w:bCs/>
        </w:rPr>
      </w:pPr>
    </w:p>
    <w:p w14:paraId="7CA7AAE1" w14:textId="77777777" w:rsidR="00A7010E" w:rsidRDefault="00A7010E" w:rsidP="00A7010E">
      <w:pPr>
        <w:jc w:val="center"/>
        <w:rPr>
          <w:b/>
          <w:bCs/>
        </w:rPr>
      </w:pPr>
    </w:p>
    <w:p w14:paraId="4753657C" w14:textId="77777777" w:rsidR="00A7010E" w:rsidRDefault="00A7010E" w:rsidP="00A7010E">
      <w:pPr>
        <w:jc w:val="center"/>
        <w:rPr>
          <w:b/>
          <w:bCs/>
        </w:rPr>
      </w:pPr>
    </w:p>
    <w:p w14:paraId="656927AD" w14:textId="77777777" w:rsidR="00A7010E" w:rsidRDefault="00A7010E" w:rsidP="00A7010E">
      <w:pPr>
        <w:jc w:val="center"/>
        <w:rPr>
          <w:b/>
          <w:bCs/>
        </w:rPr>
      </w:pPr>
    </w:p>
    <w:p w14:paraId="0E240BB1" w14:textId="77777777" w:rsidR="00A7010E" w:rsidRDefault="00A7010E" w:rsidP="00A7010E">
      <w:pPr>
        <w:jc w:val="center"/>
        <w:rPr>
          <w:b/>
          <w:bCs/>
        </w:rPr>
      </w:pPr>
    </w:p>
    <w:p w14:paraId="17E131BC" w14:textId="77777777" w:rsidR="00A7010E" w:rsidRDefault="00A7010E" w:rsidP="00A7010E">
      <w:pPr>
        <w:jc w:val="center"/>
        <w:rPr>
          <w:b/>
          <w:bCs/>
        </w:rPr>
      </w:pPr>
    </w:p>
    <w:p w14:paraId="353DC81F" w14:textId="77777777" w:rsidR="00A7010E" w:rsidRDefault="00A7010E" w:rsidP="00A7010E">
      <w:pPr>
        <w:jc w:val="center"/>
        <w:rPr>
          <w:b/>
          <w:bCs/>
        </w:rPr>
      </w:pPr>
    </w:p>
    <w:p w14:paraId="1E332A66" w14:textId="77777777" w:rsidR="00A7010E" w:rsidRDefault="00A7010E" w:rsidP="00A7010E">
      <w:pPr>
        <w:jc w:val="center"/>
        <w:rPr>
          <w:b/>
          <w:bCs/>
        </w:rPr>
      </w:pPr>
    </w:p>
    <w:p w14:paraId="2BEE5C6E" w14:textId="77777777" w:rsidR="00A7010E" w:rsidRDefault="00A7010E" w:rsidP="00A7010E">
      <w:pPr>
        <w:jc w:val="center"/>
        <w:rPr>
          <w:b/>
          <w:bCs/>
        </w:rPr>
      </w:pPr>
    </w:p>
    <w:p w14:paraId="725CA579" w14:textId="77777777" w:rsidR="00A7010E" w:rsidRDefault="00A7010E" w:rsidP="00A7010E">
      <w:pPr>
        <w:jc w:val="center"/>
        <w:rPr>
          <w:b/>
          <w:bCs/>
        </w:rPr>
      </w:pPr>
    </w:p>
    <w:p w14:paraId="67451807" w14:textId="77777777" w:rsidR="00A7010E" w:rsidRDefault="00A7010E" w:rsidP="00A7010E">
      <w:pPr>
        <w:jc w:val="center"/>
        <w:rPr>
          <w:b/>
          <w:bCs/>
        </w:rPr>
      </w:pPr>
    </w:p>
    <w:p w14:paraId="60B7B529" w14:textId="77777777" w:rsidR="00A7010E" w:rsidRDefault="00A7010E" w:rsidP="00A7010E">
      <w:pPr>
        <w:rPr>
          <w:b/>
          <w:bCs/>
        </w:rPr>
      </w:pPr>
      <w:r>
        <w:rPr>
          <w:b/>
          <w:bCs/>
        </w:rPr>
        <w:lastRenderedPageBreak/>
        <w:t>6.Refferences</w:t>
      </w:r>
    </w:p>
    <w:p w14:paraId="02ADBFF6" w14:textId="77777777" w:rsidR="00A7010E" w:rsidRDefault="00A7010E" w:rsidP="00A7010E">
      <w:pPr>
        <w:pStyle w:val="NormalWeb"/>
      </w:pPr>
      <w:r>
        <w:t xml:space="preserve">BDO (2026) </w:t>
      </w:r>
      <w:r>
        <w:rPr>
          <w:rStyle w:val="Emphasis"/>
        </w:rPr>
        <w:t>Q&amp;A: EU expands ESG reporting requirements through the CSRD</w:t>
      </w:r>
      <w:r>
        <w:t xml:space="preserve">. Available at: </w:t>
      </w:r>
      <w:hyperlink r:id="rId6" w:tgtFrame="_blank" w:history="1">
        <w:r>
          <w:rPr>
            <w:rStyle w:val="Hyperlink"/>
          </w:rPr>
          <w:t>https://www.bdo.com/insights/assurance/q-a-eu-expands-esg-reporting-requirements-through-the-csrd</w:t>
        </w:r>
      </w:hyperlink>
      <w:r>
        <w:t xml:space="preserve"> (Accessed: 26 July 2026).</w:t>
      </w:r>
    </w:p>
    <w:p w14:paraId="5EAA0094" w14:textId="77777777" w:rsidR="00A7010E" w:rsidRDefault="00A7010E" w:rsidP="00A7010E">
      <w:pPr>
        <w:pStyle w:val="NormalWeb"/>
      </w:pPr>
      <w:proofErr w:type="spellStart"/>
      <w:r>
        <w:t>Benedikter</w:t>
      </w:r>
      <w:proofErr w:type="spellEnd"/>
      <w:r>
        <w:t>, R. (2025) ‘</w:t>
      </w:r>
      <w:proofErr w:type="spellStart"/>
      <w:r>
        <w:t>Reglobalization</w:t>
      </w:r>
      <w:proofErr w:type="spellEnd"/>
      <w:r>
        <w:t xml:space="preserve">, whereto? A summary and outlook of six years of </w:t>
      </w:r>
      <w:proofErr w:type="spellStart"/>
      <w:r>
        <w:t>reglobalization</w:t>
      </w:r>
      <w:proofErr w:type="spellEnd"/>
      <w:r>
        <w:t xml:space="preserve">, 2019–2025’, </w:t>
      </w:r>
      <w:r>
        <w:rPr>
          <w:rStyle w:val="Emphasis"/>
        </w:rPr>
        <w:t>global-e Journal</w:t>
      </w:r>
      <w:r>
        <w:t xml:space="preserve">, 16(10). Available at: </w:t>
      </w:r>
      <w:hyperlink r:id="rId7" w:tgtFrame="_blank" w:history="1">
        <w:r>
          <w:rPr>
            <w:rStyle w:val="Hyperlink"/>
          </w:rPr>
          <w:t>https://globalejournal.org</w:t>
        </w:r>
      </w:hyperlink>
      <w:r>
        <w:t xml:space="preserve"> (Accessed: 26 July 2026).</w:t>
      </w:r>
    </w:p>
    <w:p w14:paraId="3AE52128" w14:textId="77777777" w:rsidR="00A7010E" w:rsidRDefault="00A7010E" w:rsidP="00A7010E">
      <w:pPr>
        <w:pStyle w:val="NormalWeb"/>
      </w:pPr>
      <w:r>
        <w:t xml:space="preserve">CIO Dive (2026) ‘Unilever targets agentic AI with Google Cloud deal’. Available at: </w:t>
      </w:r>
      <w:hyperlink r:id="rId8" w:tgtFrame="_blank" w:history="1">
        <w:r>
          <w:rPr>
            <w:rStyle w:val="Hyperlink"/>
          </w:rPr>
          <w:t>https://www.ciodive.com</w:t>
        </w:r>
      </w:hyperlink>
      <w:r>
        <w:t xml:space="preserve"> (Accessed: 26 July 2026).</w:t>
      </w:r>
    </w:p>
    <w:p w14:paraId="0335E1E3" w14:textId="77777777" w:rsidR="00A7010E" w:rsidRDefault="00A7010E" w:rsidP="00A7010E">
      <w:pPr>
        <w:pStyle w:val="NormalWeb"/>
      </w:pPr>
      <w:r>
        <w:t xml:space="preserve">Consumer Goods Technology (2026) ‘Unilever reengineers R&amp;D and marketing for the AI age’. Available at: </w:t>
      </w:r>
      <w:hyperlink r:id="rId9" w:tgtFrame="_blank" w:history="1">
        <w:r>
          <w:rPr>
            <w:rStyle w:val="Hyperlink"/>
          </w:rPr>
          <w:t>https://consumergoods.com</w:t>
        </w:r>
      </w:hyperlink>
      <w:r>
        <w:t xml:space="preserve"> (Accessed: 26 July 2026).</w:t>
      </w:r>
    </w:p>
    <w:p w14:paraId="45277996" w14:textId="77777777" w:rsidR="00A7010E" w:rsidRDefault="00A7010E" w:rsidP="00A7010E">
      <w:pPr>
        <w:pStyle w:val="NormalWeb"/>
      </w:pPr>
      <w:r>
        <w:t xml:space="preserve">Dicken, P. (2015) </w:t>
      </w:r>
      <w:r>
        <w:rPr>
          <w:rStyle w:val="Emphasis"/>
        </w:rPr>
        <w:t>Global shift: mapping the changing contours of the world economy</w:t>
      </w:r>
      <w:r>
        <w:t xml:space="preserve">. 7th </w:t>
      </w:r>
      <w:proofErr w:type="spellStart"/>
      <w:r>
        <w:t>edn</w:t>
      </w:r>
      <w:proofErr w:type="spellEnd"/>
      <w:r>
        <w:t>. London: Sage.</w:t>
      </w:r>
    </w:p>
    <w:p w14:paraId="16704B36" w14:textId="77777777" w:rsidR="00A7010E" w:rsidRDefault="00A7010E" w:rsidP="00A7010E">
      <w:pPr>
        <w:pStyle w:val="NormalWeb"/>
      </w:pPr>
      <w:r>
        <w:t xml:space="preserve">Supply Chain Dive (2025) ‘Unilever’s ice cream supply chain looks to solve last-mile </w:t>
      </w:r>
      <w:proofErr w:type="gramStart"/>
      <w:r>
        <w:t>hurdles’</w:t>
      </w:r>
      <w:proofErr w:type="gramEnd"/>
      <w:r>
        <w:t xml:space="preserve">. Available at: </w:t>
      </w:r>
      <w:hyperlink r:id="rId10" w:tgtFrame="_blank" w:history="1">
        <w:r>
          <w:rPr>
            <w:rStyle w:val="Hyperlink"/>
          </w:rPr>
          <w:t>https://www.supplychaindive.com</w:t>
        </w:r>
      </w:hyperlink>
      <w:r>
        <w:t xml:space="preserve"> (Accessed: 26 July 2026).</w:t>
      </w:r>
    </w:p>
    <w:p w14:paraId="6D020751" w14:textId="77777777" w:rsidR="00A7010E" w:rsidRDefault="00A7010E" w:rsidP="00A7010E">
      <w:pPr>
        <w:pStyle w:val="NormalWeb"/>
      </w:pPr>
      <w:proofErr w:type="spellStart"/>
      <w:r>
        <w:t>TechInformed</w:t>
      </w:r>
      <w:proofErr w:type="spellEnd"/>
      <w:r>
        <w:t xml:space="preserve"> (2026) ‘Unilever moves AI digital twins from factory deployments toward process control’. Available at: </w:t>
      </w:r>
      <w:hyperlink r:id="rId11" w:tgtFrame="_blank" w:history="1">
        <w:r>
          <w:rPr>
            <w:rStyle w:val="Hyperlink"/>
          </w:rPr>
          <w:t>https://techinformed.com</w:t>
        </w:r>
      </w:hyperlink>
      <w:r>
        <w:t xml:space="preserve"> (Accessed: 26 July 2026).</w:t>
      </w:r>
    </w:p>
    <w:p w14:paraId="01DFB12E" w14:textId="77777777" w:rsidR="00A7010E" w:rsidRDefault="00A7010E" w:rsidP="00A7010E">
      <w:pPr>
        <w:pStyle w:val="NormalWeb"/>
      </w:pPr>
      <w:proofErr w:type="spellStart"/>
      <w:r>
        <w:t>Tradlinx</w:t>
      </w:r>
      <w:proofErr w:type="spellEnd"/>
      <w:r>
        <w:t xml:space="preserve"> (2025) ‘How Unilever minimized tariff exposure and built a resilient global supply chain’. Available at: </w:t>
      </w:r>
      <w:hyperlink r:id="rId12" w:tgtFrame="_blank" w:history="1">
        <w:r>
          <w:rPr>
            <w:rStyle w:val="Hyperlink"/>
          </w:rPr>
          <w:t>https://blogs.tradlinx.com</w:t>
        </w:r>
      </w:hyperlink>
      <w:r>
        <w:t xml:space="preserve"> (Accessed: 26 July 2026).</w:t>
      </w:r>
    </w:p>
    <w:p w14:paraId="7D9CE3D6" w14:textId="77777777" w:rsidR="00A7010E" w:rsidRDefault="00A7010E" w:rsidP="00A7010E">
      <w:pPr>
        <w:pStyle w:val="NormalWeb"/>
      </w:pPr>
      <w:r>
        <w:t xml:space="preserve">UNCTAD (2025) </w:t>
      </w:r>
      <w:r>
        <w:rPr>
          <w:rStyle w:val="Emphasis"/>
        </w:rPr>
        <w:t>Review of maritime transport 2025: staying the course in turbulent waters</w:t>
      </w:r>
      <w:r>
        <w:t>. Geneva: United Nations Conference on Trade and Development.</w:t>
      </w:r>
    </w:p>
    <w:p w14:paraId="06DD7672" w14:textId="77777777" w:rsidR="00A7010E" w:rsidRDefault="00A7010E" w:rsidP="00A7010E">
      <w:pPr>
        <w:pStyle w:val="NormalWeb"/>
      </w:pPr>
      <w:r>
        <w:t xml:space="preserve">Unilever (2025) </w:t>
      </w:r>
      <w:r>
        <w:rPr>
          <w:rStyle w:val="Emphasis"/>
        </w:rPr>
        <w:t>How AI is helping drive Desire at Scale across Unilever</w:t>
      </w:r>
      <w:r>
        <w:t xml:space="preserve">. Available at: </w:t>
      </w:r>
      <w:hyperlink r:id="rId13" w:tgtFrame="_blank" w:history="1">
        <w:r>
          <w:rPr>
            <w:rStyle w:val="Hyperlink"/>
          </w:rPr>
          <w:t>https://www.unilever.co.uk</w:t>
        </w:r>
      </w:hyperlink>
      <w:r>
        <w:t xml:space="preserve"> (Accessed: 26 July 2026).</w:t>
      </w:r>
    </w:p>
    <w:p w14:paraId="7915949B" w14:textId="77777777" w:rsidR="00A7010E" w:rsidRDefault="00A7010E" w:rsidP="00A7010E">
      <w:pPr>
        <w:pStyle w:val="NormalWeb"/>
      </w:pPr>
      <w:r>
        <w:t xml:space="preserve">Unilever (2026a) </w:t>
      </w:r>
      <w:r>
        <w:rPr>
          <w:rStyle w:val="Emphasis"/>
        </w:rPr>
        <w:t>How Unilever is building an AI-first enterprise at scale</w:t>
      </w:r>
      <w:r>
        <w:t xml:space="preserve">. Available at: </w:t>
      </w:r>
      <w:hyperlink r:id="rId14" w:tgtFrame="_blank" w:history="1">
        <w:r>
          <w:rPr>
            <w:rStyle w:val="Hyperlink"/>
          </w:rPr>
          <w:t>https://www.unilever.com</w:t>
        </w:r>
      </w:hyperlink>
      <w:r>
        <w:t xml:space="preserve"> (Accessed: 26 July 2026).</w:t>
      </w:r>
    </w:p>
    <w:p w14:paraId="4BF2EA0E" w14:textId="77777777" w:rsidR="00A7010E" w:rsidRDefault="00A7010E" w:rsidP="00A7010E">
      <w:pPr>
        <w:pStyle w:val="NormalWeb"/>
      </w:pPr>
      <w:r>
        <w:t xml:space="preserve">Unilever (2026b) </w:t>
      </w:r>
      <w:r>
        <w:rPr>
          <w:rStyle w:val="Emphasis"/>
        </w:rPr>
        <w:t>Unilever Annual Report and Accounts 2025</w:t>
      </w:r>
      <w:r>
        <w:t>. London: Unilever PLC.</w:t>
      </w:r>
    </w:p>
    <w:p w14:paraId="4109FCB8" w14:textId="77777777" w:rsidR="00A7010E" w:rsidRDefault="00A7010E" w:rsidP="00A7010E">
      <w:pPr>
        <w:pStyle w:val="NormalWeb"/>
      </w:pPr>
      <w:r>
        <w:t xml:space="preserve">Unilever (2026c) </w:t>
      </w:r>
      <w:r>
        <w:rPr>
          <w:rStyle w:val="Emphasis"/>
        </w:rPr>
        <w:t>Sustainability statement</w:t>
      </w:r>
      <w:r>
        <w:t xml:space="preserve">. Available at: </w:t>
      </w:r>
      <w:hyperlink r:id="rId15" w:tgtFrame="_blank" w:history="1">
        <w:r>
          <w:rPr>
            <w:rStyle w:val="Hyperlink"/>
          </w:rPr>
          <w:t>https://www.unilever.com</w:t>
        </w:r>
      </w:hyperlink>
      <w:r>
        <w:t xml:space="preserve"> (Accessed: 26 July 2026).</w:t>
      </w:r>
    </w:p>
    <w:p w14:paraId="3730EC52" w14:textId="77777777" w:rsidR="00A7010E" w:rsidRDefault="00A7010E" w:rsidP="00A7010E">
      <w:pPr>
        <w:pStyle w:val="NormalWeb"/>
      </w:pPr>
      <w:r>
        <w:t>World Economic Forum (2026) ‘</w:t>
      </w:r>
      <w:proofErr w:type="spellStart"/>
      <w:r>
        <w:t>Reglobalization</w:t>
      </w:r>
      <w:proofErr w:type="spellEnd"/>
      <w:r>
        <w:t xml:space="preserve">: rewiring the world economy for a new growth era’. Available at: </w:t>
      </w:r>
      <w:hyperlink r:id="rId16" w:tgtFrame="_blank" w:history="1">
        <w:r>
          <w:rPr>
            <w:rStyle w:val="Hyperlink"/>
          </w:rPr>
          <w:t>https://www.weforum.org</w:t>
        </w:r>
      </w:hyperlink>
      <w:r>
        <w:t xml:space="preserve"> (Accessed: 26 July 2026).</w:t>
      </w:r>
    </w:p>
    <w:p w14:paraId="6AE6D895" w14:textId="77777777" w:rsidR="00A7010E" w:rsidRPr="00505265" w:rsidRDefault="00A7010E" w:rsidP="00A7010E">
      <w:pPr>
        <w:rPr>
          <w:rFonts w:ascii="Times New Roman" w:hAnsi="Times New Roman" w:cs="Times New Roman"/>
          <w:b/>
          <w:bCs/>
        </w:rPr>
      </w:pPr>
    </w:p>
    <w:p w14:paraId="350FC151" w14:textId="77777777" w:rsidR="00A7010E" w:rsidRPr="00F2708D" w:rsidRDefault="00A7010E" w:rsidP="00A7010E">
      <w:pPr>
        <w:rPr>
          <w:rFonts w:ascii="Times New Roman" w:hAnsi="Times New Roman" w:cs="Times New Roman"/>
        </w:rPr>
      </w:pPr>
    </w:p>
    <w:p w14:paraId="7312EEAF" w14:textId="77777777" w:rsidR="00A7010E" w:rsidRDefault="00A7010E" w:rsidP="00A7010E">
      <w:pPr>
        <w:rPr>
          <w:b/>
          <w:bCs/>
        </w:rPr>
      </w:pPr>
    </w:p>
    <w:p w14:paraId="385B9374" w14:textId="77777777" w:rsidR="00A7010E" w:rsidRPr="00F2708D" w:rsidRDefault="00A7010E" w:rsidP="00A7010E">
      <w:pPr>
        <w:rPr>
          <w:rFonts w:ascii="Times New Roman" w:hAnsi="Times New Roman" w:cs="Times New Roman"/>
          <w:b/>
          <w:bCs/>
        </w:rPr>
      </w:pPr>
    </w:p>
    <w:p w14:paraId="2C34A7ED" w14:textId="77777777" w:rsidR="00A7010E" w:rsidRDefault="00A7010E" w:rsidP="00A7010E">
      <w:pPr>
        <w:jc w:val="center"/>
        <w:rPr>
          <w:b/>
          <w:bCs/>
        </w:rPr>
      </w:pPr>
    </w:p>
    <w:p w14:paraId="7B1B0051" w14:textId="77777777" w:rsidR="00A7010E" w:rsidRDefault="00A7010E" w:rsidP="00A7010E">
      <w:pPr>
        <w:jc w:val="center"/>
        <w:rPr>
          <w:b/>
          <w:bCs/>
        </w:rPr>
      </w:pPr>
    </w:p>
    <w:p w14:paraId="55E81FBB" w14:textId="77777777" w:rsidR="00A7010E" w:rsidRDefault="00A7010E" w:rsidP="00A7010E">
      <w:pPr>
        <w:jc w:val="center"/>
        <w:rPr>
          <w:b/>
          <w:bCs/>
        </w:rPr>
      </w:pPr>
    </w:p>
    <w:p w14:paraId="45162FF6" w14:textId="77777777" w:rsidR="00A7010E" w:rsidRPr="00B16673" w:rsidRDefault="00A7010E" w:rsidP="00A7010E">
      <w:pPr>
        <w:jc w:val="center"/>
        <w:rPr>
          <w:b/>
          <w:bCs/>
        </w:rPr>
      </w:pPr>
    </w:p>
    <w:p w14:paraId="45F58325" w14:textId="77777777" w:rsidR="005549BB" w:rsidRPr="00A7010E" w:rsidRDefault="005549BB">
      <w:pPr>
        <w:rPr>
          <w:rFonts w:ascii="Times New Roman" w:hAnsi="Times New Roman" w:cs="Times New Roman"/>
        </w:rPr>
      </w:pPr>
    </w:p>
    <w:sectPr w:rsidR="005549BB" w:rsidRPr="00A7010E" w:rsidSect="00A701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4D585" w14:textId="77777777" w:rsidR="00A64072" w:rsidRDefault="00A64072" w:rsidP="00A7010E">
      <w:pPr>
        <w:spacing w:after="0" w:line="240" w:lineRule="auto"/>
      </w:pPr>
      <w:r>
        <w:separator/>
      </w:r>
    </w:p>
  </w:endnote>
  <w:endnote w:type="continuationSeparator" w:id="0">
    <w:p w14:paraId="03FA0212" w14:textId="77777777" w:rsidR="00A64072" w:rsidRDefault="00A64072" w:rsidP="00A7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E83D5" w14:textId="77777777" w:rsidR="00A64072" w:rsidRDefault="00A64072" w:rsidP="00A7010E">
      <w:pPr>
        <w:spacing w:after="0" w:line="240" w:lineRule="auto"/>
      </w:pPr>
      <w:r>
        <w:separator/>
      </w:r>
    </w:p>
  </w:footnote>
  <w:footnote w:type="continuationSeparator" w:id="0">
    <w:p w14:paraId="48A1EB79" w14:textId="77777777" w:rsidR="00A64072" w:rsidRDefault="00A64072" w:rsidP="00A701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8CE"/>
    <w:rsid w:val="005549BB"/>
    <w:rsid w:val="00625340"/>
    <w:rsid w:val="00A34748"/>
    <w:rsid w:val="00A64072"/>
    <w:rsid w:val="00A7010E"/>
    <w:rsid w:val="00B41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AC0D6"/>
  <w15:chartTrackingRefBased/>
  <w15:docId w15:val="{ADCFFA7F-DE88-4346-8B1B-EB207F557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10E"/>
  </w:style>
  <w:style w:type="paragraph" w:styleId="Heading1">
    <w:name w:val="heading 1"/>
    <w:basedOn w:val="Normal"/>
    <w:next w:val="Normal"/>
    <w:link w:val="Heading1Char"/>
    <w:uiPriority w:val="9"/>
    <w:qFormat/>
    <w:rsid w:val="00B418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8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18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8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8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8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8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8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8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8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8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18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8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8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8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8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8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8CE"/>
    <w:rPr>
      <w:rFonts w:eastAsiaTheme="majorEastAsia" w:cstheme="majorBidi"/>
      <w:color w:val="272727" w:themeColor="text1" w:themeTint="D8"/>
    </w:rPr>
  </w:style>
  <w:style w:type="paragraph" w:styleId="Title">
    <w:name w:val="Title"/>
    <w:basedOn w:val="Normal"/>
    <w:next w:val="Normal"/>
    <w:link w:val="TitleChar"/>
    <w:uiPriority w:val="10"/>
    <w:qFormat/>
    <w:rsid w:val="00B418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8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8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8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8CE"/>
    <w:pPr>
      <w:spacing w:before="160"/>
      <w:jc w:val="center"/>
    </w:pPr>
    <w:rPr>
      <w:i/>
      <w:iCs/>
      <w:color w:val="404040" w:themeColor="text1" w:themeTint="BF"/>
    </w:rPr>
  </w:style>
  <w:style w:type="character" w:customStyle="1" w:styleId="QuoteChar">
    <w:name w:val="Quote Char"/>
    <w:basedOn w:val="DefaultParagraphFont"/>
    <w:link w:val="Quote"/>
    <w:uiPriority w:val="29"/>
    <w:rsid w:val="00B418CE"/>
    <w:rPr>
      <w:i/>
      <w:iCs/>
      <w:color w:val="404040" w:themeColor="text1" w:themeTint="BF"/>
    </w:rPr>
  </w:style>
  <w:style w:type="paragraph" w:styleId="ListParagraph">
    <w:name w:val="List Paragraph"/>
    <w:basedOn w:val="Normal"/>
    <w:uiPriority w:val="34"/>
    <w:qFormat/>
    <w:rsid w:val="00B418CE"/>
    <w:pPr>
      <w:ind w:left="720"/>
      <w:contextualSpacing/>
    </w:pPr>
  </w:style>
  <w:style w:type="character" w:styleId="IntenseEmphasis">
    <w:name w:val="Intense Emphasis"/>
    <w:basedOn w:val="DefaultParagraphFont"/>
    <w:uiPriority w:val="21"/>
    <w:qFormat/>
    <w:rsid w:val="00B418CE"/>
    <w:rPr>
      <w:i/>
      <w:iCs/>
      <w:color w:val="0F4761" w:themeColor="accent1" w:themeShade="BF"/>
    </w:rPr>
  </w:style>
  <w:style w:type="paragraph" w:styleId="IntenseQuote">
    <w:name w:val="Intense Quote"/>
    <w:basedOn w:val="Normal"/>
    <w:next w:val="Normal"/>
    <w:link w:val="IntenseQuoteChar"/>
    <w:uiPriority w:val="30"/>
    <w:qFormat/>
    <w:rsid w:val="00B418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8CE"/>
    <w:rPr>
      <w:i/>
      <w:iCs/>
      <w:color w:val="0F4761" w:themeColor="accent1" w:themeShade="BF"/>
    </w:rPr>
  </w:style>
  <w:style w:type="character" w:styleId="IntenseReference">
    <w:name w:val="Intense Reference"/>
    <w:basedOn w:val="DefaultParagraphFont"/>
    <w:uiPriority w:val="32"/>
    <w:qFormat/>
    <w:rsid w:val="00B418CE"/>
    <w:rPr>
      <w:b/>
      <w:bCs/>
      <w:smallCaps/>
      <w:color w:val="0F4761" w:themeColor="accent1" w:themeShade="BF"/>
      <w:spacing w:val="5"/>
    </w:rPr>
  </w:style>
  <w:style w:type="paragraph" w:styleId="Header">
    <w:name w:val="header"/>
    <w:basedOn w:val="Normal"/>
    <w:link w:val="HeaderChar"/>
    <w:uiPriority w:val="99"/>
    <w:unhideWhenUsed/>
    <w:rsid w:val="00A70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10E"/>
  </w:style>
  <w:style w:type="paragraph" w:styleId="Footer">
    <w:name w:val="footer"/>
    <w:basedOn w:val="Normal"/>
    <w:link w:val="FooterChar"/>
    <w:uiPriority w:val="99"/>
    <w:unhideWhenUsed/>
    <w:rsid w:val="00A70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10E"/>
  </w:style>
  <w:style w:type="paragraph" w:styleId="NormalWeb">
    <w:name w:val="Normal (Web)"/>
    <w:basedOn w:val="Normal"/>
    <w:uiPriority w:val="99"/>
    <w:semiHidden/>
    <w:unhideWhenUsed/>
    <w:rsid w:val="00A7010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7010E"/>
    <w:rPr>
      <w:i/>
      <w:iCs/>
    </w:rPr>
  </w:style>
  <w:style w:type="character" w:styleId="Hyperlink">
    <w:name w:val="Hyperlink"/>
    <w:basedOn w:val="DefaultParagraphFont"/>
    <w:uiPriority w:val="99"/>
    <w:semiHidden/>
    <w:unhideWhenUsed/>
    <w:rsid w:val="00A701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odive.com" TargetMode="External"/><Relationship Id="rId13" Type="http://schemas.openxmlformats.org/officeDocument/2006/relationships/hyperlink" Target="https://www.unilever.co.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lobalejournal.org" TargetMode="External"/><Relationship Id="rId12" Type="http://schemas.openxmlformats.org/officeDocument/2006/relationships/hyperlink" Target="https://blogs.tradlinx.co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weforum.org" TargetMode="External"/><Relationship Id="rId1" Type="http://schemas.openxmlformats.org/officeDocument/2006/relationships/styles" Target="styles.xml"/><Relationship Id="rId6" Type="http://schemas.openxmlformats.org/officeDocument/2006/relationships/hyperlink" Target="https://www.bdo.com/insights/assurance/q-a-eu-expands-esg-reporting-requirements-through-the-csrd" TargetMode="External"/><Relationship Id="rId11" Type="http://schemas.openxmlformats.org/officeDocument/2006/relationships/hyperlink" Target="https://techinformed.com" TargetMode="External"/><Relationship Id="rId5" Type="http://schemas.openxmlformats.org/officeDocument/2006/relationships/endnotes" Target="endnotes.xml"/><Relationship Id="rId15" Type="http://schemas.openxmlformats.org/officeDocument/2006/relationships/hyperlink" Target="https://www.unilever.com" TargetMode="External"/><Relationship Id="rId10" Type="http://schemas.openxmlformats.org/officeDocument/2006/relationships/hyperlink" Target="https://www.supplychaindive.com" TargetMode="External"/><Relationship Id="rId4" Type="http://schemas.openxmlformats.org/officeDocument/2006/relationships/footnotes" Target="footnotes.xml"/><Relationship Id="rId9" Type="http://schemas.openxmlformats.org/officeDocument/2006/relationships/hyperlink" Target="https://consumergoods.com" TargetMode="External"/><Relationship Id="rId14" Type="http://schemas.openxmlformats.org/officeDocument/2006/relationships/hyperlink" Target="https://www.unilev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1844</Words>
  <Characters>10513</Characters>
  <Application>Microsoft Office Word</Application>
  <DocSecurity>0</DocSecurity>
  <Lines>87</Lines>
  <Paragraphs>24</Paragraphs>
  <ScaleCrop>false</ScaleCrop>
  <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Eros (2008584)</dc:creator>
  <cp:keywords/>
  <dc:description/>
  <cp:lastModifiedBy>Alexandru Eros (2008584)</cp:lastModifiedBy>
  <cp:revision>2</cp:revision>
  <dcterms:created xsi:type="dcterms:W3CDTF">2026-07-26T15:08:00Z</dcterms:created>
  <dcterms:modified xsi:type="dcterms:W3CDTF">2026-07-26T15:09:00Z</dcterms:modified>
</cp:coreProperties>
</file>