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966A2" w:rsidRDefault="00E966A2">
      <w:pPr>
        <w:pStyle w:val="Title"/>
      </w:pPr>
    </w:p>
    <w:p w:rsidR="00E966A2" w:rsidRDefault="00E966A2">
      <w:pPr>
        <w:pStyle w:val="Title"/>
      </w:pPr>
      <w:r>
        <w:rPr>
          <w:noProof/>
        </w:rPr>
        <w:drawing>
          <wp:inline distT="0" distB="0" distL="0" distR="0" wp14:anchorId="4D77034E" wp14:editId="69C6A90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E966A2" w:rsidRDefault="00E966A2">
      <w:pPr>
        <w:pStyle w:val="Title"/>
      </w:pPr>
    </w:p>
    <w:p w:rsidR="00E966A2" w:rsidRDefault="00E966A2">
      <w:pPr>
        <w:pStyle w:val="Title"/>
      </w:pPr>
    </w:p>
    <w:p w:rsidR="00E966A2" w:rsidRDefault="00E966A2">
      <w:pPr>
        <w:pStyle w:val="Title"/>
      </w:pPr>
    </w:p>
    <w:p w:rsidR="00903FE0" w:rsidRDefault="00000000">
      <w:pPr>
        <w:pStyle w:val="Title"/>
      </w:pPr>
      <w:r>
        <w:t>LCHS7000 Component 2 Analytical Report</w:t>
      </w:r>
    </w:p>
    <w:p w:rsidR="00903FE0" w:rsidRPr="00F079C1" w:rsidRDefault="00000000">
      <w:pPr>
        <w:pStyle w:val="Subtitle"/>
        <w:rPr>
          <w:rFonts w:ascii="Arial" w:hAnsi="Arial" w:cs="Arial"/>
          <w:b/>
          <w:bCs/>
          <w:i w:val="0"/>
          <w:iCs w:val="0"/>
          <w:color w:val="000000" w:themeColor="text1"/>
        </w:rPr>
      </w:pPr>
      <w:r w:rsidRPr="00F079C1">
        <w:rPr>
          <w:rFonts w:ascii="Arial" w:hAnsi="Arial" w:cs="Arial"/>
          <w:b/>
          <w:bCs/>
          <w:i w:val="0"/>
          <w:iCs w:val="0"/>
          <w:color w:val="000000" w:themeColor="text1"/>
        </w:rPr>
        <w:t>Task 1: Age Inequality and Health Outcomes Among Older Adults in the UK</w:t>
      </w:r>
    </w:p>
    <w:p w:rsidR="00903FE0" w:rsidRPr="00F079C1" w:rsidRDefault="00000000">
      <w:pPr>
        <w:pStyle w:val="Subtitle"/>
        <w:rPr>
          <w:rFonts w:ascii="Arial" w:hAnsi="Arial" w:cs="Arial"/>
          <w:b/>
          <w:bCs/>
          <w:i w:val="0"/>
          <w:iCs w:val="0"/>
          <w:color w:val="000000" w:themeColor="text1"/>
        </w:rPr>
      </w:pPr>
      <w:r w:rsidRPr="00F079C1">
        <w:rPr>
          <w:rFonts w:ascii="Arial" w:hAnsi="Arial" w:cs="Arial"/>
          <w:b/>
          <w:bCs/>
          <w:i w:val="0"/>
          <w:iCs w:val="0"/>
          <w:color w:val="000000" w:themeColor="text1"/>
        </w:rPr>
        <w:t xml:space="preserve">Task 2: Epidemiological Analysis of Dementia in Older Adults in the </w:t>
      </w:r>
      <w:r w:rsidR="00F079C1">
        <w:rPr>
          <w:rFonts w:ascii="Arial" w:hAnsi="Arial" w:cs="Arial"/>
          <w:b/>
          <w:bCs/>
          <w:i w:val="0"/>
          <w:iCs w:val="0"/>
          <w:color w:val="000000" w:themeColor="text1"/>
        </w:rPr>
        <w:t>UK</w:t>
      </w:r>
    </w:p>
    <w:p w:rsidR="00903FE0" w:rsidRDefault="00903FE0"/>
    <w:tbl>
      <w:tblPr>
        <w:tblStyle w:val="TableGrid"/>
        <w:tblW w:w="0" w:type="auto"/>
        <w:jc w:val="center"/>
        <w:tblLook w:val="04A0" w:firstRow="1" w:lastRow="0" w:firstColumn="1" w:lastColumn="0" w:noHBand="0" w:noVBand="1"/>
      </w:tblPr>
      <w:tblGrid>
        <w:gridCol w:w="3168"/>
        <w:gridCol w:w="6048"/>
      </w:tblGrid>
      <w:tr w:rsidR="00903FE0">
        <w:trPr>
          <w:jc w:val="center"/>
        </w:trPr>
        <w:tc>
          <w:tcPr>
            <w:tcW w:w="3168" w:type="dxa"/>
            <w:vAlign w:val="center"/>
          </w:tcPr>
          <w:p w:rsidR="00903FE0" w:rsidRDefault="00000000">
            <w:pPr>
              <w:jc w:val="left"/>
            </w:pPr>
            <w:r>
              <w:t>Student name</w:t>
            </w:r>
          </w:p>
        </w:tc>
        <w:tc>
          <w:tcPr>
            <w:tcW w:w="6048" w:type="dxa"/>
            <w:vAlign w:val="center"/>
          </w:tcPr>
          <w:p w:rsidR="00903FE0" w:rsidRDefault="00F15135" w:rsidP="00F15135">
            <w:proofErr w:type="spellStart"/>
            <w:r w:rsidRPr="00F15135">
              <w:t>Mst</w:t>
            </w:r>
            <w:proofErr w:type="spellEnd"/>
            <w:r w:rsidRPr="00F15135">
              <w:t xml:space="preserve"> Sharmin Sultana Mitu</w:t>
            </w:r>
          </w:p>
        </w:tc>
      </w:tr>
      <w:tr w:rsidR="00903FE0">
        <w:trPr>
          <w:jc w:val="center"/>
        </w:trPr>
        <w:tc>
          <w:tcPr>
            <w:tcW w:w="3168" w:type="dxa"/>
            <w:vAlign w:val="center"/>
          </w:tcPr>
          <w:p w:rsidR="00903FE0" w:rsidRDefault="00000000">
            <w:pPr>
              <w:jc w:val="left"/>
            </w:pPr>
            <w:r>
              <w:t>Student ID</w:t>
            </w:r>
          </w:p>
        </w:tc>
        <w:tc>
          <w:tcPr>
            <w:tcW w:w="6048" w:type="dxa"/>
            <w:vAlign w:val="center"/>
          </w:tcPr>
          <w:p w:rsidR="00903FE0" w:rsidRDefault="00F15135" w:rsidP="00F15135">
            <w:r w:rsidRPr="00F15135">
              <w:t>2524666</w:t>
            </w:r>
          </w:p>
        </w:tc>
      </w:tr>
      <w:tr w:rsidR="00903FE0">
        <w:trPr>
          <w:jc w:val="center"/>
        </w:trPr>
        <w:tc>
          <w:tcPr>
            <w:tcW w:w="3168" w:type="dxa"/>
            <w:vAlign w:val="center"/>
          </w:tcPr>
          <w:p w:rsidR="00903FE0" w:rsidRDefault="00000000">
            <w:pPr>
              <w:jc w:val="left"/>
            </w:pPr>
            <w:r>
              <w:t>Programme</w:t>
            </w:r>
          </w:p>
        </w:tc>
        <w:tc>
          <w:tcPr>
            <w:tcW w:w="6048" w:type="dxa"/>
            <w:vAlign w:val="center"/>
          </w:tcPr>
          <w:p w:rsidR="00903FE0" w:rsidRDefault="00000000">
            <w:pPr>
              <w:jc w:val="left"/>
            </w:pPr>
            <w:r>
              <w:t>MSc Public Health and Social Care in Practice</w:t>
            </w:r>
          </w:p>
        </w:tc>
      </w:tr>
      <w:tr w:rsidR="00903FE0">
        <w:trPr>
          <w:jc w:val="center"/>
        </w:trPr>
        <w:tc>
          <w:tcPr>
            <w:tcW w:w="3168" w:type="dxa"/>
            <w:vAlign w:val="center"/>
          </w:tcPr>
          <w:p w:rsidR="00903FE0" w:rsidRDefault="00000000">
            <w:pPr>
              <w:jc w:val="left"/>
            </w:pPr>
            <w:r>
              <w:t>Module</w:t>
            </w:r>
          </w:p>
        </w:tc>
        <w:tc>
          <w:tcPr>
            <w:tcW w:w="6048" w:type="dxa"/>
            <w:vAlign w:val="center"/>
          </w:tcPr>
          <w:p w:rsidR="00903FE0" w:rsidRDefault="00000000">
            <w:pPr>
              <w:jc w:val="left"/>
            </w:pPr>
            <w:r>
              <w:t>Social Epidemiology and Public Health Development</w:t>
            </w:r>
          </w:p>
        </w:tc>
      </w:tr>
      <w:tr w:rsidR="00903FE0">
        <w:trPr>
          <w:jc w:val="center"/>
        </w:trPr>
        <w:tc>
          <w:tcPr>
            <w:tcW w:w="3168" w:type="dxa"/>
            <w:vAlign w:val="center"/>
          </w:tcPr>
          <w:p w:rsidR="00903FE0" w:rsidRDefault="00000000">
            <w:pPr>
              <w:jc w:val="left"/>
            </w:pPr>
            <w:r>
              <w:t>Module code</w:t>
            </w:r>
          </w:p>
        </w:tc>
        <w:tc>
          <w:tcPr>
            <w:tcW w:w="6048" w:type="dxa"/>
            <w:vAlign w:val="center"/>
          </w:tcPr>
          <w:p w:rsidR="00903FE0" w:rsidRDefault="00000000">
            <w:pPr>
              <w:jc w:val="left"/>
            </w:pPr>
            <w:r>
              <w:t>LCHS7000</w:t>
            </w:r>
          </w:p>
        </w:tc>
      </w:tr>
      <w:tr w:rsidR="00903FE0">
        <w:trPr>
          <w:jc w:val="center"/>
        </w:trPr>
        <w:tc>
          <w:tcPr>
            <w:tcW w:w="3168" w:type="dxa"/>
            <w:vAlign w:val="center"/>
          </w:tcPr>
          <w:p w:rsidR="00903FE0" w:rsidRDefault="00000000">
            <w:pPr>
              <w:jc w:val="left"/>
            </w:pPr>
            <w:r>
              <w:t>Lecturer</w:t>
            </w:r>
          </w:p>
        </w:tc>
        <w:tc>
          <w:tcPr>
            <w:tcW w:w="6048" w:type="dxa"/>
            <w:vAlign w:val="center"/>
          </w:tcPr>
          <w:p w:rsidR="00903FE0" w:rsidRDefault="00000000">
            <w:pPr>
              <w:jc w:val="left"/>
            </w:pPr>
            <w:r>
              <w:t>Dr Hamdi Hussain</w:t>
            </w:r>
          </w:p>
        </w:tc>
      </w:tr>
      <w:tr w:rsidR="0061435C">
        <w:trPr>
          <w:jc w:val="center"/>
        </w:trPr>
        <w:tc>
          <w:tcPr>
            <w:tcW w:w="3168" w:type="dxa"/>
            <w:vAlign w:val="center"/>
          </w:tcPr>
          <w:p w:rsidR="0061435C" w:rsidRDefault="0061435C">
            <w:pPr>
              <w:jc w:val="left"/>
            </w:pPr>
            <w:r>
              <w:t>Word Count</w:t>
            </w:r>
          </w:p>
        </w:tc>
        <w:tc>
          <w:tcPr>
            <w:tcW w:w="6048" w:type="dxa"/>
            <w:vAlign w:val="center"/>
          </w:tcPr>
          <w:p w:rsidR="0061435C" w:rsidRDefault="0061435C">
            <w:pPr>
              <w:jc w:val="left"/>
            </w:pPr>
            <w:r>
              <w:t>2741</w:t>
            </w:r>
          </w:p>
        </w:tc>
      </w:tr>
      <w:tr w:rsidR="00903FE0">
        <w:trPr>
          <w:jc w:val="center"/>
        </w:trPr>
        <w:tc>
          <w:tcPr>
            <w:tcW w:w="3168" w:type="dxa"/>
            <w:vAlign w:val="center"/>
          </w:tcPr>
          <w:p w:rsidR="00903FE0" w:rsidRDefault="00000000">
            <w:pPr>
              <w:jc w:val="left"/>
            </w:pPr>
            <w:r>
              <w:t>Submission date</w:t>
            </w:r>
          </w:p>
        </w:tc>
        <w:tc>
          <w:tcPr>
            <w:tcW w:w="6048" w:type="dxa"/>
            <w:vAlign w:val="center"/>
          </w:tcPr>
          <w:p w:rsidR="00903FE0" w:rsidRPr="002F55EA" w:rsidRDefault="002F55EA">
            <w:pPr>
              <w:jc w:val="left"/>
            </w:pPr>
            <w:r>
              <w:t>22th March,2026</w:t>
            </w:r>
          </w:p>
        </w:tc>
      </w:tr>
    </w:tbl>
    <w:p w:rsidR="00903FE0" w:rsidRDefault="00903FE0"/>
    <w:p w:rsidR="00903FE0" w:rsidRDefault="00000000">
      <w:r>
        <w:br w:type="page"/>
      </w:r>
    </w:p>
    <w:sdt>
      <w:sdtPr>
        <w:rPr>
          <w:rFonts w:ascii="Arial" w:eastAsia="Arial" w:hAnsi="Arial" w:cstheme="minorBidi"/>
          <w:b w:val="0"/>
          <w:bCs w:val="0"/>
          <w:color w:val="auto"/>
          <w:sz w:val="22"/>
          <w:szCs w:val="22"/>
        </w:rPr>
        <w:id w:val="471637243"/>
        <w:docPartObj>
          <w:docPartGallery w:val="Table of Contents"/>
          <w:docPartUnique/>
        </w:docPartObj>
      </w:sdtPr>
      <w:sdtEndPr>
        <w:rPr>
          <w:noProof/>
        </w:rPr>
      </w:sdtEndPr>
      <w:sdtContent>
        <w:p w:rsidR="002C6E39" w:rsidRDefault="002C6E39">
          <w:pPr>
            <w:pStyle w:val="TOCHeading"/>
          </w:pPr>
          <w:r>
            <w:t>Table of Contents</w:t>
          </w:r>
        </w:p>
        <w:p w:rsidR="002C6E39" w:rsidRDefault="002C6E39">
          <w:pPr>
            <w:pStyle w:val="TOC1"/>
            <w:tabs>
              <w:tab w:val="right" w:leader="dot" w:pos="9350"/>
            </w:tabs>
            <w:rPr>
              <w:noProof/>
            </w:rPr>
          </w:pPr>
          <w:r>
            <w:fldChar w:fldCharType="begin"/>
          </w:r>
          <w:r>
            <w:instrText xml:space="preserve"> TOC \o "1-3" \h \z \u </w:instrText>
          </w:r>
          <w:r>
            <w:fldChar w:fldCharType="separate"/>
          </w:r>
          <w:hyperlink w:anchor="_Toc224474140" w:history="1">
            <w:r w:rsidRPr="00C5148E">
              <w:rPr>
                <w:rStyle w:val="Hyperlink"/>
                <w:rFonts w:cs="Arial"/>
                <w:noProof/>
              </w:rPr>
              <w:t>Task 1: Age Inequality and Health Outcomes Among Older Adults in the UK</w:t>
            </w:r>
            <w:r>
              <w:rPr>
                <w:noProof/>
                <w:webHidden/>
              </w:rPr>
              <w:tab/>
            </w:r>
            <w:r>
              <w:rPr>
                <w:noProof/>
                <w:webHidden/>
              </w:rPr>
              <w:fldChar w:fldCharType="begin"/>
            </w:r>
            <w:r>
              <w:rPr>
                <w:noProof/>
                <w:webHidden/>
              </w:rPr>
              <w:instrText xml:space="preserve"> PAGEREF _Toc224474140 \h </w:instrText>
            </w:r>
            <w:r>
              <w:rPr>
                <w:noProof/>
                <w:webHidden/>
              </w:rPr>
            </w:r>
            <w:r>
              <w:rPr>
                <w:noProof/>
                <w:webHidden/>
              </w:rPr>
              <w:fldChar w:fldCharType="separate"/>
            </w:r>
            <w:r>
              <w:rPr>
                <w:noProof/>
                <w:webHidden/>
              </w:rPr>
              <w:t>3</w:t>
            </w:r>
            <w:r>
              <w:rPr>
                <w:noProof/>
                <w:webHidden/>
              </w:rPr>
              <w:fldChar w:fldCharType="end"/>
            </w:r>
          </w:hyperlink>
        </w:p>
        <w:p w:rsidR="002C6E39" w:rsidRDefault="002C6E39">
          <w:pPr>
            <w:pStyle w:val="TOC2"/>
            <w:tabs>
              <w:tab w:val="right" w:leader="dot" w:pos="9350"/>
            </w:tabs>
            <w:rPr>
              <w:noProof/>
            </w:rPr>
          </w:pPr>
          <w:hyperlink w:anchor="_Toc224474141" w:history="1">
            <w:r w:rsidRPr="00C5148E">
              <w:rPr>
                <w:rStyle w:val="Hyperlink"/>
                <w:rFonts w:cs="Arial"/>
                <w:noProof/>
              </w:rPr>
              <w:t>Introduction</w:t>
            </w:r>
            <w:r>
              <w:rPr>
                <w:noProof/>
                <w:webHidden/>
              </w:rPr>
              <w:tab/>
            </w:r>
            <w:r>
              <w:rPr>
                <w:noProof/>
                <w:webHidden/>
              </w:rPr>
              <w:fldChar w:fldCharType="begin"/>
            </w:r>
            <w:r>
              <w:rPr>
                <w:noProof/>
                <w:webHidden/>
              </w:rPr>
              <w:instrText xml:space="preserve"> PAGEREF _Toc224474141 \h </w:instrText>
            </w:r>
            <w:r>
              <w:rPr>
                <w:noProof/>
                <w:webHidden/>
              </w:rPr>
            </w:r>
            <w:r>
              <w:rPr>
                <w:noProof/>
                <w:webHidden/>
              </w:rPr>
              <w:fldChar w:fldCharType="separate"/>
            </w:r>
            <w:r>
              <w:rPr>
                <w:noProof/>
                <w:webHidden/>
              </w:rPr>
              <w:t>3</w:t>
            </w:r>
            <w:r>
              <w:rPr>
                <w:noProof/>
                <w:webHidden/>
              </w:rPr>
              <w:fldChar w:fldCharType="end"/>
            </w:r>
          </w:hyperlink>
        </w:p>
        <w:p w:rsidR="002C6E39" w:rsidRDefault="002C6E39">
          <w:pPr>
            <w:pStyle w:val="TOC2"/>
            <w:tabs>
              <w:tab w:val="right" w:leader="dot" w:pos="9350"/>
            </w:tabs>
            <w:rPr>
              <w:noProof/>
            </w:rPr>
          </w:pPr>
          <w:hyperlink w:anchor="_Toc224474142" w:history="1">
            <w:r w:rsidRPr="00C5148E">
              <w:rPr>
                <w:rStyle w:val="Hyperlink"/>
                <w:rFonts w:cs="Arial"/>
                <w:noProof/>
              </w:rPr>
              <w:t>Contextual background and underlying factors</w:t>
            </w:r>
            <w:r>
              <w:rPr>
                <w:noProof/>
                <w:webHidden/>
              </w:rPr>
              <w:tab/>
            </w:r>
            <w:r>
              <w:rPr>
                <w:noProof/>
                <w:webHidden/>
              </w:rPr>
              <w:fldChar w:fldCharType="begin"/>
            </w:r>
            <w:r>
              <w:rPr>
                <w:noProof/>
                <w:webHidden/>
              </w:rPr>
              <w:instrText xml:space="preserve"> PAGEREF _Toc224474142 \h </w:instrText>
            </w:r>
            <w:r>
              <w:rPr>
                <w:noProof/>
                <w:webHidden/>
              </w:rPr>
            </w:r>
            <w:r>
              <w:rPr>
                <w:noProof/>
                <w:webHidden/>
              </w:rPr>
              <w:fldChar w:fldCharType="separate"/>
            </w:r>
            <w:r>
              <w:rPr>
                <w:noProof/>
                <w:webHidden/>
              </w:rPr>
              <w:t>3</w:t>
            </w:r>
            <w:r>
              <w:rPr>
                <w:noProof/>
                <w:webHidden/>
              </w:rPr>
              <w:fldChar w:fldCharType="end"/>
            </w:r>
          </w:hyperlink>
        </w:p>
        <w:p w:rsidR="002C6E39" w:rsidRDefault="002C6E39">
          <w:pPr>
            <w:pStyle w:val="TOC2"/>
            <w:tabs>
              <w:tab w:val="right" w:leader="dot" w:pos="9350"/>
            </w:tabs>
            <w:rPr>
              <w:noProof/>
            </w:rPr>
          </w:pPr>
          <w:hyperlink w:anchor="_Toc224474143" w:history="1">
            <w:r w:rsidRPr="00C5148E">
              <w:rPr>
                <w:rStyle w:val="Hyperlink"/>
                <w:rFonts w:cs="Arial"/>
                <w:noProof/>
              </w:rPr>
              <w:t>National responses to reduce age-related health inequalities</w:t>
            </w:r>
            <w:r>
              <w:rPr>
                <w:noProof/>
                <w:webHidden/>
              </w:rPr>
              <w:tab/>
            </w:r>
            <w:r>
              <w:rPr>
                <w:noProof/>
                <w:webHidden/>
              </w:rPr>
              <w:fldChar w:fldCharType="begin"/>
            </w:r>
            <w:r>
              <w:rPr>
                <w:noProof/>
                <w:webHidden/>
              </w:rPr>
              <w:instrText xml:space="preserve"> PAGEREF _Toc224474143 \h </w:instrText>
            </w:r>
            <w:r>
              <w:rPr>
                <w:noProof/>
                <w:webHidden/>
              </w:rPr>
            </w:r>
            <w:r>
              <w:rPr>
                <w:noProof/>
                <w:webHidden/>
              </w:rPr>
              <w:fldChar w:fldCharType="separate"/>
            </w:r>
            <w:r>
              <w:rPr>
                <w:noProof/>
                <w:webHidden/>
              </w:rPr>
              <w:t>5</w:t>
            </w:r>
            <w:r>
              <w:rPr>
                <w:noProof/>
                <w:webHidden/>
              </w:rPr>
              <w:fldChar w:fldCharType="end"/>
            </w:r>
          </w:hyperlink>
        </w:p>
        <w:p w:rsidR="002C6E39" w:rsidRDefault="002C6E39">
          <w:pPr>
            <w:pStyle w:val="TOC2"/>
            <w:tabs>
              <w:tab w:val="right" w:leader="dot" w:pos="9350"/>
            </w:tabs>
            <w:rPr>
              <w:noProof/>
            </w:rPr>
          </w:pPr>
          <w:hyperlink w:anchor="_Toc224474144" w:history="1">
            <w:r w:rsidRPr="00C5148E">
              <w:rPr>
                <w:rStyle w:val="Hyperlink"/>
                <w:rFonts w:cs="Arial"/>
                <w:noProof/>
              </w:rPr>
              <w:t>Organisation supporting older adults: Age UK</w:t>
            </w:r>
            <w:r>
              <w:rPr>
                <w:noProof/>
                <w:webHidden/>
              </w:rPr>
              <w:tab/>
            </w:r>
            <w:r>
              <w:rPr>
                <w:noProof/>
                <w:webHidden/>
              </w:rPr>
              <w:fldChar w:fldCharType="begin"/>
            </w:r>
            <w:r>
              <w:rPr>
                <w:noProof/>
                <w:webHidden/>
              </w:rPr>
              <w:instrText xml:space="preserve"> PAGEREF _Toc224474144 \h </w:instrText>
            </w:r>
            <w:r>
              <w:rPr>
                <w:noProof/>
                <w:webHidden/>
              </w:rPr>
            </w:r>
            <w:r>
              <w:rPr>
                <w:noProof/>
                <w:webHidden/>
              </w:rPr>
              <w:fldChar w:fldCharType="separate"/>
            </w:r>
            <w:r>
              <w:rPr>
                <w:noProof/>
                <w:webHidden/>
              </w:rPr>
              <w:t>5</w:t>
            </w:r>
            <w:r>
              <w:rPr>
                <w:noProof/>
                <w:webHidden/>
              </w:rPr>
              <w:fldChar w:fldCharType="end"/>
            </w:r>
          </w:hyperlink>
        </w:p>
        <w:p w:rsidR="002C6E39" w:rsidRDefault="002C6E39">
          <w:pPr>
            <w:pStyle w:val="TOC2"/>
            <w:tabs>
              <w:tab w:val="right" w:leader="dot" w:pos="9350"/>
            </w:tabs>
            <w:rPr>
              <w:noProof/>
            </w:rPr>
          </w:pPr>
          <w:hyperlink w:anchor="_Toc224474145" w:history="1">
            <w:r w:rsidRPr="00C5148E">
              <w:rPr>
                <w:rStyle w:val="Hyperlink"/>
                <w:rFonts w:cs="Arial"/>
                <w:noProof/>
              </w:rPr>
              <w:t>Conclusion</w:t>
            </w:r>
            <w:r>
              <w:rPr>
                <w:noProof/>
                <w:webHidden/>
              </w:rPr>
              <w:tab/>
            </w:r>
            <w:r>
              <w:rPr>
                <w:noProof/>
                <w:webHidden/>
              </w:rPr>
              <w:fldChar w:fldCharType="begin"/>
            </w:r>
            <w:r>
              <w:rPr>
                <w:noProof/>
                <w:webHidden/>
              </w:rPr>
              <w:instrText xml:space="preserve"> PAGEREF _Toc224474145 \h </w:instrText>
            </w:r>
            <w:r>
              <w:rPr>
                <w:noProof/>
                <w:webHidden/>
              </w:rPr>
            </w:r>
            <w:r>
              <w:rPr>
                <w:noProof/>
                <w:webHidden/>
              </w:rPr>
              <w:fldChar w:fldCharType="separate"/>
            </w:r>
            <w:r>
              <w:rPr>
                <w:noProof/>
                <w:webHidden/>
              </w:rPr>
              <w:t>5</w:t>
            </w:r>
            <w:r>
              <w:rPr>
                <w:noProof/>
                <w:webHidden/>
              </w:rPr>
              <w:fldChar w:fldCharType="end"/>
            </w:r>
          </w:hyperlink>
        </w:p>
        <w:p w:rsidR="002C6E39" w:rsidRDefault="002C6E39">
          <w:pPr>
            <w:pStyle w:val="TOC1"/>
            <w:tabs>
              <w:tab w:val="right" w:leader="dot" w:pos="9350"/>
            </w:tabs>
            <w:rPr>
              <w:noProof/>
            </w:rPr>
          </w:pPr>
          <w:hyperlink w:anchor="_Toc224474146" w:history="1">
            <w:r w:rsidRPr="00C5148E">
              <w:rPr>
                <w:rStyle w:val="Hyperlink"/>
                <w:rFonts w:cs="Arial"/>
                <w:noProof/>
              </w:rPr>
              <w:t>Task 2: Epidemiological Analysis of Dementia in Older Adults in the United Kingdom</w:t>
            </w:r>
            <w:r>
              <w:rPr>
                <w:noProof/>
                <w:webHidden/>
              </w:rPr>
              <w:tab/>
            </w:r>
            <w:r>
              <w:rPr>
                <w:noProof/>
                <w:webHidden/>
              </w:rPr>
              <w:fldChar w:fldCharType="begin"/>
            </w:r>
            <w:r>
              <w:rPr>
                <w:noProof/>
                <w:webHidden/>
              </w:rPr>
              <w:instrText xml:space="preserve"> PAGEREF _Toc224474146 \h </w:instrText>
            </w:r>
            <w:r>
              <w:rPr>
                <w:noProof/>
                <w:webHidden/>
              </w:rPr>
            </w:r>
            <w:r>
              <w:rPr>
                <w:noProof/>
                <w:webHidden/>
              </w:rPr>
              <w:fldChar w:fldCharType="separate"/>
            </w:r>
            <w:r>
              <w:rPr>
                <w:noProof/>
                <w:webHidden/>
              </w:rPr>
              <w:t>6</w:t>
            </w:r>
            <w:r>
              <w:rPr>
                <w:noProof/>
                <w:webHidden/>
              </w:rPr>
              <w:fldChar w:fldCharType="end"/>
            </w:r>
          </w:hyperlink>
        </w:p>
        <w:p w:rsidR="002C6E39" w:rsidRDefault="002C6E39">
          <w:pPr>
            <w:pStyle w:val="TOC2"/>
            <w:tabs>
              <w:tab w:val="right" w:leader="dot" w:pos="9350"/>
            </w:tabs>
            <w:rPr>
              <w:noProof/>
            </w:rPr>
          </w:pPr>
          <w:hyperlink w:anchor="_Toc224474147" w:history="1">
            <w:r w:rsidRPr="00C5148E">
              <w:rPr>
                <w:rStyle w:val="Hyperlink"/>
                <w:rFonts w:cs="Arial"/>
                <w:noProof/>
              </w:rPr>
              <w:t>Introduction</w:t>
            </w:r>
            <w:r>
              <w:rPr>
                <w:noProof/>
                <w:webHidden/>
              </w:rPr>
              <w:tab/>
            </w:r>
            <w:r>
              <w:rPr>
                <w:noProof/>
                <w:webHidden/>
              </w:rPr>
              <w:fldChar w:fldCharType="begin"/>
            </w:r>
            <w:r>
              <w:rPr>
                <w:noProof/>
                <w:webHidden/>
              </w:rPr>
              <w:instrText xml:space="preserve"> PAGEREF _Toc224474147 \h </w:instrText>
            </w:r>
            <w:r>
              <w:rPr>
                <w:noProof/>
                <w:webHidden/>
              </w:rPr>
            </w:r>
            <w:r>
              <w:rPr>
                <w:noProof/>
                <w:webHidden/>
              </w:rPr>
              <w:fldChar w:fldCharType="separate"/>
            </w:r>
            <w:r>
              <w:rPr>
                <w:noProof/>
                <w:webHidden/>
              </w:rPr>
              <w:t>6</w:t>
            </w:r>
            <w:r>
              <w:rPr>
                <w:noProof/>
                <w:webHidden/>
              </w:rPr>
              <w:fldChar w:fldCharType="end"/>
            </w:r>
          </w:hyperlink>
        </w:p>
        <w:p w:rsidR="002C6E39" w:rsidRDefault="002C6E39">
          <w:pPr>
            <w:pStyle w:val="TOC2"/>
            <w:tabs>
              <w:tab w:val="right" w:leader="dot" w:pos="9350"/>
            </w:tabs>
            <w:rPr>
              <w:noProof/>
            </w:rPr>
          </w:pPr>
          <w:hyperlink w:anchor="_Toc224474148" w:history="1">
            <w:r w:rsidRPr="00C5148E">
              <w:rPr>
                <w:rStyle w:val="Hyperlink"/>
                <w:rFonts w:cs="Arial"/>
                <w:noProof/>
              </w:rPr>
              <w:t>Public health measures using the 3 Ps</w:t>
            </w:r>
            <w:r>
              <w:rPr>
                <w:noProof/>
                <w:webHidden/>
              </w:rPr>
              <w:tab/>
            </w:r>
            <w:r>
              <w:rPr>
                <w:noProof/>
                <w:webHidden/>
              </w:rPr>
              <w:fldChar w:fldCharType="begin"/>
            </w:r>
            <w:r>
              <w:rPr>
                <w:noProof/>
                <w:webHidden/>
              </w:rPr>
              <w:instrText xml:space="preserve"> PAGEREF _Toc224474148 \h </w:instrText>
            </w:r>
            <w:r>
              <w:rPr>
                <w:noProof/>
                <w:webHidden/>
              </w:rPr>
            </w:r>
            <w:r>
              <w:rPr>
                <w:noProof/>
                <w:webHidden/>
              </w:rPr>
              <w:fldChar w:fldCharType="separate"/>
            </w:r>
            <w:r>
              <w:rPr>
                <w:noProof/>
                <w:webHidden/>
              </w:rPr>
              <w:t>6</w:t>
            </w:r>
            <w:r>
              <w:rPr>
                <w:noProof/>
                <w:webHidden/>
              </w:rPr>
              <w:fldChar w:fldCharType="end"/>
            </w:r>
          </w:hyperlink>
        </w:p>
        <w:p w:rsidR="002C6E39" w:rsidRDefault="002C6E39">
          <w:pPr>
            <w:pStyle w:val="TOC2"/>
            <w:tabs>
              <w:tab w:val="right" w:leader="dot" w:pos="9350"/>
            </w:tabs>
            <w:rPr>
              <w:noProof/>
            </w:rPr>
          </w:pPr>
          <w:hyperlink w:anchor="_Toc224474149" w:history="1">
            <w:r w:rsidRPr="00C5148E">
              <w:rPr>
                <w:rStyle w:val="Hyperlink"/>
                <w:rFonts w:cs="Arial"/>
                <w:noProof/>
              </w:rPr>
              <w:t>Key determinants and risk factors</w:t>
            </w:r>
            <w:r>
              <w:rPr>
                <w:noProof/>
                <w:webHidden/>
              </w:rPr>
              <w:tab/>
            </w:r>
            <w:r>
              <w:rPr>
                <w:noProof/>
                <w:webHidden/>
              </w:rPr>
              <w:fldChar w:fldCharType="begin"/>
            </w:r>
            <w:r>
              <w:rPr>
                <w:noProof/>
                <w:webHidden/>
              </w:rPr>
              <w:instrText xml:space="preserve"> PAGEREF _Toc224474149 \h </w:instrText>
            </w:r>
            <w:r>
              <w:rPr>
                <w:noProof/>
                <w:webHidden/>
              </w:rPr>
            </w:r>
            <w:r>
              <w:rPr>
                <w:noProof/>
                <w:webHidden/>
              </w:rPr>
              <w:fldChar w:fldCharType="separate"/>
            </w:r>
            <w:r>
              <w:rPr>
                <w:noProof/>
                <w:webHidden/>
              </w:rPr>
              <w:t>6</w:t>
            </w:r>
            <w:r>
              <w:rPr>
                <w:noProof/>
                <w:webHidden/>
              </w:rPr>
              <w:fldChar w:fldCharType="end"/>
            </w:r>
          </w:hyperlink>
        </w:p>
        <w:p w:rsidR="002C6E39" w:rsidRDefault="002C6E39">
          <w:pPr>
            <w:pStyle w:val="TOC2"/>
            <w:tabs>
              <w:tab w:val="right" w:leader="dot" w:pos="9350"/>
            </w:tabs>
            <w:rPr>
              <w:noProof/>
            </w:rPr>
          </w:pPr>
          <w:hyperlink w:anchor="_Toc224474150" w:history="1">
            <w:r w:rsidRPr="00C5148E">
              <w:rPr>
                <w:rStyle w:val="Hyperlink"/>
                <w:rFonts w:cs="Arial"/>
                <w:noProof/>
              </w:rPr>
              <w:t>Those affected or at risk in the defined population</w:t>
            </w:r>
            <w:r>
              <w:rPr>
                <w:noProof/>
                <w:webHidden/>
              </w:rPr>
              <w:tab/>
            </w:r>
            <w:r>
              <w:rPr>
                <w:noProof/>
                <w:webHidden/>
              </w:rPr>
              <w:fldChar w:fldCharType="begin"/>
            </w:r>
            <w:r>
              <w:rPr>
                <w:noProof/>
                <w:webHidden/>
              </w:rPr>
              <w:instrText xml:space="preserve"> PAGEREF _Toc224474150 \h </w:instrText>
            </w:r>
            <w:r>
              <w:rPr>
                <w:noProof/>
                <w:webHidden/>
              </w:rPr>
            </w:r>
            <w:r>
              <w:rPr>
                <w:noProof/>
                <w:webHidden/>
              </w:rPr>
              <w:fldChar w:fldCharType="separate"/>
            </w:r>
            <w:r>
              <w:rPr>
                <w:noProof/>
                <w:webHidden/>
              </w:rPr>
              <w:t>7</w:t>
            </w:r>
            <w:r>
              <w:rPr>
                <w:noProof/>
                <w:webHidden/>
              </w:rPr>
              <w:fldChar w:fldCharType="end"/>
            </w:r>
          </w:hyperlink>
        </w:p>
        <w:p w:rsidR="002C6E39" w:rsidRDefault="002C6E39">
          <w:pPr>
            <w:pStyle w:val="TOC2"/>
            <w:tabs>
              <w:tab w:val="right" w:leader="dot" w:pos="9350"/>
            </w:tabs>
            <w:rPr>
              <w:noProof/>
            </w:rPr>
          </w:pPr>
          <w:hyperlink w:anchor="_Toc224474151" w:history="1">
            <w:r w:rsidRPr="00C5148E">
              <w:rPr>
                <w:rStyle w:val="Hyperlink"/>
                <w:rFonts w:cs="Arial"/>
                <w:noProof/>
              </w:rPr>
              <w:t>Monitoring and surveillance systems</w:t>
            </w:r>
            <w:r>
              <w:rPr>
                <w:noProof/>
                <w:webHidden/>
              </w:rPr>
              <w:tab/>
            </w:r>
            <w:r>
              <w:rPr>
                <w:noProof/>
                <w:webHidden/>
              </w:rPr>
              <w:fldChar w:fldCharType="begin"/>
            </w:r>
            <w:r>
              <w:rPr>
                <w:noProof/>
                <w:webHidden/>
              </w:rPr>
              <w:instrText xml:space="preserve"> PAGEREF _Toc224474151 \h </w:instrText>
            </w:r>
            <w:r>
              <w:rPr>
                <w:noProof/>
                <w:webHidden/>
              </w:rPr>
            </w:r>
            <w:r>
              <w:rPr>
                <w:noProof/>
                <w:webHidden/>
              </w:rPr>
              <w:fldChar w:fldCharType="separate"/>
            </w:r>
            <w:r>
              <w:rPr>
                <w:noProof/>
                <w:webHidden/>
              </w:rPr>
              <w:t>7</w:t>
            </w:r>
            <w:r>
              <w:rPr>
                <w:noProof/>
                <w:webHidden/>
              </w:rPr>
              <w:fldChar w:fldCharType="end"/>
            </w:r>
          </w:hyperlink>
        </w:p>
        <w:p w:rsidR="002C6E39" w:rsidRDefault="002C6E39">
          <w:pPr>
            <w:pStyle w:val="TOC2"/>
            <w:tabs>
              <w:tab w:val="right" w:leader="dot" w:pos="9350"/>
            </w:tabs>
            <w:rPr>
              <w:noProof/>
            </w:rPr>
          </w:pPr>
          <w:hyperlink w:anchor="_Toc224474152" w:history="1">
            <w:r w:rsidRPr="00C5148E">
              <w:rPr>
                <w:rStyle w:val="Hyperlink"/>
                <w:rFonts w:cs="Arial"/>
                <w:noProof/>
              </w:rPr>
              <w:t>Public health impact and short- and long-term consequences</w:t>
            </w:r>
            <w:r>
              <w:rPr>
                <w:noProof/>
                <w:webHidden/>
              </w:rPr>
              <w:tab/>
            </w:r>
            <w:r>
              <w:rPr>
                <w:noProof/>
                <w:webHidden/>
              </w:rPr>
              <w:fldChar w:fldCharType="begin"/>
            </w:r>
            <w:r>
              <w:rPr>
                <w:noProof/>
                <w:webHidden/>
              </w:rPr>
              <w:instrText xml:space="preserve"> PAGEREF _Toc224474152 \h </w:instrText>
            </w:r>
            <w:r>
              <w:rPr>
                <w:noProof/>
                <w:webHidden/>
              </w:rPr>
            </w:r>
            <w:r>
              <w:rPr>
                <w:noProof/>
                <w:webHidden/>
              </w:rPr>
              <w:fldChar w:fldCharType="separate"/>
            </w:r>
            <w:r>
              <w:rPr>
                <w:noProof/>
                <w:webHidden/>
              </w:rPr>
              <w:t>8</w:t>
            </w:r>
            <w:r>
              <w:rPr>
                <w:noProof/>
                <w:webHidden/>
              </w:rPr>
              <w:fldChar w:fldCharType="end"/>
            </w:r>
          </w:hyperlink>
        </w:p>
        <w:p w:rsidR="002C6E39" w:rsidRDefault="002C6E39">
          <w:pPr>
            <w:pStyle w:val="TOC2"/>
            <w:tabs>
              <w:tab w:val="right" w:leader="dot" w:pos="9350"/>
            </w:tabs>
            <w:rPr>
              <w:noProof/>
            </w:rPr>
          </w:pPr>
          <w:hyperlink w:anchor="_Toc224474153" w:history="1">
            <w:r w:rsidRPr="00C5148E">
              <w:rPr>
                <w:rStyle w:val="Hyperlink"/>
                <w:rFonts w:cs="Arial"/>
                <w:noProof/>
              </w:rPr>
              <w:t>Proposed intervention programme and evaluation</w:t>
            </w:r>
            <w:r>
              <w:rPr>
                <w:noProof/>
                <w:webHidden/>
              </w:rPr>
              <w:tab/>
            </w:r>
            <w:r>
              <w:rPr>
                <w:noProof/>
                <w:webHidden/>
              </w:rPr>
              <w:fldChar w:fldCharType="begin"/>
            </w:r>
            <w:r>
              <w:rPr>
                <w:noProof/>
                <w:webHidden/>
              </w:rPr>
              <w:instrText xml:space="preserve"> PAGEREF _Toc224474153 \h </w:instrText>
            </w:r>
            <w:r>
              <w:rPr>
                <w:noProof/>
                <w:webHidden/>
              </w:rPr>
            </w:r>
            <w:r>
              <w:rPr>
                <w:noProof/>
                <w:webHidden/>
              </w:rPr>
              <w:fldChar w:fldCharType="separate"/>
            </w:r>
            <w:r>
              <w:rPr>
                <w:noProof/>
                <w:webHidden/>
              </w:rPr>
              <w:t>8</w:t>
            </w:r>
            <w:r>
              <w:rPr>
                <w:noProof/>
                <w:webHidden/>
              </w:rPr>
              <w:fldChar w:fldCharType="end"/>
            </w:r>
          </w:hyperlink>
        </w:p>
        <w:p w:rsidR="002C6E39" w:rsidRDefault="002C6E39">
          <w:pPr>
            <w:pStyle w:val="TOC2"/>
            <w:tabs>
              <w:tab w:val="right" w:leader="dot" w:pos="9350"/>
            </w:tabs>
            <w:rPr>
              <w:noProof/>
            </w:rPr>
          </w:pPr>
          <w:hyperlink w:anchor="_Toc224474154" w:history="1">
            <w:r w:rsidRPr="00C5148E">
              <w:rPr>
                <w:rStyle w:val="Hyperlink"/>
                <w:rFonts w:cs="Arial"/>
                <w:noProof/>
              </w:rPr>
              <w:t>Strengths and weaknesses of the epidemiological approach</w:t>
            </w:r>
            <w:r>
              <w:rPr>
                <w:noProof/>
                <w:webHidden/>
              </w:rPr>
              <w:tab/>
            </w:r>
            <w:r>
              <w:rPr>
                <w:noProof/>
                <w:webHidden/>
              </w:rPr>
              <w:fldChar w:fldCharType="begin"/>
            </w:r>
            <w:r>
              <w:rPr>
                <w:noProof/>
                <w:webHidden/>
              </w:rPr>
              <w:instrText xml:space="preserve"> PAGEREF _Toc224474154 \h </w:instrText>
            </w:r>
            <w:r>
              <w:rPr>
                <w:noProof/>
                <w:webHidden/>
              </w:rPr>
            </w:r>
            <w:r>
              <w:rPr>
                <w:noProof/>
                <w:webHidden/>
              </w:rPr>
              <w:fldChar w:fldCharType="separate"/>
            </w:r>
            <w:r>
              <w:rPr>
                <w:noProof/>
                <w:webHidden/>
              </w:rPr>
              <w:t>9</w:t>
            </w:r>
            <w:r>
              <w:rPr>
                <w:noProof/>
                <w:webHidden/>
              </w:rPr>
              <w:fldChar w:fldCharType="end"/>
            </w:r>
          </w:hyperlink>
        </w:p>
        <w:p w:rsidR="002C6E39" w:rsidRDefault="002C6E39">
          <w:pPr>
            <w:pStyle w:val="TOC2"/>
            <w:tabs>
              <w:tab w:val="right" w:leader="dot" w:pos="9350"/>
            </w:tabs>
            <w:rPr>
              <w:noProof/>
            </w:rPr>
          </w:pPr>
          <w:hyperlink w:anchor="_Toc224474155" w:history="1">
            <w:r w:rsidRPr="00C5148E">
              <w:rPr>
                <w:rStyle w:val="Hyperlink"/>
                <w:rFonts w:cs="Arial"/>
                <w:noProof/>
              </w:rPr>
              <w:t>Conclusion and recommendations</w:t>
            </w:r>
            <w:r>
              <w:rPr>
                <w:noProof/>
                <w:webHidden/>
              </w:rPr>
              <w:tab/>
            </w:r>
            <w:r>
              <w:rPr>
                <w:noProof/>
                <w:webHidden/>
              </w:rPr>
              <w:fldChar w:fldCharType="begin"/>
            </w:r>
            <w:r>
              <w:rPr>
                <w:noProof/>
                <w:webHidden/>
              </w:rPr>
              <w:instrText xml:space="preserve"> PAGEREF _Toc224474155 \h </w:instrText>
            </w:r>
            <w:r>
              <w:rPr>
                <w:noProof/>
                <w:webHidden/>
              </w:rPr>
            </w:r>
            <w:r>
              <w:rPr>
                <w:noProof/>
                <w:webHidden/>
              </w:rPr>
              <w:fldChar w:fldCharType="separate"/>
            </w:r>
            <w:r>
              <w:rPr>
                <w:noProof/>
                <w:webHidden/>
              </w:rPr>
              <w:t>9</w:t>
            </w:r>
            <w:r>
              <w:rPr>
                <w:noProof/>
                <w:webHidden/>
              </w:rPr>
              <w:fldChar w:fldCharType="end"/>
            </w:r>
          </w:hyperlink>
        </w:p>
        <w:p w:rsidR="002C6E39" w:rsidRDefault="002C6E39">
          <w:pPr>
            <w:pStyle w:val="TOC1"/>
            <w:tabs>
              <w:tab w:val="right" w:leader="dot" w:pos="9350"/>
            </w:tabs>
            <w:rPr>
              <w:noProof/>
            </w:rPr>
          </w:pPr>
          <w:hyperlink w:anchor="_Toc224474156" w:history="1">
            <w:r w:rsidRPr="00C5148E">
              <w:rPr>
                <w:rStyle w:val="Hyperlink"/>
                <w:rFonts w:cs="Arial"/>
                <w:noProof/>
              </w:rPr>
              <w:t>Reference</w:t>
            </w:r>
            <w:r>
              <w:rPr>
                <w:noProof/>
                <w:webHidden/>
              </w:rPr>
              <w:tab/>
            </w:r>
            <w:r>
              <w:rPr>
                <w:noProof/>
                <w:webHidden/>
              </w:rPr>
              <w:fldChar w:fldCharType="begin"/>
            </w:r>
            <w:r>
              <w:rPr>
                <w:noProof/>
                <w:webHidden/>
              </w:rPr>
              <w:instrText xml:space="preserve"> PAGEREF _Toc224474156 \h </w:instrText>
            </w:r>
            <w:r>
              <w:rPr>
                <w:noProof/>
                <w:webHidden/>
              </w:rPr>
            </w:r>
            <w:r>
              <w:rPr>
                <w:noProof/>
                <w:webHidden/>
              </w:rPr>
              <w:fldChar w:fldCharType="separate"/>
            </w:r>
            <w:r>
              <w:rPr>
                <w:noProof/>
                <w:webHidden/>
              </w:rPr>
              <w:t>10</w:t>
            </w:r>
            <w:r>
              <w:rPr>
                <w:noProof/>
                <w:webHidden/>
              </w:rPr>
              <w:fldChar w:fldCharType="end"/>
            </w:r>
          </w:hyperlink>
        </w:p>
        <w:p w:rsidR="002C6E39" w:rsidRDefault="002C6E39">
          <w:r>
            <w:rPr>
              <w:b/>
              <w:bCs/>
              <w:noProof/>
            </w:rPr>
            <w:fldChar w:fldCharType="end"/>
          </w:r>
        </w:p>
      </w:sdtContent>
    </w:sdt>
    <w:p w:rsidR="00903FE0" w:rsidRDefault="00000000">
      <w:r>
        <w:br w:type="page"/>
      </w:r>
    </w:p>
    <w:p w:rsidR="00F079C1" w:rsidRPr="00F079C1" w:rsidRDefault="00F079C1" w:rsidP="00F079C1">
      <w:pPr>
        <w:pStyle w:val="Heading1"/>
        <w:rPr>
          <w:rFonts w:ascii="Arial" w:hAnsi="Arial" w:cs="Arial"/>
          <w:color w:val="000000" w:themeColor="text1"/>
        </w:rPr>
      </w:pPr>
      <w:bookmarkStart w:id="0" w:name="_Toc224474140"/>
      <w:r w:rsidRPr="00F079C1">
        <w:rPr>
          <w:rFonts w:ascii="Arial" w:eastAsia="Arial" w:hAnsi="Arial" w:cs="Arial"/>
          <w:color w:val="000000" w:themeColor="text1"/>
        </w:rPr>
        <w:lastRenderedPageBreak/>
        <w:t xml:space="preserve">Task 1: </w:t>
      </w:r>
      <w:r w:rsidRPr="00F079C1">
        <w:rPr>
          <w:rFonts w:ascii="Arial" w:hAnsi="Arial" w:cs="Arial"/>
          <w:color w:val="000000" w:themeColor="text1"/>
        </w:rPr>
        <w:t>Age Inequality and Health Outcomes Among Older Adults in the UK</w:t>
      </w:r>
      <w:bookmarkEnd w:id="0"/>
      <w:r w:rsidRPr="00F079C1">
        <w:rPr>
          <w:rFonts w:ascii="Arial" w:hAnsi="Arial" w:cs="Arial"/>
          <w:color w:val="000000" w:themeColor="text1"/>
        </w:rPr>
        <w:t xml:space="preserve"> </w:t>
      </w:r>
    </w:p>
    <w:p w:rsidR="00860F66" w:rsidRPr="00F079C1" w:rsidRDefault="00860F66" w:rsidP="00F079C1">
      <w:pPr>
        <w:pStyle w:val="Heading2"/>
        <w:rPr>
          <w:rFonts w:ascii="Arial" w:hAnsi="Arial" w:cs="Arial"/>
        </w:rPr>
      </w:pPr>
      <w:bookmarkStart w:id="1" w:name="_Toc224474141"/>
      <w:r w:rsidRPr="00F079C1">
        <w:rPr>
          <w:rFonts w:ascii="Arial" w:hAnsi="Arial" w:cs="Arial"/>
        </w:rPr>
        <w:t>Introduction</w:t>
      </w:r>
      <w:bookmarkEnd w:id="1"/>
    </w:p>
    <w:p w:rsidR="004919B1" w:rsidRDefault="004919B1" w:rsidP="00860F66">
      <w:r w:rsidRPr="004919B1">
        <w:t>The general definition of older adult in UK public health is those who are 65 years and above, although this definition is not a homogenous group as health risks escalate drastically in the oldest age groups. Age inequality is defined as preventable and inequitable disparities in health, access to services and life opportunities based on age, and compounded by deprivation, disability, housing and social exclusion (Livingston et al., 2024). Multimorbidity, frailty and less independence, poverty and digital barriers are among the characteristics of many older adults, and limiting support (World Health Organization, 2025).</w:t>
      </w:r>
    </w:p>
    <w:p w:rsidR="00860F66" w:rsidRPr="00F079C1" w:rsidRDefault="00860F66" w:rsidP="00F079C1">
      <w:pPr>
        <w:pStyle w:val="Heading2"/>
        <w:rPr>
          <w:rFonts w:ascii="Arial" w:hAnsi="Arial" w:cs="Arial"/>
        </w:rPr>
      </w:pPr>
      <w:bookmarkStart w:id="2" w:name="_Toc224474142"/>
      <w:r w:rsidRPr="00F079C1">
        <w:rPr>
          <w:rFonts w:ascii="Arial" w:hAnsi="Arial" w:cs="Arial"/>
        </w:rPr>
        <w:t>Contextual background and underlying factors</w:t>
      </w:r>
      <w:bookmarkEnd w:id="2"/>
    </w:p>
    <w:p w:rsidR="00860F66" w:rsidRPr="00860F66" w:rsidRDefault="004919B1" w:rsidP="00860F66">
      <w:r w:rsidRPr="004919B1">
        <w:t>The overlaps of these inequalities occur due to the fact that illness and disadvantage support one another</w:t>
      </w:r>
      <w:r w:rsidR="00860F66">
        <w:t>.</w:t>
      </w:r>
    </w:p>
    <w:p w:rsidR="00860F66" w:rsidRPr="00860F66" w:rsidRDefault="00860F66" w:rsidP="00860F66">
      <w:r w:rsidRPr="00860F66">
        <w:rPr>
          <w:b/>
          <w:bCs/>
        </w:rPr>
        <w:t>Multimorbidity and chronic disease burden</w:t>
      </w:r>
    </w:p>
    <w:p w:rsidR="004919B1" w:rsidRDefault="004919B1" w:rsidP="00860F66">
      <w:r w:rsidRPr="004919B1">
        <w:t xml:space="preserve">Multimorbidity is a significant disparity as chronic illness increases with age but also is influenced by deprivation. According to Age UK (2025), 82% of individuals (65 to 74 years old) and 90% (85 years and older) experience long-term conditions and two in three individuals (80 years and older) experience multimorbidity (Age UK, 2025; </w:t>
      </w:r>
      <w:proofErr w:type="spellStart"/>
      <w:r w:rsidRPr="004919B1">
        <w:t>Valabhji</w:t>
      </w:r>
      <w:proofErr w:type="spellEnd"/>
      <w:r w:rsidRPr="004919B1">
        <w:t xml:space="preserve"> et al., 2024). Older adults who are poor are thus burdened by illness and have less to offer. This complexity does not lend itself well to single-disease services, and this is one reason why 24% of adults aged 65 and above said they needed daily living support that they had not received (NHS England, 2026b). It requires person-</w:t>
      </w:r>
      <w:proofErr w:type="spellStart"/>
      <w:r w:rsidRPr="004919B1">
        <w:t>centred</w:t>
      </w:r>
      <w:proofErr w:type="spellEnd"/>
      <w:r w:rsidRPr="004919B1">
        <w:t xml:space="preserve"> care planning, improved coordination of services across services, and medication review (NHS England, 2025; NHS England, 2026b).</w:t>
      </w:r>
    </w:p>
    <w:p w:rsidR="00860F66" w:rsidRPr="00860F66" w:rsidRDefault="00860F66" w:rsidP="00860F66">
      <w:r w:rsidRPr="00860F66">
        <w:rPr>
          <w:b/>
          <w:bCs/>
        </w:rPr>
        <w:t>Dementia and cognitive decline</w:t>
      </w:r>
    </w:p>
    <w:p w:rsidR="00E77466" w:rsidRDefault="00E77466" w:rsidP="00860F66">
      <w:r w:rsidRPr="00E77466">
        <w:t xml:space="preserve">Dementia is not merely biological ageing since prevalence, diagnosis and support are socially patterned. The Society of Alzheimer (2024) estimates the UK dementia population to be 982,000 with a forecast of 1.4 million by 2040, and over a third of them are under-diagnosed. In July 2025 the diagnosis rate of individuals aged 65 and above in England was 66.1 and only 65.2 of the diagnosed had a care plan or review (NHS Digital, 2025). Livingston et al. (2024) suggest that approximately 45% of the cases can be avoided by taking measures against risks, including hearing loss, hypertension, diabetes, smoking, low education and social isolation. Prevention and </w:t>
      </w:r>
      <w:r w:rsidRPr="00E77466">
        <w:lastRenderedPageBreak/>
        <w:t>support planning can be enhanced with the help of earlier assessment, enhanced cardiovascular and hearing management, smoking cessation support and community programmes (Livingston et al., 2024; NHS England, 2026a).</w:t>
      </w:r>
    </w:p>
    <w:p w:rsidR="00860F66" w:rsidRPr="00860F66" w:rsidRDefault="00860F66" w:rsidP="00860F66">
      <w:r w:rsidRPr="00860F66">
        <w:rPr>
          <w:b/>
          <w:bCs/>
        </w:rPr>
        <w:t xml:space="preserve">Frailty, falls and avoidable </w:t>
      </w:r>
      <w:proofErr w:type="spellStart"/>
      <w:r w:rsidRPr="00860F66">
        <w:rPr>
          <w:b/>
          <w:bCs/>
        </w:rPr>
        <w:t>hospitalisation</w:t>
      </w:r>
      <w:proofErr w:type="spellEnd"/>
    </w:p>
    <w:p w:rsidR="00E77466" w:rsidRDefault="00E77466" w:rsidP="00860F66">
      <w:r w:rsidRPr="00E77466">
        <w:t>Frailty demonstrates the way in which inequality arises where there is vulnerability coupled with poor prevention. It is related to falls, disability, hospital admission and mortality (Clegg et al., 2013; NHS England, 2026b). Approximately one third of individuals aged 65 and half of those aged 80 or older fall annually (Office for Health Improvement and Disparities, 2022). However, poor housing, polypharmacy, sensory loss and lack of preventive support also influence falls. They should be identified earlier, strengthening and balance programmes, medication assessment and home safety assessment are required (Office for Health Improvement and Disparities, 2022; NHS England, 2025).</w:t>
      </w:r>
    </w:p>
    <w:p w:rsidR="00860F66" w:rsidRPr="00860F66" w:rsidRDefault="00860F66" w:rsidP="00860F66">
      <w:r w:rsidRPr="00860F66">
        <w:rPr>
          <w:b/>
          <w:bCs/>
        </w:rPr>
        <w:t>Social isolation and loneliness</w:t>
      </w:r>
    </w:p>
    <w:p w:rsidR="00E77466" w:rsidRDefault="00E77466" w:rsidP="00860F66">
      <w:r w:rsidRPr="00E77466">
        <w:t>Late life loneliness is a structural injustice and not just an individual emotion. It was noted by Age UK (2024b) that 7</w:t>
      </w:r>
      <w:r>
        <w:t>%</w:t>
      </w:r>
      <w:r w:rsidRPr="00E77466">
        <w:t xml:space="preserve"> of individuals aged 65 and above, or approximately 940,000 individuals, frequently experience loneliness, and people with low social conne</w:t>
      </w:r>
      <w:r>
        <w:t>ction</w:t>
      </w:r>
      <w:r w:rsidRPr="00E77466">
        <w:t xml:space="preserve">s are nearly three times more likely to be lonely. The studies associate low social ties with increased risk of death, depression and worse health (Holt-Lunstad, Smith and Layton, 2010; </w:t>
      </w:r>
      <w:proofErr w:type="spellStart"/>
      <w:r w:rsidRPr="00E77466">
        <w:t>Lapane</w:t>
      </w:r>
      <w:proofErr w:type="spellEnd"/>
      <w:r w:rsidRPr="00E77466">
        <w:t xml:space="preserve"> et al., 2022). Older adults can stay in touch and access services via befriending schemes, age-friendly social groups, and via accessible transport and digital support (Age UK, 2024a; Age UK, 2026b).</w:t>
      </w:r>
    </w:p>
    <w:p w:rsidR="00860F66" w:rsidRPr="00860F66" w:rsidRDefault="00860F66" w:rsidP="00860F66">
      <w:r w:rsidRPr="00860F66">
        <w:rPr>
          <w:b/>
          <w:bCs/>
        </w:rPr>
        <w:t>Poverty and fuel insecurity</w:t>
      </w:r>
    </w:p>
    <w:p w:rsidR="00E77466" w:rsidRDefault="00E77466" w:rsidP="00860F66">
      <w:r w:rsidRPr="00E77466">
        <w:t>Poverty has continued to play a key role in later-life health inequality since it determines the ability of older adults to heat their homes, purchase food and cover daily expenses. By the financial year ending 2024, 16% of pensioners will be in relative low income after housing costs and 11% will be in material deprivation, which is equivalent to about 1.3 million pensioners (Department for Work and Pensions, 2025a). There were 2.7 million fuel poor households in 2024, with low-income households using a median of 16.4% of household income on energy in 2024, versus 7.7% in all households (Department for Energy Security and Net Zero, 2026). Pension credit uptake, winter support, and home energy efficiency would improve illness and stress (Department for Work and Pensions, 2025b; Department for Energy Security and Net Zero, 2026).</w:t>
      </w:r>
    </w:p>
    <w:p w:rsidR="00860F66" w:rsidRPr="00860F66" w:rsidRDefault="00860F66" w:rsidP="00860F66">
      <w:r w:rsidRPr="00860F66">
        <w:rPr>
          <w:b/>
          <w:bCs/>
        </w:rPr>
        <w:t>Housing, digital exclusion and access barriers</w:t>
      </w:r>
    </w:p>
    <w:p w:rsidR="00E77466" w:rsidRDefault="00E77466" w:rsidP="00860F66">
      <w:r w:rsidRPr="00E77466">
        <w:lastRenderedPageBreak/>
        <w:t>Other structural determinants of health are housing quality and digital access. In 2020 to 2021, 15% of older households in England lived in a home that did not meet the Decent Homes Standard, with 30% of older private renters living in a home that had failed the Standard, and 9% of older households had a Category 1 hazard (Department for Levelling Up, Housing and Communities, 2022). In the meantime, 21% of adults aged 65 years and above were not connected to the internet, and 43% of adults not connected to the internet at home used another person to do their online activities (Ofcom, 2025). These barriers can be mitigated through home adaptations, accessible transport, face-to-face and telephone routes, and digital inclusion support (Older People Housing Taskforce, 2024; Ofcom, 2025; Age UK, 2026b).</w:t>
      </w:r>
    </w:p>
    <w:p w:rsidR="00860F66" w:rsidRPr="00F079C1" w:rsidRDefault="00860F66" w:rsidP="00F079C1">
      <w:pPr>
        <w:pStyle w:val="Heading2"/>
        <w:rPr>
          <w:rFonts w:ascii="Arial" w:hAnsi="Arial" w:cs="Arial"/>
        </w:rPr>
      </w:pPr>
      <w:bookmarkStart w:id="3" w:name="_Toc224474143"/>
      <w:r w:rsidRPr="00F079C1">
        <w:rPr>
          <w:rFonts w:ascii="Arial" w:hAnsi="Arial" w:cs="Arial"/>
        </w:rPr>
        <w:t>National responses to reduce age-related health inequalities</w:t>
      </w:r>
      <w:bookmarkEnd w:id="3"/>
    </w:p>
    <w:p w:rsidR="00E77466" w:rsidRDefault="00E77466" w:rsidP="00860F66">
      <w:r w:rsidRPr="00E77466">
        <w:t>The national responses have been going in the right direction but have been uneven. The ageing well programme by NHS England encourages the earlier detection of frailty, prevention of falls, and coordinated care instead of crisis response (NHS England, 2025b). Nevertheless, the incomplete implementation is implied by the continuous lack of support need (NHS England, 2026b). The Pension credit take-up campaign generated 56,700 more successful claims about 83 a week on average, yet regional uptake between 55% to 71% shows that there is still inequality in access (Department for Work and Pensions, 2025b). The Fuel Poverty Strategy has a goal of removing up to 1 million households in fuel poverty by 2030 (Department for Energy Security and Net Zero, 2026). The weakness is still fragmentation.</w:t>
      </w:r>
    </w:p>
    <w:p w:rsidR="00860F66" w:rsidRPr="00F079C1" w:rsidRDefault="00860F66" w:rsidP="00F079C1">
      <w:pPr>
        <w:pStyle w:val="Heading2"/>
        <w:rPr>
          <w:rFonts w:ascii="Arial" w:hAnsi="Arial" w:cs="Arial"/>
        </w:rPr>
      </w:pPr>
      <w:bookmarkStart w:id="4" w:name="_Toc224474144"/>
      <w:proofErr w:type="spellStart"/>
      <w:r w:rsidRPr="00F079C1">
        <w:rPr>
          <w:rFonts w:ascii="Arial" w:hAnsi="Arial" w:cs="Arial"/>
        </w:rPr>
        <w:t>Organisation</w:t>
      </w:r>
      <w:proofErr w:type="spellEnd"/>
      <w:r w:rsidRPr="00F079C1">
        <w:rPr>
          <w:rFonts w:ascii="Arial" w:hAnsi="Arial" w:cs="Arial"/>
        </w:rPr>
        <w:t xml:space="preserve"> supporting older adults: Age UK</w:t>
      </w:r>
      <w:bookmarkEnd w:id="4"/>
    </w:p>
    <w:p w:rsidR="00E77466" w:rsidRDefault="00E77466" w:rsidP="00860F66">
      <w:r w:rsidRPr="00E77466">
        <w:t xml:space="preserve">Age UK is significant in that it integrates both direct assistance, evidence generation and policy campaigning. Its plan emphasizes counsel, friendship services, research, campaigning and local support such as help at home, exercise and digital inclusion (Age UK, n.d.). Practically, it assists older adults in claiming benefits, navigating care and housing systems, reducing isolation and enhancing digital engagement (Age UK, 2024a; Age UK, 2026b). </w:t>
      </w:r>
    </w:p>
    <w:p w:rsidR="00860F66" w:rsidRPr="00F079C1" w:rsidRDefault="00860F66" w:rsidP="00F079C1">
      <w:pPr>
        <w:pStyle w:val="Heading2"/>
        <w:rPr>
          <w:rFonts w:ascii="Arial" w:hAnsi="Arial" w:cs="Arial"/>
        </w:rPr>
      </w:pPr>
      <w:bookmarkStart w:id="5" w:name="_Toc224474145"/>
      <w:r w:rsidRPr="00F079C1">
        <w:rPr>
          <w:rFonts w:ascii="Arial" w:hAnsi="Arial" w:cs="Arial"/>
        </w:rPr>
        <w:t>Conclusion</w:t>
      </w:r>
      <w:bookmarkEnd w:id="5"/>
    </w:p>
    <w:p w:rsidR="00903FE0" w:rsidRDefault="00E77466">
      <w:r w:rsidRPr="00E77466">
        <w:t xml:space="preserve">Age inequality in the UK is created by the interplay of biological ageing and deprivation, exclusion and cumulative disadvantage. Multimorbidity, dementia, frailty, loneliness, poverty, and barriers to access are related to each other. Ageing well is increasingly being seen as a requirement of national policy, yet more compelling results demand structural intervention and treatment. To make longer lives fairer and healthier, preventative, integrated and age-friendly strategies are necessary. </w:t>
      </w:r>
      <w:r>
        <w:br w:type="page"/>
      </w:r>
    </w:p>
    <w:p w:rsidR="00F079C1" w:rsidRDefault="00000000" w:rsidP="00F079C1">
      <w:pPr>
        <w:pStyle w:val="Heading1"/>
        <w:rPr>
          <w:rFonts w:ascii="Arial" w:hAnsi="Arial" w:cs="Arial"/>
          <w:color w:val="000000" w:themeColor="text1"/>
        </w:rPr>
      </w:pPr>
      <w:bookmarkStart w:id="6" w:name="_Toc224474146"/>
      <w:r w:rsidRPr="00F079C1">
        <w:rPr>
          <w:rFonts w:ascii="Arial" w:hAnsi="Arial" w:cs="Arial"/>
          <w:color w:val="000000" w:themeColor="text1"/>
        </w:rPr>
        <w:lastRenderedPageBreak/>
        <w:t>Task 2: Epidemiological Analysis of Dementia in Older Adults in the United Kingdom</w:t>
      </w:r>
      <w:bookmarkEnd w:id="6"/>
    </w:p>
    <w:p w:rsidR="00903FE0" w:rsidRPr="00F079C1" w:rsidRDefault="00000000" w:rsidP="00F079C1">
      <w:pPr>
        <w:pStyle w:val="Heading2"/>
        <w:rPr>
          <w:rFonts w:ascii="Arial" w:hAnsi="Arial" w:cs="Arial"/>
          <w:color w:val="000000" w:themeColor="text1"/>
        </w:rPr>
      </w:pPr>
      <w:bookmarkStart w:id="7" w:name="_Toc224474147"/>
      <w:r w:rsidRPr="00F079C1">
        <w:rPr>
          <w:rFonts w:ascii="Arial" w:hAnsi="Arial" w:cs="Arial"/>
        </w:rPr>
        <w:t>Introduction</w:t>
      </w:r>
      <w:bookmarkEnd w:id="7"/>
    </w:p>
    <w:p w:rsidR="00FF0B2E" w:rsidRDefault="00FF0B2E">
      <w:r w:rsidRPr="00FF0B2E">
        <w:t xml:space="preserve">Dementia is a progressive syndrome that is caused by diseases relating to the brain and results in loss of memory, thinking, </w:t>
      </w:r>
      <w:proofErr w:type="spellStart"/>
      <w:r w:rsidRPr="00FF0B2E">
        <w:t>behaviour</w:t>
      </w:r>
      <w:proofErr w:type="spellEnd"/>
      <w:r w:rsidRPr="00FF0B2E">
        <w:t xml:space="preserve"> and ability to perform day-to-day activities. It has significant health, social, and cultural impacts as it raises disability, dependency, stigma, carer strain and pressure on health and social care systems (World Health </w:t>
      </w:r>
      <w:proofErr w:type="spellStart"/>
      <w:r w:rsidRPr="00FF0B2E">
        <w:t>Organisation</w:t>
      </w:r>
      <w:proofErr w:type="spellEnd"/>
      <w:r w:rsidRPr="00FF0B2E">
        <w:t xml:space="preserve">, 2025). Globally, the population with dementia is over 55 million and close to 10 million cases are new annually (World Health </w:t>
      </w:r>
      <w:proofErr w:type="spellStart"/>
      <w:r w:rsidRPr="00FF0B2E">
        <w:t>Organisation</w:t>
      </w:r>
      <w:proofErr w:type="spellEnd"/>
      <w:r w:rsidRPr="00FF0B2E">
        <w:t>, 2025). In the United Kingdom, the number of individuals living with dementia is estimated to be approximately 982,000, which is projected to increase to 1.4 million in 2040, and in 2024 dementia and Alzheimer's disease were the top causes of death in England and Wales, with 68,274 or 12.1 per cent of all deaths (Alzheimer's Society, 2024; Office for National Statistics, 2025). This report aims at discussing dementia among the elderly (65 years and above) in the UK and how epidemiology can be employed</w:t>
      </w:r>
      <w:r w:rsidR="00E8408F">
        <w:t>.</w:t>
      </w:r>
    </w:p>
    <w:p w:rsidR="00903FE0" w:rsidRPr="00F079C1" w:rsidRDefault="00000000">
      <w:pPr>
        <w:pStyle w:val="Heading2"/>
        <w:rPr>
          <w:rFonts w:ascii="Arial" w:hAnsi="Arial" w:cs="Arial"/>
        </w:rPr>
      </w:pPr>
      <w:bookmarkStart w:id="8" w:name="_Toc224474148"/>
      <w:r w:rsidRPr="00F079C1">
        <w:rPr>
          <w:rFonts w:ascii="Arial" w:hAnsi="Arial" w:cs="Arial"/>
        </w:rPr>
        <w:t>Public health measures using the 3 Ps</w:t>
      </w:r>
      <w:bookmarkEnd w:id="8"/>
    </w:p>
    <w:p w:rsidR="00FF0B2E" w:rsidRDefault="00FF0B2E">
      <w:r w:rsidRPr="00FF0B2E">
        <w:t xml:space="preserve">In the UK, prevention, protection and promotion can be used to </w:t>
      </w:r>
      <w:proofErr w:type="spellStart"/>
      <w:r w:rsidRPr="00FF0B2E">
        <w:t>organise</w:t>
      </w:r>
      <w:proofErr w:type="spellEnd"/>
      <w:r w:rsidRPr="00FF0B2E">
        <w:t xml:space="preserve"> public health action on dementia. Prevention aims at postponing the onset by decreasing the life course modifiable risks. NICE suggests action on smoking, physical inactivity, unhealthy diet, alcohol use and excess weight, and messages about dementia risks are also incorporated into NHS Health Cheques by advising on blood pressure, cholesterol and blood glucose control (NICE, 2015; Public Health England, 2021). Protection focuses on minimizing harm in people who are at risk or live with dementia by identifying it earlier, planning care, reviewing medication, preventing falls, and supporting carers; NICE guidance and NHS dementia pathways highlight the importance of coordinated assessment and post-diagnostic support (NICE, 2018; NHS England, 2026a). Promotion refers to creating awareness and encouraging help-seeking. This is significant since even current data indicate that there is a diagnosis gap: in England, there were 512,466 people with a recorded diagnosis of dementia in December 2025 and only 66.3% of all the population with dementia aged 65 and above had been formally diagnosed (NHS Digital, 2025). An example of such an approach is the Dementia Action Week 2025 </w:t>
      </w:r>
      <w:proofErr w:type="spellStart"/>
      <w:r w:rsidRPr="00FF0B2E">
        <w:t>organised</w:t>
      </w:r>
      <w:proofErr w:type="spellEnd"/>
      <w:r w:rsidRPr="00FF0B2E">
        <w:t xml:space="preserve"> by the Alzheimer Society to promote the necessity of early diagnosis (Alzheimer’s Society, 2025).</w:t>
      </w:r>
    </w:p>
    <w:p w:rsidR="00903FE0" w:rsidRPr="00F079C1" w:rsidRDefault="00000000">
      <w:pPr>
        <w:pStyle w:val="Heading2"/>
        <w:rPr>
          <w:rFonts w:ascii="Arial" w:hAnsi="Arial" w:cs="Arial"/>
        </w:rPr>
      </w:pPr>
      <w:bookmarkStart w:id="9" w:name="_Toc224474149"/>
      <w:r w:rsidRPr="00F079C1">
        <w:rPr>
          <w:rFonts w:ascii="Arial" w:hAnsi="Arial" w:cs="Arial"/>
        </w:rPr>
        <w:lastRenderedPageBreak/>
        <w:t>Key determinants and risk factors</w:t>
      </w:r>
      <w:bookmarkEnd w:id="9"/>
    </w:p>
    <w:p w:rsidR="00FF0B2E" w:rsidRDefault="00FF0B2E">
      <w:r w:rsidRPr="00FF0B2E">
        <w:t>The strongest non-modifiable risk factor is age and epidemiology depicts that ageing is not the sole explanation of dementia. Lancet Commission (2024) found that approximately 45 percent of dementia cases could be explained by 14 potentially modifiable factors throughout the life span, such as lower education, hearing loss, hypertension, high LDL cholesterol, obesity, physical inactivity, diabetes, smoking, excessive alcohol consumption, depression, social isolation, air pollution and vision loss (Livingston et al., 2024). This trend is evidenced by the UK. It was found that low socioeconomic status, social isolation, hearing impairment, diabetes, stroke, heart disease and depression were linked to more young-onset dementia in the UK Biobank cohort (Hendriks et al., 2024). In a national representative sample of English adults aged 65 years and above, the relevance of lower wealth to increased dementia incidence was independent, demonstrating that social disadvantage defines susceptibility in adulthood (Cadar et al., 2018).</w:t>
      </w:r>
    </w:p>
    <w:p w:rsidR="00903FE0" w:rsidRPr="00F079C1" w:rsidRDefault="00000000">
      <w:pPr>
        <w:pStyle w:val="Heading2"/>
        <w:rPr>
          <w:rFonts w:ascii="Arial" w:hAnsi="Arial" w:cs="Arial"/>
        </w:rPr>
      </w:pPr>
      <w:bookmarkStart w:id="10" w:name="_Toc224474150"/>
      <w:r w:rsidRPr="00F079C1">
        <w:rPr>
          <w:rFonts w:ascii="Arial" w:hAnsi="Arial" w:cs="Arial"/>
        </w:rPr>
        <w:t>Those affected or at risk in the defined population</w:t>
      </w:r>
      <w:bookmarkEnd w:id="10"/>
    </w:p>
    <w:p w:rsidR="00FF0B2E" w:rsidRDefault="00FF0B2E">
      <w:r w:rsidRPr="00FF0B2E">
        <w:t>Data on epidemiological studies and population needs assessment is used to determine who is most affected in the UK. Present estimates indicate that nearly one million individuals are living with dementia, although the burden is skewed towards older age groups and steeply increases among the oldest old (Alzheimer's Society, 2024; Alzheimer's Society, 2026). In England, the Cognitive Function and Ageing Study II estimated a prevalence of dementia of 6.5% in people aged 65 years and above in 2011, or about 670,000 cases each year, whereas a subsequent analysis of CFAS incidence estimates about 209,600 new cases of dementia each year in the UK (Matthews et al., 2013; Matthews et al., 2016). In later life, women are disproportionately affected because they live longer and more than half of those with the condition die of dementia, whereas individuals in care homes, unpaid carers and those with fewer economic resources are disproportionately affected (Office for National Statistics, 2025; Alzheimer's Society, 2026; Cadar et al., 2018). The other groups, which could be overlooked by regular services, are people with young-onset dementia, minority ethnic groups, and those who were not diagnosed until a crisis or hospital admission (Alzheimer's Society, 2026; NHS Digital, 2025).</w:t>
      </w:r>
    </w:p>
    <w:p w:rsidR="00903FE0" w:rsidRPr="00F079C1" w:rsidRDefault="00000000">
      <w:pPr>
        <w:pStyle w:val="Heading2"/>
        <w:rPr>
          <w:rFonts w:ascii="Arial" w:hAnsi="Arial" w:cs="Arial"/>
        </w:rPr>
      </w:pPr>
      <w:bookmarkStart w:id="11" w:name="_Toc224474151"/>
      <w:r w:rsidRPr="00F079C1">
        <w:rPr>
          <w:rFonts w:ascii="Arial" w:hAnsi="Arial" w:cs="Arial"/>
        </w:rPr>
        <w:t>Monitoring and surveillance systems</w:t>
      </w:r>
      <w:bookmarkEnd w:id="11"/>
    </w:p>
    <w:p w:rsidR="00FF0B2E" w:rsidRDefault="00FF0B2E">
      <w:r>
        <w:t>monitoring</w:t>
      </w:r>
      <w:r w:rsidRPr="00FF0B2E">
        <w:t xml:space="preserve"> of dementia in the UK needs multiple complementary surveillance systems since there exists no single national dementia registry or population screening programme. Dementia in the UK is not a systematic population screening which is why the identification of cases is based on clinical identification and routine services instead of universal screening (UK National Screening Committee, 2025). In England, a monthly Primary Care Dementia Data report captured the </w:t>
      </w:r>
      <w:r w:rsidRPr="00FF0B2E">
        <w:lastRenderedPageBreak/>
        <w:t>following diagnoses, diagnosis rates in individuals aged 65 years and above, reviews of the care plan, medication reviews, and diagnoses in young people (NHS Digital, 2025). The Office for Health Improvement and Disparities dementia profile introduces intelligence about prevalence, diagnosis, emergency admission, care home and mortality, and its 2025 commentary provides significant variation in diagnosed prevalence by the areas of integrated care boards (Office for Health Improvement and Disparities, 2025a; Office for Health Improvement and Disparities, 2025b). Mortality surveillance by the Office for National Statistics and cohort studies, including CFAS, ELSA and UK Biobank, are still deemed significant since regular data primarily assess diagnosed prevalence, as opposed to real incidence or unmet need (Office for National Statistics, 2025; Matthews et al., 2016; Hendriks et al., 2024).</w:t>
      </w:r>
    </w:p>
    <w:p w:rsidR="00903FE0" w:rsidRPr="00F079C1" w:rsidRDefault="00000000">
      <w:pPr>
        <w:pStyle w:val="Heading2"/>
        <w:rPr>
          <w:rFonts w:ascii="Arial" w:hAnsi="Arial" w:cs="Arial"/>
        </w:rPr>
      </w:pPr>
      <w:bookmarkStart w:id="12" w:name="_Toc224474152"/>
      <w:r w:rsidRPr="00F079C1">
        <w:rPr>
          <w:rFonts w:ascii="Arial" w:hAnsi="Arial" w:cs="Arial"/>
        </w:rPr>
        <w:t>Public health impact and short- and long-term consequences</w:t>
      </w:r>
      <w:bookmarkEnd w:id="12"/>
    </w:p>
    <w:p w:rsidR="00FF0B2E" w:rsidRDefault="00FF0B2E">
      <w:r w:rsidRPr="00FF0B2E">
        <w:t xml:space="preserve">Epidemiology can also be employed to estimate the public health impact, as well as short and long-term consequences of dementia. In the short-run, dementia predisposes to missed medication, falls, emergency </w:t>
      </w:r>
      <w:proofErr w:type="spellStart"/>
      <w:r w:rsidRPr="00FF0B2E">
        <w:t>hospitalisation</w:t>
      </w:r>
      <w:proofErr w:type="spellEnd"/>
      <w:r w:rsidRPr="00FF0B2E">
        <w:t xml:space="preserve">, delayed discharge and stress among carers, especially when the diagnosis is late and care is not well coordinated (NICE, 2018; Alzheimer's Society, n.d.). In the longer term, it leads to progressive disability, loss of independence, high social care requirement, increased care home </w:t>
      </w:r>
      <w:proofErr w:type="spellStart"/>
      <w:r w:rsidRPr="00FF0B2E">
        <w:t>utilisation</w:t>
      </w:r>
      <w:proofErr w:type="spellEnd"/>
      <w:r w:rsidRPr="00FF0B2E">
        <w:t xml:space="preserve"> and excess mortality. In 2023, the </w:t>
      </w:r>
      <w:proofErr w:type="spellStart"/>
      <w:r w:rsidRPr="00FF0B2E">
        <w:t>standardised</w:t>
      </w:r>
      <w:proofErr w:type="spellEnd"/>
      <w:r w:rsidRPr="00FF0B2E">
        <w:t xml:space="preserve"> death rate of dementia in England was 828 per 100,000 individuals aged 65 years and above, and in 2024 dementia and Alzheimer's disease was the cause of death in the greatest number of people in England and Wales (Office for Health Improvement and Disparities, 2025b; Office for National Statistics, 2025). Dementia also is projected to cost the UK £42 billion in 2024 and 90 billion in 2040, and undiagnosed dementia is associated with a high emergency </w:t>
      </w:r>
      <w:proofErr w:type="spellStart"/>
      <w:r w:rsidRPr="00FF0B2E">
        <w:t>utilisation</w:t>
      </w:r>
      <w:proofErr w:type="spellEnd"/>
      <w:r w:rsidRPr="00FF0B2E">
        <w:t xml:space="preserve"> (Alzheimer's Society, n.d.). </w:t>
      </w:r>
    </w:p>
    <w:p w:rsidR="00903FE0" w:rsidRPr="00F079C1" w:rsidRDefault="00000000">
      <w:pPr>
        <w:pStyle w:val="Heading2"/>
        <w:rPr>
          <w:rFonts w:ascii="Arial" w:hAnsi="Arial" w:cs="Arial"/>
        </w:rPr>
      </w:pPr>
      <w:bookmarkStart w:id="13" w:name="_Toc224474153"/>
      <w:r w:rsidRPr="00F079C1">
        <w:rPr>
          <w:rFonts w:ascii="Arial" w:hAnsi="Arial" w:cs="Arial"/>
        </w:rPr>
        <w:t>Proposed intervention programme and evaluation</w:t>
      </w:r>
      <w:bookmarkEnd w:id="13"/>
    </w:p>
    <w:p w:rsidR="00FF0B2E" w:rsidRDefault="00FF0B2E">
      <w:r w:rsidRPr="00FF0B2E">
        <w:t xml:space="preserve">A potential intervention programme in the UK would be a dementia risk reduction and earlier diagnosis pathway in adults aged 55 years and above, with increased outreach in deprived communities and adults aged 65 years and above who already have vascular, sensory or mental health risks. The programme would merge three aspects. First, primary care and community pharmacy would provide systematic risk review (blood pressure, diabetes, smoking, alcohol, hearing, vision, physical activity and social isolation) tied to referral pathways which would indicate established modifiable risks (Livingston et al., 2024; NICE, 2015). Second, general </w:t>
      </w:r>
      <w:proofErr w:type="spellStart"/>
      <w:r w:rsidRPr="00FF0B2E">
        <w:t>practises</w:t>
      </w:r>
      <w:proofErr w:type="spellEnd"/>
      <w:r w:rsidRPr="00FF0B2E">
        <w:t xml:space="preserve"> would involve opportunistic case finding of individuals with memory issues, falls, frailty, medication issues or carer concern, and then, refer them to memory assessment services in a rapid manner </w:t>
      </w:r>
      <w:r w:rsidRPr="00FF0B2E">
        <w:lastRenderedPageBreak/>
        <w:t xml:space="preserve">(NICE, 2018). Third, the public information and carer navigation support would be culturally designed and offered in partnership with the voluntary sector to decrease the stigma and uptake of the latter by underserved populations. Process indicators that should be evaluated include coverage of risk reviews and referral uptake, outcome indicators including diagnosis rate, time to diagnosis, control of vascular risks and emergency admission rates, and equity indicators including improvements by deprivation, ethnicity and age band. </w:t>
      </w:r>
    </w:p>
    <w:p w:rsidR="00903FE0" w:rsidRPr="00F079C1" w:rsidRDefault="00000000">
      <w:pPr>
        <w:pStyle w:val="Heading2"/>
        <w:rPr>
          <w:rFonts w:ascii="Arial" w:hAnsi="Arial" w:cs="Arial"/>
        </w:rPr>
      </w:pPr>
      <w:bookmarkStart w:id="14" w:name="_Toc224474154"/>
      <w:r w:rsidRPr="00F079C1">
        <w:rPr>
          <w:rFonts w:ascii="Arial" w:hAnsi="Arial" w:cs="Arial"/>
        </w:rPr>
        <w:t>Strengths and weaknesses of the epidemiological approach</w:t>
      </w:r>
      <w:bookmarkEnd w:id="14"/>
    </w:p>
    <w:p w:rsidR="00E8408F" w:rsidRDefault="00E8408F">
      <w:r w:rsidRPr="00E8408F">
        <w:t>Epidemiological approach has significant strengths. It measures the scale of the issue, demonstrates who is most vulnerable, reveals disparities, justifies projections and enables interventions to be assessed based on observable indicators in addition to anecdote. Routine surveillance combined with cohort studies enhances validity since service data can expose diagnosed cases and care processes, whereas longitudinal studies can show incidence, determinants, and long-term risk relationship (NHS Digital, 2025; Matthews et al., 2016; Cadar et al., 2018). Nonetheless, weaknesses are also present. Dementia is misdiagnosed, and routine data does not reflect the actual burden; most indicators reflect the prevalence but not the incidence of the disease; and observational studies are only capable of identifying, but cannot definitively prove, causation (NHS Digital, 2025; Hendriks et al., 2024). Fragmented data systems, difference in diagnostic practise and underrepresentation of certain ethnic minority groups in cohort research also influence UK-wide analysis.</w:t>
      </w:r>
    </w:p>
    <w:p w:rsidR="00903FE0" w:rsidRPr="00F079C1" w:rsidRDefault="00000000">
      <w:pPr>
        <w:pStyle w:val="Heading2"/>
        <w:rPr>
          <w:rFonts w:ascii="Arial" w:hAnsi="Arial" w:cs="Arial"/>
        </w:rPr>
      </w:pPr>
      <w:bookmarkStart w:id="15" w:name="_Toc224474155"/>
      <w:r w:rsidRPr="00F079C1">
        <w:rPr>
          <w:rFonts w:ascii="Arial" w:hAnsi="Arial" w:cs="Arial"/>
        </w:rPr>
        <w:t>Conclusion and recommendations</w:t>
      </w:r>
      <w:bookmarkEnd w:id="15"/>
    </w:p>
    <w:p w:rsidR="00E8408F" w:rsidRDefault="00E8408F">
      <w:r w:rsidRPr="00E8408F">
        <w:t>Dementia among older adults is a significant public health issue in the United Kingdom due to its high prevalence, persistent incidence, disproportionate social patterning and significant impacts on disability, mortality, care need and cost. Epidemiology demonstrates that the burden is focused in older age, influenced by modifiable and non-modifiable risks and enhanced by underdiagnosis and socioeconomic inequality. It also demonstrates that action cannot be limited to treatment but it should be accompanied with prevention, protection, promotion, surveillance and targeted service redesign. The most effective response is consequently a nationwide approach that integrates the reduction of risks, a timely diagnosis, coordinated post-diagnostic assistance, support of carers and surveillance of disparities in access and outcomes.</w:t>
      </w:r>
    </w:p>
    <w:p w:rsidR="00E8408F" w:rsidRDefault="00E8408F" w:rsidP="00E8408F">
      <w:pPr>
        <w:spacing w:after="200" w:line="276" w:lineRule="auto"/>
        <w:jc w:val="left"/>
      </w:pPr>
      <w:r>
        <w:br w:type="page"/>
      </w:r>
    </w:p>
    <w:p w:rsidR="00903FE0" w:rsidRPr="00F079C1" w:rsidRDefault="00000000">
      <w:pPr>
        <w:pStyle w:val="Heading1"/>
        <w:rPr>
          <w:rFonts w:ascii="Arial" w:hAnsi="Arial" w:cs="Arial"/>
          <w:color w:val="000000" w:themeColor="text1"/>
        </w:rPr>
      </w:pPr>
      <w:bookmarkStart w:id="16" w:name="_Toc224474156"/>
      <w:r w:rsidRPr="00F079C1">
        <w:rPr>
          <w:rFonts w:ascii="Arial" w:hAnsi="Arial" w:cs="Arial"/>
          <w:color w:val="000000" w:themeColor="text1"/>
        </w:rPr>
        <w:lastRenderedPageBreak/>
        <w:t>Reference</w:t>
      </w:r>
      <w:bookmarkEnd w:id="16"/>
      <w:r w:rsidRPr="00F079C1">
        <w:rPr>
          <w:rFonts w:ascii="Arial" w:hAnsi="Arial" w:cs="Arial"/>
          <w:color w:val="000000" w:themeColor="text1"/>
        </w:rPr>
        <w:t xml:space="preserve"> </w:t>
      </w:r>
    </w:p>
    <w:p w:rsidR="00F079C1" w:rsidRPr="00F14A56" w:rsidRDefault="00F079C1" w:rsidP="00F14A56">
      <w:pPr>
        <w:ind w:left="720" w:hanging="720"/>
        <w:rPr>
          <w:rFonts w:cs="Arial"/>
        </w:rPr>
      </w:pPr>
      <w:r w:rsidRPr="00F14A56">
        <w:rPr>
          <w:rFonts w:cs="Arial"/>
        </w:rPr>
        <w:t xml:space="preserve">Age UK (n.d.) </w:t>
      </w:r>
      <w:r w:rsidRPr="00F14A56">
        <w:rPr>
          <w:rFonts w:cs="Arial"/>
          <w:i/>
          <w:iCs/>
        </w:rPr>
        <w:t>What we do</w:t>
      </w:r>
      <w:r w:rsidRPr="00F14A56">
        <w:rPr>
          <w:rFonts w:cs="Arial"/>
        </w:rPr>
        <w:t xml:space="preserve">. Available at: </w:t>
      </w:r>
      <w:hyperlink r:id="rId10" w:tgtFrame="_new" w:history="1">
        <w:r w:rsidRPr="00F14A56">
          <w:rPr>
            <w:rStyle w:val="Hyperlink"/>
            <w:rFonts w:cs="Arial"/>
          </w:rPr>
          <w:t>https://www.ageuk.org.uk/about-us/what-we-do/</w:t>
        </w:r>
      </w:hyperlink>
      <w:r w:rsidRPr="00F14A56">
        <w:rPr>
          <w:rFonts w:cs="Arial"/>
        </w:rPr>
        <w:t xml:space="preserve"> (Accessed: 15 March 2026).</w:t>
      </w:r>
    </w:p>
    <w:p w:rsidR="00F079C1" w:rsidRPr="00F14A56" w:rsidRDefault="00F079C1" w:rsidP="00F14A56">
      <w:pPr>
        <w:ind w:left="720" w:hanging="720"/>
        <w:rPr>
          <w:rFonts w:cs="Arial"/>
        </w:rPr>
      </w:pPr>
      <w:r w:rsidRPr="00F14A56">
        <w:rPr>
          <w:rFonts w:cs="Arial"/>
        </w:rPr>
        <w:t xml:space="preserve">Age UK (2024a) </w:t>
      </w:r>
      <w:r w:rsidRPr="00F14A56">
        <w:rPr>
          <w:rFonts w:cs="Arial"/>
          <w:i/>
          <w:iCs/>
        </w:rPr>
        <w:t>Information and advice services for older people</w:t>
      </w:r>
      <w:r w:rsidRPr="00F14A56">
        <w:rPr>
          <w:rFonts w:cs="Arial"/>
        </w:rPr>
        <w:t xml:space="preserve">. Available at: </w:t>
      </w:r>
      <w:hyperlink r:id="rId11" w:tgtFrame="_new" w:history="1">
        <w:r w:rsidRPr="00F14A56">
          <w:rPr>
            <w:rStyle w:val="Hyperlink"/>
            <w:rFonts w:cs="Arial"/>
          </w:rPr>
          <w:t>https://www.ageuk.org.uk/services/information-advice/</w:t>
        </w:r>
      </w:hyperlink>
      <w:r w:rsidRPr="00F14A56">
        <w:rPr>
          <w:rFonts w:cs="Arial"/>
        </w:rPr>
        <w:t xml:space="preserve"> (Accessed: 15 March 2026).</w:t>
      </w:r>
    </w:p>
    <w:p w:rsidR="00F079C1" w:rsidRPr="00F14A56" w:rsidRDefault="00F079C1" w:rsidP="00F14A56">
      <w:pPr>
        <w:ind w:left="720" w:hanging="720"/>
        <w:rPr>
          <w:rFonts w:cs="Arial"/>
        </w:rPr>
      </w:pPr>
      <w:r w:rsidRPr="00F14A56">
        <w:rPr>
          <w:rFonts w:cs="Arial"/>
        </w:rPr>
        <w:t xml:space="preserve">Age UK (2024b) ‘Age UK's new report shows "You are not alone in feeling lonely"’. Available at: </w:t>
      </w:r>
      <w:hyperlink r:id="rId12" w:tgtFrame="_new" w:history="1">
        <w:r w:rsidRPr="00F14A56">
          <w:rPr>
            <w:rStyle w:val="Hyperlink"/>
            <w:rFonts w:cs="Arial"/>
          </w:rPr>
          <w:t>https://www.ageuk.org.uk/latest-press/articles/age-uks-new-report-shows-you-are-not-alone-in-feeling-lonely/</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Age UK (2025) </w:t>
      </w:r>
      <w:r w:rsidRPr="00F14A56">
        <w:rPr>
          <w:rFonts w:cs="Arial"/>
          <w:i/>
          <w:iCs/>
        </w:rPr>
        <w:t>The state of health and care of older people in England 2025</w:t>
      </w:r>
      <w:r w:rsidRPr="00F14A56">
        <w:rPr>
          <w:rFonts w:cs="Arial"/>
        </w:rPr>
        <w:t xml:space="preserve">. Available at: </w:t>
      </w:r>
      <w:hyperlink r:id="rId13" w:tgtFrame="_new" w:history="1">
        <w:r w:rsidRPr="00F14A56">
          <w:rPr>
            <w:rStyle w:val="Hyperlink"/>
            <w:rFonts w:cs="Arial"/>
          </w:rPr>
          <w:t>https://www.ageuk.org.uk/siteassets/documents/reports-and-publications/reports-and-briefings/health--wellbeing/state-of-health-and-care/state-of-health-care-of-older-people-in-england-2025.pdf</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Age UK (2026a) </w:t>
      </w:r>
      <w:r w:rsidRPr="00F14A56">
        <w:rPr>
          <w:rFonts w:cs="Arial"/>
          <w:i/>
          <w:iCs/>
        </w:rPr>
        <w:t>What we research</w:t>
      </w:r>
      <w:r w:rsidRPr="00F14A56">
        <w:rPr>
          <w:rFonts w:cs="Arial"/>
        </w:rPr>
        <w:t xml:space="preserve">. Available at: </w:t>
      </w:r>
      <w:hyperlink r:id="rId14" w:tgtFrame="_new" w:history="1">
        <w:r w:rsidRPr="00F14A56">
          <w:rPr>
            <w:rStyle w:val="Hyperlink"/>
            <w:rFonts w:cs="Arial"/>
          </w:rPr>
          <w:t>https://www.ageuk.org.uk/our-impact/policy-research/what-we-research/</w:t>
        </w:r>
      </w:hyperlink>
      <w:r w:rsidRPr="00F14A56">
        <w:rPr>
          <w:rFonts w:cs="Arial"/>
        </w:rPr>
        <w:t xml:space="preserve"> (Accessed: 15 March 2026).</w:t>
      </w:r>
    </w:p>
    <w:p w:rsidR="00F079C1" w:rsidRPr="00F14A56" w:rsidRDefault="00F079C1" w:rsidP="00F14A56">
      <w:pPr>
        <w:ind w:left="720" w:hanging="720"/>
        <w:rPr>
          <w:rFonts w:cs="Arial"/>
        </w:rPr>
      </w:pPr>
      <w:r w:rsidRPr="00F14A56">
        <w:rPr>
          <w:rFonts w:cs="Arial"/>
        </w:rPr>
        <w:t xml:space="preserve">Age UK (2026b) </w:t>
      </w:r>
      <w:r w:rsidRPr="00F14A56">
        <w:rPr>
          <w:rFonts w:cs="Arial"/>
          <w:i/>
          <w:iCs/>
        </w:rPr>
        <w:t>Report of trustees and annual accounts 2024/25</w:t>
      </w:r>
      <w:r w:rsidRPr="00F14A56">
        <w:rPr>
          <w:rFonts w:cs="Arial"/>
        </w:rPr>
        <w:t xml:space="preserve">. Available at: </w:t>
      </w:r>
      <w:hyperlink r:id="rId15" w:tgtFrame="_new" w:history="1">
        <w:r w:rsidRPr="00F14A56">
          <w:rPr>
            <w:rStyle w:val="Hyperlink"/>
            <w:rFonts w:cs="Arial"/>
          </w:rPr>
          <w:t>https://www.ageuk.org.uk/siteassets/documents/annual-reports-and-reviews/age-uk-annual-report-2425.pdf</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Alzheimer's Society (2024) </w:t>
      </w:r>
      <w:r w:rsidRPr="00F14A56">
        <w:rPr>
          <w:rFonts w:cs="Arial"/>
          <w:i/>
          <w:iCs/>
        </w:rPr>
        <w:t>How many people have dementia in the UK?</w:t>
      </w:r>
      <w:r w:rsidRPr="00F14A56">
        <w:rPr>
          <w:rFonts w:cs="Arial"/>
        </w:rPr>
        <w:t xml:space="preserve"> Available at: </w:t>
      </w:r>
      <w:hyperlink r:id="rId16" w:tgtFrame="_new" w:history="1">
        <w:r w:rsidRPr="00F14A56">
          <w:rPr>
            <w:rStyle w:val="Hyperlink"/>
            <w:rFonts w:cs="Arial"/>
          </w:rPr>
          <w:t>https://www.alzheimers.org.uk/blog/how-many-people-have-dementia-uk</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Alzheimer's Society (2026) </w:t>
      </w:r>
      <w:r w:rsidRPr="00F14A56">
        <w:rPr>
          <w:rFonts w:cs="Arial"/>
          <w:i/>
          <w:iCs/>
        </w:rPr>
        <w:t>Facts for the media about dementia</w:t>
      </w:r>
      <w:r w:rsidRPr="00F14A56">
        <w:rPr>
          <w:rFonts w:cs="Arial"/>
        </w:rPr>
        <w:t xml:space="preserve">. Available at: </w:t>
      </w:r>
      <w:hyperlink r:id="rId17" w:tgtFrame="_new" w:history="1">
        <w:r w:rsidRPr="00F14A56">
          <w:rPr>
            <w:rStyle w:val="Hyperlink"/>
            <w:rFonts w:cs="Arial"/>
          </w:rPr>
          <w:t>https://www.alzheimers.org.uk/what-we-do/news-and-media/facts-media</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Alzheimer's Society (n.d.) </w:t>
      </w:r>
      <w:r w:rsidRPr="00F14A56">
        <w:rPr>
          <w:rFonts w:cs="Arial"/>
          <w:i/>
          <w:iCs/>
        </w:rPr>
        <w:t>The economic impact of dementia</w:t>
      </w:r>
      <w:r w:rsidRPr="00F14A56">
        <w:rPr>
          <w:rFonts w:cs="Arial"/>
        </w:rPr>
        <w:t xml:space="preserve">. Available at: </w:t>
      </w:r>
      <w:hyperlink r:id="rId18" w:tgtFrame="_new" w:history="1">
        <w:r w:rsidRPr="00F14A56">
          <w:rPr>
            <w:rStyle w:val="Hyperlink"/>
            <w:rFonts w:cs="Arial"/>
          </w:rPr>
          <w:t>https://www.alzheimers.org.uk/what-we-do/policy-and-influencing/economic-impact-of-dementia</w:t>
        </w:r>
      </w:hyperlink>
      <w:r w:rsidRPr="00F14A56">
        <w:rPr>
          <w:rFonts w:cs="Arial"/>
        </w:rPr>
        <w:t xml:space="preserve"> </w:t>
      </w:r>
    </w:p>
    <w:p w:rsidR="00F14A56" w:rsidRPr="00F14A56" w:rsidRDefault="00F14A56" w:rsidP="00F14A56">
      <w:pPr>
        <w:ind w:left="720" w:hanging="720"/>
        <w:rPr>
          <w:rFonts w:cs="Arial"/>
        </w:rPr>
      </w:pPr>
      <w:r w:rsidRPr="00F14A56">
        <w:rPr>
          <w:rFonts w:cs="Arial"/>
        </w:rPr>
        <w:t xml:space="preserve">Alzheimer's Society (2025) Dementia Action Week. Available at: </w:t>
      </w:r>
      <w:hyperlink r:id="rId19" w:history="1">
        <w:r w:rsidRPr="00F14A56">
          <w:rPr>
            <w:rStyle w:val="Hyperlink"/>
            <w:rFonts w:cs="Arial"/>
          </w:rPr>
          <w:t>https://www.alzheimers.org.uk/get-involved/dementia-action-week</w:t>
        </w:r>
      </w:hyperlink>
    </w:p>
    <w:p w:rsidR="00F079C1" w:rsidRPr="00F14A56" w:rsidRDefault="00F079C1" w:rsidP="00F14A56">
      <w:pPr>
        <w:ind w:left="720" w:hanging="720"/>
        <w:rPr>
          <w:rFonts w:cs="Arial"/>
        </w:rPr>
      </w:pPr>
      <w:r w:rsidRPr="00F14A56">
        <w:rPr>
          <w:rFonts w:cs="Arial"/>
        </w:rPr>
        <w:t xml:space="preserve">Cadar, D., </w:t>
      </w:r>
      <w:proofErr w:type="spellStart"/>
      <w:r w:rsidRPr="00F14A56">
        <w:rPr>
          <w:rFonts w:cs="Arial"/>
        </w:rPr>
        <w:t>Lassale</w:t>
      </w:r>
      <w:proofErr w:type="spellEnd"/>
      <w:r w:rsidRPr="00F14A56">
        <w:rPr>
          <w:rFonts w:cs="Arial"/>
        </w:rPr>
        <w:t xml:space="preserve">, C., Davies, H., Llewellyn, D.J., Batty, G.D. and Steptoe, A. (2018) ‘Individual and area-based socioeconomic factors associated with dementia incidence in England: Evidence from a 12-year follow-up in the English Longitudinal Study of Ageing’, </w:t>
      </w:r>
      <w:r w:rsidRPr="00F14A56">
        <w:rPr>
          <w:rFonts w:cs="Arial"/>
          <w:i/>
          <w:iCs/>
        </w:rPr>
        <w:t xml:space="preserve">JAMA </w:t>
      </w:r>
      <w:r w:rsidRPr="00F14A56">
        <w:rPr>
          <w:rFonts w:cs="Arial"/>
          <w:i/>
          <w:iCs/>
        </w:rPr>
        <w:lastRenderedPageBreak/>
        <w:t>Psychiatry</w:t>
      </w:r>
      <w:r w:rsidRPr="00F14A56">
        <w:rPr>
          <w:rFonts w:cs="Arial"/>
        </w:rPr>
        <w:t xml:space="preserve">, 75(7), pp. 723–732. Available at: </w:t>
      </w:r>
      <w:hyperlink r:id="rId20" w:tgtFrame="_new" w:history="1">
        <w:r w:rsidRPr="00F14A56">
          <w:rPr>
            <w:rStyle w:val="Hyperlink"/>
            <w:rFonts w:cs="Arial"/>
          </w:rPr>
          <w:t>https://doi.org/10.1001/jamapsychiatry.2018.1012</w:t>
        </w:r>
      </w:hyperlink>
      <w:r w:rsidRPr="00F14A56">
        <w:rPr>
          <w:rFonts w:cs="Arial"/>
        </w:rPr>
        <w:t>.</w:t>
      </w:r>
    </w:p>
    <w:p w:rsidR="00F079C1" w:rsidRPr="00F14A56" w:rsidRDefault="00F079C1" w:rsidP="00F14A56">
      <w:pPr>
        <w:ind w:left="720" w:hanging="720"/>
        <w:rPr>
          <w:rFonts w:cs="Arial"/>
        </w:rPr>
      </w:pPr>
      <w:r w:rsidRPr="00F14A56">
        <w:rPr>
          <w:rFonts w:cs="Arial"/>
        </w:rPr>
        <w:t xml:space="preserve">Clegg, A., Young, J., Iliffe, S., Rikkert, M.O. and Rockwood, K. (2013) ‘Frailty in elderly people’, </w:t>
      </w:r>
      <w:r w:rsidRPr="00F14A56">
        <w:rPr>
          <w:rFonts w:cs="Arial"/>
          <w:i/>
          <w:iCs/>
        </w:rPr>
        <w:t>The Lancet</w:t>
      </w:r>
      <w:r w:rsidRPr="00F14A56">
        <w:rPr>
          <w:rFonts w:cs="Arial"/>
        </w:rPr>
        <w:t xml:space="preserve">, 381(9868), pp. 752–762. Available at: </w:t>
      </w:r>
      <w:hyperlink r:id="rId21" w:tgtFrame="_new" w:history="1">
        <w:r w:rsidRPr="00F14A56">
          <w:rPr>
            <w:rStyle w:val="Hyperlink"/>
            <w:rFonts w:cs="Arial"/>
          </w:rPr>
          <w:t>https://doi.org/10.1016/S0140-6736(12)62167-9</w:t>
        </w:r>
      </w:hyperlink>
      <w:r w:rsidRPr="00F14A56">
        <w:rPr>
          <w:rFonts w:cs="Arial"/>
        </w:rPr>
        <w:t>.</w:t>
      </w:r>
    </w:p>
    <w:p w:rsidR="00F079C1" w:rsidRPr="00F14A56" w:rsidRDefault="00F079C1" w:rsidP="00F14A56">
      <w:pPr>
        <w:ind w:left="720" w:hanging="720"/>
        <w:rPr>
          <w:rFonts w:cs="Arial"/>
        </w:rPr>
      </w:pPr>
      <w:r w:rsidRPr="00F14A56">
        <w:rPr>
          <w:rFonts w:cs="Arial"/>
        </w:rPr>
        <w:t xml:space="preserve">Department for Energy Security and Net Zero (2026) </w:t>
      </w:r>
      <w:r w:rsidRPr="00F14A56">
        <w:rPr>
          <w:rFonts w:cs="Arial"/>
          <w:i/>
          <w:iCs/>
        </w:rPr>
        <w:t>Fuel poverty strategy for England</w:t>
      </w:r>
      <w:r w:rsidRPr="00F14A56">
        <w:rPr>
          <w:rFonts w:cs="Arial"/>
        </w:rPr>
        <w:t xml:space="preserve">. Available at: </w:t>
      </w:r>
      <w:hyperlink r:id="rId22" w:tgtFrame="_new" w:history="1">
        <w:r w:rsidRPr="00F14A56">
          <w:rPr>
            <w:rStyle w:val="Hyperlink"/>
            <w:rFonts w:cs="Arial"/>
          </w:rPr>
          <w:t>https://www.gov.uk/government/publications/fuel-poverty-strategy-for-england/fuel-poverty-strategy-for-england--2</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Department for Levelling Up, Housing and Communities (2022) </w:t>
      </w:r>
      <w:r w:rsidRPr="00F14A56">
        <w:rPr>
          <w:rFonts w:cs="Arial"/>
          <w:i/>
          <w:iCs/>
        </w:rPr>
        <w:t>English housing survey: Older people's housing, 2020–21</w:t>
      </w:r>
      <w:r w:rsidRPr="00F14A56">
        <w:rPr>
          <w:rFonts w:cs="Arial"/>
        </w:rPr>
        <w:t xml:space="preserve">. Available at: </w:t>
      </w:r>
      <w:hyperlink r:id="rId23" w:tgtFrame="_new" w:history="1">
        <w:r w:rsidRPr="00F14A56">
          <w:rPr>
            <w:rStyle w:val="Hyperlink"/>
            <w:rFonts w:cs="Arial"/>
          </w:rPr>
          <w:t>https://assets.publishing.service.gov.uk/media/62c5a14bd3bf7f3001198577/EHS_Older_people_s_housing_2020-21.pdf</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Department for Work and Pensions (2025a) </w:t>
      </w:r>
      <w:r w:rsidRPr="00F14A56">
        <w:rPr>
          <w:rFonts w:cs="Arial"/>
          <w:i/>
          <w:iCs/>
        </w:rPr>
        <w:t>Households below average income: An analysis of the UK income distribution, FYE 1995 to FYE 2024</w:t>
      </w:r>
      <w:r w:rsidRPr="00F14A56">
        <w:rPr>
          <w:rFonts w:cs="Arial"/>
        </w:rPr>
        <w:t xml:space="preserve">. Available at: </w:t>
      </w:r>
      <w:hyperlink r:id="rId24" w:tgtFrame="_new" w:history="1">
        <w:r w:rsidRPr="00F14A56">
          <w:rPr>
            <w:rStyle w:val="Hyperlink"/>
            <w:rFonts w:cs="Arial"/>
          </w:rPr>
          <w:t>https://www.gov.uk/government/statistics/households-below-average-income-for-financial-years-ending-1995-to-2024/households-below-average-income-an-analysis-of-the-uk-income-distribution-fye-1995-to-fye-2024</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Department for Work and Pensions (2025b) </w:t>
      </w:r>
      <w:r w:rsidRPr="00F14A56">
        <w:rPr>
          <w:rFonts w:cs="Arial"/>
          <w:i/>
          <w:iCs/>
        </w:rPr>
        <w:t>Fresh drive to boost pension credit take-up as new figures reveal large regional gaps in those receiving benefit worth around £4,300 a year</w:t>
      </w:r>
      <w:r w:rsidRPr="00F14A56">
        <w:rPr>
          <w:rFonts w:cs="Arial"/>
        </w:rPr>
        <w:t xml:space="preserve">. Available at: </w:t>
      </w:r>
      <w:hyperlink r:id="rId25" w:tgtFrame="_new" w:history="1">
        <w:r w:rsidRPr="00F14A56">
          <w:rPr>
            <w:rStyle w:val="Hyperlink"/>
            <w:rFonts w:cs="Arial"/>
          </w:rPr>
          <w:t>https://www.gov.uk/government/news/fresh-drive-to-boost-pension-credit-take-up-as-new-figures-reveal-large-regional-gaps-in-those-receiving-benefit-worth-around-4300-a-year</w:t>
        </w:r>
      </w:hyperlink>
      <w:r w:rsidRPr="00F14A56">
        <w:rPr>
          <w:rFonts w:cs="Arial"/>
        </w:rPr>
        <w:t xml:space="preserve"> (Accessed: 15 March 2026).</w:t>
      </w:r>
    </w:p>
    <w:p w:rsidR="00F079C1" w:rsidRPr="00F14A56" w:rsidRDefault="00F079C1" w:rsidP="00F14A56">
      <w:pPr>
        <w:ind w:left="720" w:hanging="720"/>
        <w:rPr>
          <w:rFonts w:cs="Arial"/>
        </w:rPr>
      </w:pPr>
      <w:r w:rsidRPr="00F14A56">
        <w:rPr>
          <w:rFonts w:cs="Arial"/>
        </w:rPr>
        <w:t xml:space="preserve">Hendriks, S., Ranson, J.M., Peetoom, K.K.B., </w:t>
      </w:r>
      <w:proofErr w:type="spellStart"/>
      <w:r w:rsidRPr="00F14A56">
        <w:rPr>
          <w:rFonts w:cs="Arial"/>
        </w:rPr>
        <w:t>Lourida</w:t>
      </w:r>
      <w:proofErr w:type="spellEnd"/>
      <w:r w:rsidRPr="00F14A56">
        <w:rPr>
          <w:rFonts w:cs="Arial"/>
        </w:rPr>
        <w:t xml:space="preserve">, I., Tai, X.Y., de </w:t>
      </w:r>
      <w:proofErr w:type="spellStart"/>
      <w:r w:rsidRPr="00F14A56">
        <w:rPr>
          <w:rFonts w:cs="Arial"/>
        </w:rPr>
        <w:t>Vugt</w:t>
      </w:r>
      <w:proofErr w:type="spellEnd"/>
      <w:r w:rsidRPr="00F14A56">
        <w:rPr>
          <w:rFonts w:cs="Arial"/>
        </w:rPr>
        <w:t xml:space="preserve">, M. </w:t>
      </w:r>
      <w:r w:rsidRPr="00F14A56">
        <w:rPr>
          <w:rFonts w:cs="Arial"/>
          <w:i/>
          <w:iCs/>
        </w:rPr>
        <w:t>et al.</w:t>
      </w:r>
      <w:r w:rsidRPr="00F14A56">
        <w:rPr>
          <w:rFonts w:cs="Arial"/>
        </w:rPr>
        <w:t xml:space="preserve"> (2024) ‘Risk factors for young-onset dementia in the UK Biobank’, </w:t>
      </w:r>
      <w:r w:rsidRPr="00F14A56">
        <w:rPr>
          <w:rFonts w:cs="Arial"/>
          <w:i/>
          <w:iCs/>
        </w:rPr>
        <w:t>JAMA Neurology</w:t>
      </w:r>
      <w:r w:rsidRPr="00F14A56">
        <w:rPr>
          <w:rFonts w:cs="Arial"/>
        </w:rPr>
        <w:t xml:space="preserve">, 81(2), pp. 134–142. Available at: </w:t>
      </w:r>
      <w:hyperlink r:id="rId26" w:tgtFrame="_new" w:history="1">
        <w:r w:rsidRPr="00F14A56">
          <w:rPr>
            <w:rStyle w:val="Hyperlink"/>
            <w:rFonts w:cs="Arial"/>
          </w:rPr>
          <w:t>https://doi.org/10.1001/jamaneurol.2023.4929</w:t>
        </w:r>
      </w:hyperlink>
      <w:r w:rsidRPr="00F14A56">
        <w:rPr>
          <w:rFonts w:cs="Arial"/>
        </w:rPr>
        <w:t>.</w:t>
      </w:r>
    </w:p>
    <w:p w:rsidR="00F079C1" w:rsidRPr="00F14A56" w:rsidRDefault="00F079C1" w:rsidP="00F14A56">
      <w:pPr>
        <w:ind w:left="720" w:hanging="720"/>
        <w:rPr>
          <w:rFonts w:cs="Arial"/>
        </w:rPr>
      </w:pPr>
      <w:r w:rsidRPr="00F14A56">
        <w:rPr>
          <w:rFonts w:cs="Arial"/>
        </w:rPr>
        <w:t xml:space="preserve">Holt-Lunstad, J., Smith, T.B. and Layton, J.B. (2010) ‘Social relationships and mortality risk: A meta-analytic review’, </w:t>
      </w:r>
      <w:proofErr w:type="spellStart"/>
      <w:r w:rsidRPr="00F14A56">
        <w:rPr>
          <w:rFonts w:cs="Arial"/>
          <w:i/>
          <w:iCs/>
        </w:rPr>
        <w:t>PLoS</w:t>
      </w:r>
      <w:proofErr w:type="spellEnd"/>
      <w:r w:rsidRPr="00F14A56">
        <w:rPr>
          <w:rFonts w:cs="Arial"/>
          <w:i/>
          <w:iCs/>
        </w:rPr>
        <w:t xml:space="preserve"> Medicine</w:t>
      </w:r>
      <w:r w:rsidRPr="00F14A56">
        <w:rPr>
          <w:rFonts w:cs="Arial"/>
        </w:rPr>
        <w:t xml:space="preserve">, 7(7), e1000316. Available at: </w:t>
      </w:r>
      <w:hyperlink r:id="rId27" w:tgtFrame="_new" w:history="1">
        <w:r w:rsidRPr="00F14A56">
          <w:rPr>
            <w:rStyle w:val="Hyperlink"/>
            <w:rFonts w:cs="Arial"/>
          </w:rPr>
          <w:t>https://doi.org/10.1371/journal.pmed.1000316</w:t>
        </w:r>
      </w:hyperlink>
      <w:r w:rsidRPr="00F14A56">
        <w:rPr>
          <w:rFonts w:cs="Arial"/>
        </w:rPr>
        <w:t>.</w:t>
      </w:r>
    </w:p>
    <w:p w:rsidR="00F079C1" w:rsidRPr="00F14A56" w:rsidRDefault="00F079C1" w:rsidP="00F14A56">
      <w:pPr>
        <w:ind w:left="720" w:hanging="720"/>
        <w:rPr>
          <w:rFonts w:cs="Arial"/>
        </w:rPr>
      </w:pPr>
      <w:r w:rsidRPr="00F14A56">
        <w:rPr>
          <w:rFonts w:cs="Arial"/>
        </w:rPr>
        <w:t xml:space="preserve">Lapane, K.L., Lim, E., McPhillips, E. </w:t>
      </w:r>
      <w:r w:rsidRPr="00F14A56">
        <w:rPr>
          <w:rFonts w:cs="Arial"/>
          <w:i/>
          <w:iCs/>
        </w:rPr>
        <w:t>et al.</w:t>
      </w:r>
      <w:r w:rsidRPr="00F14A56">
        <w:rPr>
          <w:rFonts w:cs="Arial"/>
        </w:rPr>
        <w:t xml:space="preserve"> (2022) ‘Health effects of loneliness and social isolation in older adults living in congregate long-term care settings: A systematic review of quantitative and qualitative evidence’, </w:t>
      </w:r>
      <w:r w:rsidRPr="00F14A56">
        <w:rPr>
          <w:rFonts w:cs="Arial"/>
          <w:i/>
          <w:iCs/>
        </w:rPr>
        <w:t>Archives of Gerontology and Geriatrics</w:t>
      </w:r>
      <w:r w:rsidRPr="00F14A56">
        <w:rPr>
          <w:rFonts w:cs="Arial"/>
        </w:rPr>
        <w:t xml:space="preserve">, 102, 104728. Available at: </w:t>
      </w:r>
      <w:hyperlink r:id="rId28" w:tgtFrame="_new" w:history="1">
        <w:r w:rsidRPr="00F14A56">
          <w:rPr>
            <w:rStyle w:val="Hyperlink"/>
            <w:rFonts w:cs="Arial"/>
          </w:rPr>
          <w:t>https://www.sciencedirect.com/science/article/pii/S0167494322001091</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Livingston, G., Huntley, J., Liu, K.Y. </w:t>
      </w:r>
      <w:r w:rsidRPr="00F14A56">
        <w:rPr>
          <w:rFonts w:cs="Arial"/>
          <w:i/>
          <w:iCs/>
        </w:rPr>
        <w:t>et al.</w:t>
      </w:r>
      <w:r w:rsidRPr="00F14A56">
        <w:rPr>
          <w:rFonts w:cs="Arial"/>
        </w:rPr>
        <w:t xml:space="preserve"> (2024) ‘Dementia prevention, intervention, and care: 2024 report of the Lancet standing Commission’, </w:t>
      </w:r>
      <w:r w:rsidRPr="00F14A56">
        <w:rPr>
          <w:rFonts w:cs="Arial"/>
          <w:i/>
          <w:iCs/>
        </w:rPr>
        <w:t>The Lancet</w:t>
      </w:r>
      <w:r w:rsidRPr="00F14A56">
        <w:rPr>
          <w:rFonts w:cs="Arial"/>
        </w:rPr>
        <w:t xml:space="preserve">, 404(10452), pp. 572–628. Available at: </w:t>
      </w:r>
      <w:hyperlink r:id="rId29" w:tgtFrame="_new" w:history="1">
        <w:r w:rsidRPr="00F14A56">
          <w:rPr>
            <w:rStyle w:val="Hyperlink"/>
            <w:rFonts w:cs="Arial"/>
          </w:rPr>
          <w:t>https://doi.org/10.1016/S0140-6736(24)01296-0</w:t>
        </w:r>
      </w:hyperlink>
      <w:r w:rsidRPr="00F14A56">
        <w:rPr>
          <w:rFonts w:cs="Arial"/>
        </w:rPr>
        <w:t>.</w:t>
      </w:r>
    </w:p>
    <w:p w:rsidR="00F079C1" w:rsidRPr="00F14A56" w:rsidRDefault="00F079C1" w:rsidP="00F14A56">
      <w:pPr>
        <w:ind w:left="720" w:hanging="720"/>
        <w:rPr>
          <w:rFonts w:cs="Arial"/>
        </w:rPr>
      </w:pPr>
      <w:r w:rsidRPr="00F14A56">
        <w:rPr>
          <w:rFonts w:cs="Arial"/>
        </w:rPr>
        <w:t xml:space="preserve">Matthews, F.E. </w:t>
      </w:r>
      <w:r w:rsidRPr="00F14A56">
        <w:rPr>
          <w:rFonts w:cs="Arial"/>
          <w:i/>
          <w:iCs/>
        </w:rPr>
        <w:t>et al.</w:t>
      </w:r>
      <w:r w:rsidRPr="00F14A56">
        <w:rPr>
          <w:rFonts w:cs="Arial"/>
        </w:rPr>
        <w:t xml:space="preserve"> (2013) ‘A two-decade comparison of prevalence of dementia in individuals aged 65 years and older from three geographical areas of England: Results of the Cognitive Function and Ageing Study I and II’, </w:t>
      </w:r>
      <w:r w:rsidRPr="00F14A56">
        <w:rPr>
          <w:rFonts w:cs="Arial"/>
          <w:i/>
          <w:iCs/>
        </w:rPr>
        <w:t>The Lancet</w:t>
      </w:r>
      <w:r w:rsidRPr="00F14A56">
        <w:rPr>
          <w:rFonts w:cs="Arial"/>
        </w:rPr>
        <w:t xml:space="preserve">, 382(9902), pp. 1405–1412. Available at: </w:t>
      </w:r>
      <w:hyperlink r:id="rId30" w:tgtFrame="_new" w:history="1">
        <w:r w:rsidRPr="00F14A56">
          <w:rPr>
            <w:rStyle w:val="Hyperlink"/>
            <w:rFonts w:cs="Arial"/>
          </w:rPr>
          <w:t>https://doi.org/10.1016/S0140-6736(13)61570-6</w:t>
        </w:r>
      </w:hyperlink>
      <w:r w:rsidRPr="00F14A56">
        <w:rPr>
          <w:rFonts w:cs="Arial"/>
        </w:rPr>
        <w:t>.</w:t>
      </w:r>
    </w:p>
    <w:p w:rsidR="00F079C1" w:rsidRPr="00F14A56" w:rsidRDefault="00F079C1" w:rsidP="00F14A56">
      <w:pPr>
        <w:ind w:left="720" w:hanging="720"/>
        <w:rPr>
          <w:rFonts w:cs="Arial"/>
        </w:rPr>
      </w:pPr>
      <w:r w:rsidRPr="00F14A56">
        <w:rPr>
          <w:rFonts w:cs="Arial"/>
          <w:lang w:val="fi-FI"/>
        </w:rPr>
        <w:t xml:space="preserve">Matthews, F.E. </w:t>
      </w:r>
      <w:r w:rsidRPr="00F14A56">
        <w:rPr>
          <w:rFonts w:cs="Arial"/>
          <w:i/>
          <w:iCs/>
          <w:lang w:val="fi-FI"/>
        </w:rPr>
        <w:t>et al.</w:t>
      </w:r>
      <w:r w:rsidRPr="00F14A56">
        <w:rPr>
          <w:rFonts w:cs="Arial"/>
          <w:lang w:val="fi-FI"/>
        </w:rPr>
        <w:t xml:space="preserve"> </w:t>
      </w:r>
      <w:r w:rsidRPr="00F14A56">
        <w:rPr>
          <w:rFonts w:cs="Arial"/>
        </w:rPr>
        <w:t xml:space="preserve">(2016) ‘A </w:t>
      </w:r>
      <w:proofErr w:type="gramStart"/>
      <w:r w:rsidRPr="00F14A56">
        <w:rPr>
          <w:rFonts w:cs="Arial"/>
        </w:rPr>
        <w:t>two decade</w:t>
      </w:r>
      <w:proofErr w:type="gramEnd"/>
      <w:r w:rsidRPr="00F14A56">
        <w:rPr>
          <w:rFonts w:cs="Arial"/>
        </w:rPr>
        <w:t xml:space="preserve"> dementia incidence comparison from the Cognitive Function and Ageing Studies I and II’, </w:t>
      </w:r>
      <w:r w:rsidRPr="00F14A56">
        <w:rPr>
          <w:rFonts w:cs="Arial"/>
          <w:i/>
          <w:iCs/>
        </w:rPr>
        <w:t>Nature Communications</w:t>
      </w:r>
      <w:r w:rsidRPr="00F14A56">
        <w:rPr>
          <w:rFonts w:cs="Arial"/>
        </w:rPr>
        <w:t xml:space="preserve">, 7, article 11398. Available at: </w:t>
      </w:r>
      <w:hyperlink r:id="rId31" w:tgtFrame="_new" w:history="1">
        <w:r w:rsidRPr="00F14A56">
          <w:rPr>
            <w:rStyle w:val="Hyperlink"/>
            <w:rFonts w:cs="Arial"/>
          </w:rPr>
          <w:t>https://doi.org/10.1038/ncomms11398</w:t>
        </w:r>
      </w:hyperlink>
      <w:r w:rsidRPr="00F14A56">
        <w:rPr>
          <w:rFonts w:cs="Arial"/>
        </w:rPr>
        <w:t>.</w:t>
      </w:r>
    </w:p>
    <w:p w:rsidR="00F079C1" w:rsidRPr="00F14A56" w:rsidRDefault="00F079C1" w:rsidP="00F14A56">
      <w:pPr>
        <w:ind w:left="720" w:hanging="720"/>
        <w:rPr>
          <w:rFonts w:cs="Arial"/>
        </w:rPr>
      </w:pPr>
      <w:r w:rsidRPr="00F14A56">
        <w:rPr>
          <w:rFonts w:cs="Arial"/>
        </w:rPr>
        <w:t xml:space="preserve">NHS Digital (2025) </w:t>
      </w:r>
      <w:r w:rsidRPr="00F14A56">
        <w:rPr>
          <w:rFonts w:cs="Arial"/>
          <w:i/>
          <w:iCs/>
        </w:rPr>
        <w:t>Primary care dementia data, July 2025</w:t>
      </w:r>
      <w:r w:rsidRPr="00F14A56">
        <w:rPr>
          <w:rFonts w:cs="Arial"/>
        </w:rPr>
        <w:t xml:space="preserve">. Available at: </w:t>
      </w:r>
      <w:hyperlink r:id="rId32" w:tgtFrame="_new" w:history="1">
        <w:r w:rsidRPr="00F14A56">
          <w:rPr>
            <w:rStyle w:val="Hyperlink"/>
            <w:rFonts w:cs="Arial"/>
          </w:rPr>
          <w:t>https://digital.nhs.uk/data-and-information/publications/statistical/primary-care-dementia-data/july-2025</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NHS England (2025) </w:t>
      </w:r>
      <w:r w:rsidRPr="00F14A56">
        <w:rPr>
          <w:rFonts w:cs="Arial"/>
          <w:i/>
          <w:iCs/>
        </w:rPr>
        <w:t>Older people</w:t>
      </w:r>
      <w:r w:rsidRPr="00F14A56">
        <w:rPr>
          <w:rFonts w:cs="Arial"/>
        </w:rPr>
        <w:t xml:space="preserve">. Available at: </w:t>
      </w:r>
      <w:hyperlink r:id="rId33" w:tgtFrame="_new" w:history="1">
        <w:r w:rsidRPr="00F14A56">
          <w:rPr>
            <w:rStyle w:val="Hyperlink"/>
            <w:rFonts w:cs="Arial"/>
          </w:rPr>
          <w:t>https://www.england.nhs.uk/ourwork/clinical-policy/older-people/</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NHS England (2026a) </w:t>
      </w:r>
      <w:r w:rsidRPr="00F14A56">
        <w:rPr>
          <w:rFonts w:cs="Arial"/>
          <w:i/>
          <w:iCs/>
        </w:rPr>
        <w:t>Dementia</w:t>
      </w:r>
      <w:r w:rsidRPr="00F14A56">
        <w:rPr>
          <w:rFonts w:cs="Arial"/>
        </w:rPr>
        <w:t xml:space="preserve">. Available at: </w:t>
      </w:r>
      <w:hyperlink r:id="rId34" w:tgtFrame="_new" w:history="1">
        <w:r w:rsidRPr="00F14A56">
          <w:rPr>
            <w:rStyle w:val="Hyperlink"/>
            <w:rFonts w:cs="Arial"/>
          </w:rPr>
          <w:t>https://www.england.nhs.uk/mental-health/dementia/</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NHS England (2026b) </w:t>
      </w:r>
      <w:r w:rsidRPr="00F14A56">
        <w:rPr>
          <w:rFonts w:cs="Arial"/>
          <w:i/>
          <w:iCs/>
        </w:rPr>
        <w:t>Health survey for England 2024</w:t>
      </w:r>
      <w:r w:rsidRPr="00F14A56">
        <w:rPr>
          <w:rFonts w:cs="Arial"/>
        </w:rPr>
        <w:t xml:space="preserve">. Available at: </w:t>
      </w:r>
      <w:hyperlink r:id="rId35" w:tgtFrame="_new" w:history="1">
        <w:r w:rsidRPr="00F14A56">
          <w:rPr>
            <w:rStyle w:val="Hyperlink"/>
            <w:rFonts w:cs="Arial"/>
          </w:rPr>
          <w:t>https://digital.nhs.uk/data-and-information/publications/statistical/health-survey-for-england/2024</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NICE (2015) </w:t>
      </w:r>
      <w:r w:rsidRPr="00F14A56">
        <w:rPr>
          <w:rFonts w:cs="Arial"/>
          <w:i/>
          <w:iCs/>
        </w:rPr>
        <w:t>Dementia, disability and frailty in later life: Mid-life approaches to delay or prevent onset (NG16)</w:t>
      </w:r>
      <w:r w:rsidRPr="00F14A56">
        <w:rPr>
          <w:rFonts w:cs="Arial"/>
        </w:rPr>
        <w:t xml:space="preserve">. Available at: </w:t>
      </w:r>
      <w:hyperlink r:id="rId36" w:tgtFrame="_new" w:history="1">
        <w:r w:rsidRPr="00F14A56">
          <w:rPr>
            <w:rStyle w:val="Hyperlink"/>
            <w:rFonts w:cs="Arial"/>
          </w:rPr>
          <w:t>https://www.nice.org.uk/guidance/ng16</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NICE (2018) </w:t>
      </w:r>
      <w:r w:rsidRPr="00F14A56">
        <w:rPr>
          <w:rFonts w:cs="Arial"/>
          <w:i/>
          <w:iCs/>
        </w:rPr>
        <w:t>Dementia: Assessment, management and support for people living with dementia and their carers (NG97)</w:t>
      </w:r>
      <w:r w:rsidRPr="00F14A56">
        <w:rPr>
          <w:rFonts w:cs="Arial"/>
        </w:rPr>
        <w:t xml:space="preserve">. Available at: </w:t>
      </w:r>
      <w:hyperlink r:id="rId37" w:tgtFrame="_new" w:history="1">
        <w:r w:rsidRPr="00F14A56">
          <w:rPr>
            <w:rStyle w:val="Hyperlink"/>
            <w:rFonts w:cs="Arial"/>
          </w:rPr>
          <w:t>https://www.nice.org.uk/guidance/ng97</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Office for Health Improvement and Disparities (2022) </w:t>
      </w:r>
      <w:r w:rsidRPr="00F14A56">
        <w:rPr>
          <w:rFonts w:cs="Arial"/>
          <w:i/>
          <w:iCs/>
        </w:rPr>
        <w:t>Falls: Applying All Our Health</w:t>
      </w:r>
      <w:r w:rsidRPr="00F14A56">
        <w:rPr>
          <w:rFonts w:cs="Arial"/>
        </w:rPr>
        <w:t xml:space="preserve">. Available at: </w:t>
      </w:r>
      <w:hyperlink r:id="rId38" w:tgtFrame="_new" w:history="1">
        <w:r w:rsidRPr="00F14A56">
          <w:rPr>
            <w:rStyle w:val="Hyperlink"/>
            <w:rFonts w:cs="Arial"/>
          </w:rPr>
          <w:t>https://www.gov.uk/government/publications/falls-applying-all-our-health/falls-applying-all-our-health</w:t>
        </w:r>
      </w:hyperlink>
      <w:r w:rsidRPr="00F14A56">
        <w:rPr>
          <w:rFonts w:cs="Arial"/>
        </w:rPr>
        <w:t xml:space="preserve"> (Accessed: 15 March 2026).</w:t>
      </w:r>
    </w:p>
    <w:p w:rsidR="00F079C1" w:rsidRPr="00F14A56" w:rsidRDefault="00F079C1" w:rsidP="00F14A56">
      <w:pPr>
        <w:ind w:left="720" w:hanging="720"/>
        <w:rPr>
          <w:rFonts w:cs="Arial"/>
        </w:rPr>
      </w:pPr>
      <w:r w:rsidRPr="00F14A56">
        <w:rPr>
          <w:rFonts w:cs="Arial"/>
        </w:rPr>
        <w:lastRenderedPageBreak/>
        <w:t xml:space="preserve">Office for Health Improvement and Disparities (2025a) </w:t>
      </w:r>
      <w:r w:rsidRPr="00F14A56">
        <w:rPr>
          <w:rFonts w:cs="Arial"/>
          <w:i/>
          <w:iCs/>
        </w:rPr>
        <w:t>Dementia profile: prevalence and supporting well topics statistical commentary, March 2025 update</w:t>
      </w:r>
      <w:r w:rsidRPr="00F14A56">
        <w:rPr>
          <w:rFonts w:cs="Arial"/>
        </w:rPr>
        <w:t xml:space="preserve">. Available at: </w:t>
      </w:r>
      <w:hyperlink r:id="rId39" w:tgtFrame="_new" w:history="1">
        <w:r w:rsidRPr="00F14A56">
          <w:rPr>
            <w:rStyle w:val="Hyperlink"/>
            <w:rFonts w:cs="Arial"/>
          </w:rPr>
          <w:t>https://www.gov.uk/government/statistics/dementia-profile-march-2025-update/dementia-profile-prevalence-and-supporting-well-topics-statistical-commentary-march-2025</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Office for Health Improvement and Disparities (2025b) </w:t>
      </w:r>
      <w:r w:rsidRPr="00F14A56">
        <w:rPr>
          <w:rFonts w:cs="Arial"/>
          <w:i/>
          <w:iCs/>
        </w:rPr>
        <w:t>Statistical commentary: dementia profile, December 2024 update</w:t>
      </w:r>
      <w:r w:rsidRPr="00F14A56">
        <w:rPr>
          <w:rFonts w:cs="Arial"/>
        </w:rPr>
        <w:t xml:space="preserve">. Available at: </w:t>
      </w:r>
      <w:hyperlink r:id="rId40" w:tgtFrame="_new" w:history="1">
        <w:r w:rsidRPr="00F14A56">
          <w:rPr>
            <w:rStyle w:val="Hyperlink"/>
            <w:rFonts w:cs="Arial"/>
          </w:rPr>
          <w:t>https://www.gov.uk/government/statistics/dementia-profile-updates/statistical-commentary-dementia-profile-december-2024-update</w:t>
        </w:r>
      </w:hyperlink>
      <w:r w:rsidRPr="00F14A56">
        <w:rPr>
          <w:rFonts w:cs="Arial"/>
        </w:rPr>
        <w:t xml:space="preserve"> (Accessed: 14 March 2026).</w:t>
      </w:r>
    </w:p>
    <w:p w:rsidR="00F079C1" w:rsidRPr="00F14A56" w:rsidRDefault="00F079C1" w:rsidP="00F14A56">
      <w:pPr>
        <w:ind w:left="720" w:hanging="720"/>
        <w:rPr>
          <w:rFonts w:cs="Arial"/>
        </w:rPr>
      </w:pPr>
      <w:r w:rsidRPr="00F14A56">
        <w:rPr>
          <w:rFonts w:cs="Arial"/>
        </w:rPr>
        <w:t xml:space="preserve">Office for National Statistics (2025) </w:t>
      </w:r>
      <w:r w:rsidRPr="00F14A56">
        <w:rPr>
          <w:rFonts w:cs="Arial"/>
          <w:i/>
          <w:iCs/>
        </w:rPr>
        <w:t>Deaths registered in England and Wales: 2024</w:t>
      </w:r>
      <w:r w:rsidRPr="00F14A56">
        <w:rPr>
          <w:rFonts w:cs="Arial"/>
        </w:rPr>
        <w:t xml:space="preserve">. Available at: </w:t>
      </w:r>
      <w:hyperlink r:id="rId41" w:tgtFrame="_new" w:history="1">
        <w:r w:rsidRPr="00F14A56">
          <w:rPr>
            <w:rStyle w:val="Hyperlink"/>
            <w:rFonts w:cs="Arial"/>
          </w:rPr>
          <w:t>https://www.ons.gov.uk/peoplepopulationandcommunity/birthsdeathsandmarriages/deaths/bulletins/deathsregistrationsummarytables/2024</w:t>
        </w:r>
      </w:hyperlink>
      <w:r w:rsidRPr="00F14A56">
        <w:rPr>
          <w:rFonts w:cs="Arial"/>
        </w:rPr>
        <w:t xml:space="preserve"> (Accessed: 15 March 2026).</w:t>
      </w:r>
    </w:p>
    <w:p w:rsidR="00F079C1" w:rsidRPr="00F14A56" w:rsidRDefault="00F079C1" w:rsidP="00F14A56">
      <w:pPr>
        <w:ind w:left="720" w:hanging="720"/>
        <w:rPr>
          <w:rFonts w:cs="Arial"/>
        </w:rPr>
      </w:pPr>
      <w:r w:rsidRPr="00F14A56">
        <w:rPr>
          <w:rFonts w:cs="Arial"/>
        </w:rPr>
        <w:t xml:space="preserve">Ofcom (2025) </w:t>
      </w:r>
      <w:r w:rsidRPr="00F14A56">
        <w:rPr>
          <w:rFonts w:cs="Arial"/>
          <w:i/>
          <w:iCs/>
        </w:rPr>
        <w:t>Adults' media use and attitudes 2025</w:t>
      </w:r>
      <w:r w:rsidRPr="00F14A56">
        <w:rPr>
          <w:rFonts w:cs="Arial"/>
        </w:rPr>
        <w:t xml:space="preserve">. Available at: </w:t>
      </w:r>
      <w:hyperlink r:id="rId42" w:tgtFrame="_new" w:history="1">
        <w:r w:rsidRPr="00F14A56">
          <w:rPr>
            <w:rStyle w:val="Hyperlink"/>
            <w:rFonts w:cs="Arial"/>
          </w:rPr>
          <w:t>https://www.ofcom.org.uk/siteassets/resources/documents/research-and-data/media-literacy-research/adults/adults-media-use-and-attitudes-2025/adults-media-use-and-attitudes-report-2025.pdf</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Older People's Housing Taskforce (2024) </w:t>
      </w:r>
      <w:r w:rsidRPr="00F14A56">
        <w:rPr>
          <w:rFonts w:cs="Arial"/>
          <w:i/>
          <w:iCs/>
        </w:rPr>
        <w:t>Our future homes: Housing that promotes wellbeing and community for an ageing population</w:t>
      </w:r>
      <w:r w:rsidRPr="00F14A56">
        <w:rPr>
          <w:rFonts w:cs="Arial"/>
        </w:rPr>
        <w:t xml:space="preserve">. Available at: </w:t>
      </w:r>
      <w:hyperlink r:id="rId43" w:tgtFrame="_new" w:history="1">
        <w:r w:rsidRPr="00F14A56">
          <w:rPr>
            <w:rStyle w:val="Hyperlink"/>
            <w:rFonts w:cs="Arial"/>
          </w:rPr>
          <w:t>https://www.gov.uk/government/publications/the-older-peoples-housing-taskforce-report/our-future-homes-housing-that-promotes-wellbeing-and-community-for-an-ageing-population</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Public Health England (2021) </w:t>
      </w:r>
      <w:r w:rsidRPr="00F14A56">
        <w:rPr>
          <w:rFonts w:cs="Arial"/>
          <w:i/>
          <w:iCs/>
        </w:rPr>
        <w:t>Health matters: Midlife approaches to reduce dementia risk</w:t>
      </w:r>
      <w:r w:rsidRPr="00F14A56">
        <w:rPr>
          <w:rFonts w:cs="Arial"/>
        </w:rPr>
        <w:t xml:space="preserve">. Available at: </w:t>
      </w:r>
      <w:hyperlink r:id="rId44" w:tgtFrame="_new" w:history="1">
        <w:r w:rsidRPr="00F14A56">
          <w:rPr>
            <w:rStyle w:val="Hyperlink"/>
            <w:rFonts w:cs="Arial"/>
          </w:rPr>
          <w:t>https://www.gov.uk/government/publications/health-matters-midlife-approaches-to-reduce-dementia-risk/health-matters-midlife-approaches-to-reduce-dementia-risk</w:t>
        </w:r>
      </w:hyperlink>
      <w:r w:rsidRPr="00F14A56">
        <w:rPr>
          <w:rFonts w:cs="Arial"/>
        </w:rPr>
        <w:t xml:space="preserve"> </w:t>
      </w:r>
    </w:p>
    <w:p w:rsidR="00F079C1" w:rsidRPr="00F14A56" w:rsidRDefault="00F079C1" w:rsidP="00F14A56">
      <w:pPr>
        <w:ind w:left="720" w:hanging="720"/>
        <w:rPr>
          <w:rFonts w:cs="Arial"/>
        </w:rPr>
      </w:pPr>
      <w:r w:rsidRPr="00F14A56">
        <w:rPr>
          <w:rFonts w:cs="Arial"/>
        </w:rPr>
        <w:t xml:space="preserve">UK National Screening Committee (2025) </w:t>
      </w:r>
      <w:r w:rsidRPr="00F14A56">
        <w:rPr>
          <w:rFonts w:cs="Arial"/>
          <w:i/>
          <w:iCs/>
        </w:rPr>
        <w:t>Dementia screening recommendation</w:t>
      </w:r>
      <w:r w:rsidRPr="00F14A56">
        <w:rPr>
          <w:rFonts w:cs="Arial"/>
        </w:rPr>
        <w:t xml:space="preserve">. Available at: </w:t>
      </w:r>
      <w:hyperlink r:id="rId45" w:tgtFrame="_new" w:history="1">
        <w:r w:rsidRPr="00F14A56">
          <w:rPr>
            <w:rStyle w:val="Hyperlink"/>
            <w:rFonts w:cs="Arial"/>
          </w:rPr>
          <w:t>https://view-health-screening-recommendations.service.gov.uk/dementia/</w:t>
        </w:r>
      </w:hyperlink>
      <w:r w:rsidRPr="00F14A56">
        <w:rPr>
          <w:rFonts w:cs="Arial"/>
        </w:rPr>
        <w:t xml:space="preserve"> </w:t>
      </w:r>
    </w:p>
    <w:p w:rsidR="00F079C1" w:rsidRPr="00F14A56" w:rsidRDefault="00F079C1" w:rsidP="00F14A56">
      <w:pPr>
        <w:ind w:left="720" w:hanging="720"/>
        <w:rPr>
          <w:rFonts w:cs="Arial"/>
        </w:rPr>
      </w:pPr>
      <w:r w:rsidRPr="00F14A56">
        <w:rPr>
          <w:rFonts w:cs="Arial"/>
          <w:lang w:val="fi-FI"/>
        </w:rPr>
        <w:t xml:space="preserve">Valabhji, J., Barron, E., Pratt, A. </w:t>
      </w:r>
      <w:r w:rsidRPr="00F14A56">
        <w:rPr>
          <w:rFonts w:cs="Arial"/>
          <w:i/>
          <w:iCs/>
          <w:lang w:val="fi-FI"/>
        </w:rPr>
        <w:t>et al.</w:t>
      </w:r>
      <w:r w:rsidRPr="00F14A56">
        <w:rPr>
          <w:rFonts w:cs="Arial"/>
          <w:lang w:val="fi-FI"/>
        </w:rPr>
        <w:t xml:space="preserve"> </w:t>
      </w:r>
      <w:r w:rsidRPr="00F14A56">
        <w:rPr>
          <w:rFonts w:cs="Arial"/>
        </w:rPr>
        <w:t xml:space="preserve">(2024) ‘Prevalence of multiple long-term conditions (multimorbidity) in England: A whole population study of over 60 million people’, </w:t>
      </w:r>
      <w:r w:rsidRPr="00F14A56">
        <w:rPr>
          <w:rFonts w:cs="Arial"/>
          <w:i/>
          <w:iCs/>
        </w:rPr>
        <w:t>Journal of the Royal Society of Medicine</w:t>
      </w:r>
      <w:r w:rsidRPr="00F14A56">
        <w:rPr>
          <w:rFonts w:cs="Arial"/>
        </w:rPr>
        <w:t xml:space="preserve">, 117(3), pp. 104–117. Available at: </w:t>
      </w:r>
      <w:hyperlink r:id="rId46" w:tgtFrame="_new" w:history="1">
        <w:r w:rsidRPr="00F14A56">
          <w:rPr>
            <w:rStyle w:val="Hyperlink"/>
            <w:rFonts w:cs="Arial"/>
          </w:rPr>
          <w:t>https://doi.org/10.1177/01410768231206033</w:t>
        </w:r>
      </w:hyperlink>
      <w:r w:rsidRPr="00F14A56">
        <w:rPr>
          <w:rFonts w:cs="Arial"/>
        </w:rPr>
        <w:t>.</w:t>
      </w:r>
    </w:p>
    <w:p w:rsidR="00F079C1" w:rsidRPr="00F14A56" w:rsidRDefault="00F079C1" w:rsidP="00F14A56">
      <w:pPr>
        <w:ind w:left="720" w:hanging="720"/>
        <w:rPr>
          <w:rFonts w:cs="Arial"/>
        </w:rPr>
      </w:pPr>
      <w:r w:rsidRPr="00F14A56">
        <w:rPr>
          <w:rFonts w:cs="Arial"/>
        </w:rPr>
        <w:lastRenderedPageBreak/>
        <w:t xml:space="preserve">World Health Organization (2025) </w:t>
      </w:r>
      <w:r w:rsidRPr="00F14A56">
        <w:rPr>
          <w:rFonts w:cs="Arial"/>
          <w:i/>
          <w:iCs/>
        </w:rPr>
        <w:t>Dementia</w:t>
      </w:r>
      <w:r w:rsidRPr="00F14A56">
        <w:rPr>
          <w:rFonts w:cs="Arial"/>
        </w:rPr>
        <w:t xml:space="preserve">. Available at: </w:t>
      </w:r>
      <w:hyperlink r:id="rId47" w:tgtFrame="_new" w:history="1">
        <w:r w:rsidRPr="00F14A56">
          <w:rPr>
            <w:rStyle w:val="Hyperlink"/>
            <w:rFonts w:cs="Arial"/>
          </w:rPr>
          <w:t>https://www.who.int/news-room/fact-sheets/detail/dementia</w:t>
        </w:r>
      </w:hyperlink>
      <w:r w:rsidRPr="00F14A56">
        <w:rPr>
          <w:rFonts w:cs="Arial"/>
        </w:rPr>
        <w:t xml:space="preserve"> (Accessed: 14 March 2026).</w:t>
      </w:r>
    </w:p>
    <w:p w:rsidR="003C3BCA" w:rsidRDefault="003C3BCA">
      <w:pPr>
        <w:jc w:val="left"/>
      </w:pPr>
    </w:p>
    <w:sectPr w:rsidR="003C3BCA" w:rsidSect="00034616">
      <w:footerReference w:type="default" r:id="rId48"/>
      <w:pgSz w:w="12240" w:h="15840"/>
      <w:pgMar w:top="1296"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4528" w:rsidRDefault="00C24528">
      <w:pPr>
        <w:spacing w:after="0" w:line="240" w:lineRule="auto"/>
      </w:pPr>
      <w:r>
        <w:separator/>
      </w:r>
    </w:p>
  </w:endnote>
  <w:endnote w:type="continuationSeparator" w:id="0">
    <w:p w:rsidR="00C24528" w:rsidRDefault="00C24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033918"/>
      <w:docPartObj>
        <w:docPartGallery w:val="Page Numbers (Bottom of Page)"/>
        <w:docPartUnique/>
      </w:docPartObj>
    </w:sdtPr>
    <w:sdtEndPr>
      <w:rPr>
        <w:noProof/>
      </w:rPr>
    </w:sdtEndPr>
    <w:sdtContent>
      <w:p w:rsidR="002C6E39" w:rsidRDefault="002C6E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03FE0" w:rsidRDefault="00903FE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4528" w:rsidRDefault="00C24528">
      <w:pPr>
        <w:spacing w:after="0" w:line="240" w:lineRule="auto"/>
      </w:pPr>
      <w:r>
        <w:separator/>
      </w:r>
    </w:p>
  </w:footnote>
  <w:footnote w:type="continuationSeparator" w:id="0">
    <w:p w:rsidR="00C24528" w:rsidRDefault="00C245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4369792">
    <w:abstractNumId w:val="8"/>
  </w:num>
  <w:num w:numId="2" w16cid:durableId="378356123">
    <w:abstractNumId w:val="6"/>
  </w:num>
  <w:num w:numId="3" w16cid:durableId="1169636656">
    <w:abstractNumId w:val="5"/>
  </w:num>
  <w:num w:numId="4" w16cid:durableId="451944272">
    <w:abstractNumId w:val="4"/>
  </w:num>
  <w:num w:numId="5" w16cid:durableId="947857042">
    <w:abstractNumId w:val="7"/>
  </w:num>
  <w:num w:numId="6" w16cid:durableId="1318420164">
    <w:abstractNumId w:val="3"/>
  </w:num>
  <w:num w:numId="7" w16cid:durableId="1984657104">
    <w:abstractNumId w:val="2"/>
  </w:num>
  <w:num w:numId="8" w16cid:durableId="2143883017">
    <w:abstractNumId w:val="1"/>
  </w:num>
  <w:num w:numId="9" w16cid:durableId="1705397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2152"/>
    <w:rsid w:val="000E2ECB"/>
    <w:rsid w:val="0015074B"/>
    <w:rsid w:val="001E7C0A"/>
    <w:rsid w:val="002501EE"/>
    <w:rsid w:val="0029639D"/>
    <w:rsid w:val="002C6E39"/>
    <w:rsid w:val="002F55EA"/>
    <w:rsid w:val="00326F90"/>
    <w:rsid w:val="003C3BCA"/>
    <w:rsid w:val="004030B5"/>
    <w:rsid w:val="00443D7E"/>
    <w:rsid w:val="0048245E"/>
    <w:rsid w:val="004919B1"/>
    <w:rsid w:val="004E32BC"/>
    <w:rsid w:val="00552D0C"/>
    <w:rsid w:val="0058387D"/>
    <w:rsid w:val="005E6AE6"/>
    <w:rsid w:val="0061435C"/>
    <w:rsid w:val="006361BB"/>
    <w:rsid w:val="007021C7"/>
    <w:rsid w:val="00744055"/>
    <w:rsid w:val="007E7007"/>
    <w:rsid w:val="00860F66"/>
    <w:rsid w:val="008F2D54"/>
    <w:rsid w:val="00900A59"/>
    <w:rsid w:val="00903FE0"/>
    <w:rsid w:val="00997BD6"/>
    <w:rsid w:val="009C39A1"/>
    <w:rsid w:val="00A16FB5"/>
    <w:rsid w:val="00AA1D8D"/>
    <w:rsid w:val="00B47730"/>
    <w:rsid w:val="00C24528"/>
    <w:rsid w:val="00CB0664"/>
    <w:rsid w:val="00CE03EA"/>
    <w:rsid w:val="00D16788"/>
    <w:rsid w:val="00E77466"/>
    <w:rsid w:val="00E8408F"/>
    <w:rsid w:val="00E966A2"/>
    <w:rsid w:val="00F079C1"/>
    <w:rsid w:val="00F14A56"/>
    <w:rsid w:val="00F15135"/>
    <w:rsid w:val="00F27342"/>
    <w:rsid w:val="00FC693F"/>
    <w:rsid w:val="00FE3C79"/>
    <w:rsid w:val="00FF0B2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E9F75C"/>
  <w14:defaultImageDpi w14:val="300"/>
  <w15:docId w15:val="{6B3B1AE4-D263-4690-B7B9-55CE979DE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373737"/>
      <w:sz w:val="24"/>
      <w:szCs w:val="26"/>
    </w:rPr>
  </w:style>
  <w:style w:type="paragraph" w:styleId="Heading3">
    <w:name w:val="heading 3"/>
    <w:basedOn w:val="Normal"/>
    <w:next w:val="Normal"/>
    <w:link w:val="Heading3Char"/>
    <w:uiPriority w:val="9"/>
    <w:unhideWhenUsed/>
    <w:qFormat/>
    <w:rsid w:val="00FC693F"/>
    <w:pPr>
      <w:keepNext/>
      <w:keepLines/>
      <w:spacing w:before="160" w:after="60"/>
      <w:outlineLvl w:val="2"/>
    </w:pPr>
    <w:rPr>
      <w:rFonts w:asciiTheme="majorHAnsi" w:eastAsiaTheme="majorEastAsia" w:hAnsiTheme="majorHAnsi" w:cstheme="majorBidi"/>
      <w:b/>
      <w:bCs/>
      <w:i/>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240" w:line="240" w:lineRule="auto"/>
      <w:contextualSpacing/>
      <w:jc w:val="center"/>
    </w:pPr>
    <w:rPr>
      <w:rFonts w:asciiTheme="majorHAnsi" w:eastAsiaTheme="majorEastAsia" w:hAnsiTheme="majorHAnsi" w:cstheme="majorBidi"/>
      <w:b/>
      <w:color w:val="1F4E79"/>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079C1"/>
    <w:rPr>
      <w:color w:val="0000FF" w:themeColor="hyperlink"/>
      <w:u w:val="single"/>
    </w:rPr>
  </w:style>
  <w:style w:type="character" w:styleId="UnresolvedMention">
    <w:name w:val="Unresolved Mention"/>
    <w:basedOn w:val="DefaultParagraphFont"/>
    <w:uiPriority w:val="99"/>
    <w:semiHidden/>
    <w:unhideWhenUsed/>
    <w:rsid w:val="00F079C1"/>
    <w:rPr>
      <w:color w:val="605E5C"/>
      <w:shd w:val="clear" w:color="auto" w:fill="E1DFDD"/>
    </w:rPr>
  </w:style>
  <w:style w:type="paragraph" w:styleId="TOC1">
    <w:name w:val="toc 1"/>
    <w:basedOn w:val="Normal"/>
    <w:next w:val="Normal"/>
    <w:autoRedefine/>
    <w:uiPriority w:val="39"/>
    <w:unhideWhenUsed/>
    <w:rsid w:val="002C6E39"/>
    <w:pPr>
      <w:spacing w:after="100"/>
    </w:pPr>
  </w:style>
  <w:style w:type="paragraph" w:styleId="TOC2">
    <w:name w:val="toc 2"/>
    <w:basedOn w:val="Normal"/>
    <w:next w:val="Normal"/>
    <w:autoRedefine/>
    <w:uiPriority w:val="39"/>
    <w:unhideWhenUsed/>
    <w:rsid w:val="002C6E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siteassets/documents/reports-and-publications/reports-and-briefings/health--wellbeing/state-of-health-and-care/state-of-health-care-of-older-people-in-england-2025.pdf" TargetMode="External"/><Relationship Id="rId18" Type="http://schemas.openxmlformats.org/officeDocument/2006/relationships/hyperlink" Target="https://www.alzheimers.org.uk/what-we-do/policy-and-influencing/economic-impact-of-dementia" TargetMode="External"/><Relationship Id="rId26" Type="http://schemas.openxmlformats.org/officeDocument/2006/relationships/hyperlink" Target="https://doi.org/10.1001/jamaneurol.2023.4929" TargetMode="External"/><Relationship Id="rId39" Type="http://schemas.openxmlformats.org/officeDocument/2006/relationships/hyperlink" Target="https://www.gov.uk/government/statistics/dementia-profile-march-2025-update/dementia-profile-prevalence-and-supporting-well-topics-statistical-commentary-march-2025" TargetMode="External"/><Relationship Id="rId21" Type="http://schemas.openxmlformats.org/officeDocument/2006/relationships/hyperlink" Target="https://doi.org/10.1016/S0140-6736(12)62167-9" TargetMode="External"/><Relationship Id="rId34" Type="http://schemas.openxmlformats.org/officeDocument/2006/relationships/hyperlink" Target="https://www.england.nhs.uk/mental-health/dementia/" TargetMode="External"/><Relationship Id="rId42" Type="http://schemas.openxmlformats.org/officeDocument/2006/relationships/hyperlink" Target="https://www.ofcom.org.uk/siteassets/resources/documents/research-and-data/media-literacy-research/adults/adults-media-use-and-attitudes-2025/adults-media-use-and-attitudes-report-2025.pdf" TargetMode="External"/><Relationship Id="rId47" Type="http://schemas.openxmlformats.org/officeDocument/2006/relationships/hyperlink" Target="https://www.who.int/news-room/fact-sheets/detail/dementia"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lzheimers.org.uk/blog/how-many-people-have-dementia-uk" TargetMode="External"/><Relationship Id="rId29" Type="http://schemas.openxmlformats.org/officeDocument/2006/relationships/hyperlink" Target="https://doi.org/10.1016/S0140-6736(24)01296-0" TargetMode="External"/><Relationship Id="rId11" Type="http://schemas.openxmlformats.org/officeDocument/2006/relationships/hyperlink" Target="https://www.ageuk.org.uk/services/information-advice/" TargetMode="External"/><Relationship Id="rId24" Type="http://schemas.openxmlformats.org/officeDocument/2006/relationships/hyperlink" Target="https://www.gov.uk/government/statistics/households-below-average-income-for-financial-years-ending-1995-to-2024/households-below-average-income-an-analysis-of-the-uk-income-distribution-fye-1995-to-fye-2024" TargetMode="External"/><Relationship Id="rId32" Type="http://schemas.openxmlformats.org/officeDocument/2006/relationships/hyperlink" Target="https://digital.nhs.uk/data-and-information/publications/statistical/primary-care-dementia-data/july-2025" TargetMode="External"/><Relationship Id="rId37" Type="http://schemas.openxmlformats.org/officeDocument/2006/relationships/hyperlink" Target="https://www.nice.org.uk/guidance/ng97" TargetMode="External"/><Relationship Id="rId40" Type="http://schemas.openxmlformats.org/officeDocument/2006/relationships/hyperlink" Target="https://www.gov.uk/government/statistics/dementia-profile-updates/statistical-commentary-dementia-profile-december-2024-update" TargetMode="External"/><Relationship Id="rId45" Type="http://schemas.openxmlformats.org/officeDocument/2006/relationships/hyperlink" Target="https://view-health-screening-recommendations.service.gov.uk/dementia/" TargetMode="External"/><Relationship Id="rId5" Type="http://schemas.openxmlformats.org/officeDocument/2006/relationships/webSettings" Target="webSettings.xml"/><Relationship Id="rId15" Type="http://schemas.openxmlformats.org/officeDocument/2006/relationships/hyperlink" Target="https://www.ageuk.org.uk/siteassets/documents/annual-reports-and-reviews/age-uk-annual-report-2425.pdf" TargetMode="External"/><Relationship Id="rId23" Type="http://schemas.openxmlformats.org/officeDocument/2006/relationships/hyperlink" Target="https://assets.publishing.service.gov.uk/media/62c5a14bd3bf7f3001198577/EHS_Older_people_s_housing_2020-21.pdf" TargetMode="External"/><Relationship Id="rId28" Type="http://schemas.openxmlformats.org/officeDocument/2006/relationships/hyperlink" Target="https://www.sciencedirect.com/science/article/pii/S0167494322001091" TargetMode="External"/><Relationship Id="rId36" Type="http://schemas.openxmlformats.org/officeDocument/2006/relationships/hyperlink" Target="https://www.nice.org.uk/guidance/ng16" TargetMode="External"/><Relationship Id="rId49" Type="http://schemas.openxmlformats.org/officeDocument/2006/relationships/fontTable" Target="fontTable.xml"/><Relationship Id="rId10" Type="http://schemas.openxmlformats.org/officeDocument/2006/relationships/hyperlink" Target="https://www.ageuk.org.uk/about-us/what-we-do/" TargetMode="External"/><Relationship Id="rId19" Type="http://schemas.openxmlformats.org/officeDocument/2006/relationships/hyperlink" Target="https://www.alzheimers.org.uk/get-involved/dementia-action-week" TargetMode="External"/><Relationship Id="rId31" Type="http://schemas.openxmlformats.org/officeDocument/2006/relationships/hyperlink" Target="https://doi.org/10.1038/ncomms11398" TargetMode="External"/><Relationship Id="rId44" Type="http://schemas.openxmlformats.org/officeDocument/2006/relationships/hyperlink" Target="https://www.gov.uk/government/publications/health-matters-midlife-approaches-to-reduce-dementia-risk/health-matters-midlife-approaches-to-reduce-dementia-ris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geuk.org.uk/our-impact/policy-research/what-we-research/" TargetMode="External"/><Relationship Id="rId22" Type="http://schemas.openxmlformats.org/officeDocument/2006/relationships/hyperlink" Target="https://www.gov.uk/government/publications/fuel-poverty-strategy-for-england/fuel-poverty-strategy-for-england--2" TargetMode="External"/><Relationship Id="rId27" Type="http://schemas.openxmlformats.org/officeDocument/2006/relationships/hyperlink" Target="https://doi.org/10.1371/journal.pmed.1000316" TargetMode="External"/><Relationship Id="rId30" Type="http://schemas.openxmlformats.org/officeDocument/2006/relationships/hyperlink" Target="https://doi.org/10.1016/S0140-6736(13)61570-6" TargetMode="External"/><Relationship Id="rId35" Type="http://schemas.openxmlformats.org/officeDocument/2006/relationships/hyperlink" Target="https://digital.nhs.uk/data-and-information/publications/statistical/health-survey-for-england/2024" TargetMode="External"/><Relationship Id="rId43" Type="http://schemas.openxmlformats.org/officeDocument/2006/relationships/hyperlink" Target="https://www.gov.uk/government/publications/the-older-peoples-housing-taskforce-report/our-future-homes-housing-that-promotes-wellbeing-and-community-for-an-ageing-population"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geuk.org.uk/latest-press/articles/age-uks-new-report-shows-you-are-not-alone-in-feeling-lonely/" TargetMode="External"/><Relationship Id="rId17" Type="http://schemas.openxmlformats.org/officeDocument/2006/relationships/hyperlink" Target="https://www.alzheimers.org.uk/what-we-do/news-and-media/facts-media" TargetMode="External"/><Relationship Id="rId25" Type="http://schemas.openxmlformats.org/officeDocument/2006/relationships/hyperlink" Target="https://www.gov.uk/government/news/fresh-drive-to-boost-pension-credit-take-up-as-new-figures-reveal-large-regional-gaps-in-those-receiving-benefit-worth-around-4300-a-year" TargetMode="External"/><Relationship Id="rId33" Type="http://schemas.openxmlformats.org/officeDocument/2006/relationships/hyperlink" Target="https://www.england.nhs.uk/ourwork/clinical-policy/older-people/" TargetMode="External"/><Relationship Id="rId38" Type="http://schemas.openxmlformats.org/officeDocument/2006/relationships/hyperlink" Target="https://www.gov.uk/government/publications/falls-applying-all-our-health/falls-applying-all-our-health" TargetMode="External"/><Relationship Id="rId46" Type="http://schemas.openxmlformats.org/officeDocument/2006/relationships/hyperlink" Target="https://doi.org/10.1177/01410768231206033" TargetMode="External"/><Relationship Id="rId20" Type="http://schemas.openxmlformats.org/officeDocument/2006/relationships/hyperlink" Target="https://doi.org/10.1001/jamapsychiatry.2018.1012" TargetMode="External"/><Relationship Id="rId41" Type="http://schemas.openxmlformats.org/officeDocument/2006/relationships/hyperlink" Target="https://www.ons.gov.uk/peoplepopulationandcommunity/birthsdeathsandmarriages/deaths/bulletins/deathsregistrationsummarytables/2024"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14</Pages>
  <Words>5077</Words>
  <Characters>28939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33949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Ritu Panna Saha</cp:lastModifiedBy>
  <cp:revision>5</cp:revision>
  <dcterms:created xsi:type="dcterms:W3CDTF">2026-03-19T17:17:00Z</dcterms:created>
  <dcterms:modified xsi:type="dcterms:W3CDTF">2026-03-21T16:14:00Z</dcterms:modified>
  <cp:category/>
</cp:coreProperties>
</file>