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726A" w:rsidRPr="000D0615" w:rsidRDefault="00E47085">
      <w:pPr>
        <w:rPr>
          <w:rFonts w:ascii="Arial" w:hAnsi="Arial" w:cs="Arial"/>
          <w:b/>
          <w:sz w:val="24"/>
          <w:szCs w:val="24"/>
          <w:u w:val="single"/>
        </w:rPr>
      </w:pPr>
      <w:r w:rsidRPr="000D0615">
        <w:rPr>
          <w:rFonts w:ascii="Arial" w:hAnsi="Arial" w:cs="Arial"/>
          <w:b/>
          <w:sz w:val="24"/>
          <w:szCs w:val="24"/>
          <w:u w:val="single"/>
        </w:rPr>
        <w:t>Critically analyse weather the standard of car</w:t>
      </w:r>
      <w:r w:rsidR="005015FE" w:rsidRPr="000D0615">
        <w:rPr>
          <w:rFonts w:ascii="Arial" w:hAnsi="Arial" w:cs="Arial"/>
          <w:b/>
          <w:sz w:val="24"/>
          <w:szCs w:val="24"/>
          <w:u w:val="single"/>
        </w:rPr>
        <w:t>e</w:t>
      </w:r>
      <w:r w:rsidRPr="000D0615">
        <w:rPr>
          <w:rFonts w:ascii="Arial" w:hAnsi="Arial" w:cs="Arial"/>
          <w:b/>
          <w:sz w:val="24"/>
          <w:szCs w:val="24"/>
          <w:u w:val="single"/>
        </w:rPr>
        <w:t xml:space="preserve"> in negligence provides a fair and flexible balance between the interests of claimants and those of defendant</w:t>
      </w:r>
      <w:r w:rsidR="00B211C5" w:rsidRPr="000D0615">
        <w:rPr>
          <w:rFonts w:ascii="Arial" w:hAnsi="Arial" w:cs="Arial"/>
          <w:b/>
          <w:sz w:val="24"/>
          <w:szCs w:val="24"/>
          <w:u w:val="single"/>
        </w:rPr>
        <w:t>s</w:t>
      </w:r>
      <w:r w:rsidRPr="000D0615">
        <w:rPr>
          <w:rFonts w:ascii="Arial" w:hAnsi="Arial" w:cs="Arial"/>
          <w:b/>
          <w:sz w:val="24"/>
          <w:szCs w:val="24"/>
          <w:u w:val="single"/>
        </w:rPr>
        <w:t>.</w:t>
      </w:r>
    </w:p>
    <w:p w:rsidR="00155097" w:rsidRPr="006F6460" w:rsidRDefault="00E47085">
      <w:pPr>
        <w:rPr>
          <w:rFonts w:ascii="Arial" w:hAnsi="Arial" w:cs="Arial"/>
          <w:sz w:val="24"/>
          <w:szCs w:val="24"/>
        </w:rPr>
      </w:pPr>
      <w:r w:rsidRPr="006F6460">
        <w:rPr>
          <w:rFonts w:ascii="Arial" w:hAnsi="Arial" w:cs="Arial"/>
          <w:sz w:val="24"/>
          <w:szCs w:val="24"/>
        </w:rPr>
        <w:t xml:space="preserve">Breach of duty of care simply means that the defendant has not met or fail to meet the standard of expected behaviour </w:t>
      </w:r>
      <w:r w:rsidR="00155097" w:rsidRPr="006F6460">
        <w:rPr>
          <w:rFonts w:ascii="Arial" w:hAnsi="Arial" w:cs="Arial"/>
          <w:sz w:val="24"/>
          <w:szCs w:val="24"/>
        </w:rPr>
        <w:t xml:space="preserve">or actions expected from a normal person in normal circumstances </w:t>
      </w:r>
      <w:r w:rsidR="006C4815" w:rsidRPr="006F6460">
        <w:rPr>
          <w:rFonts w:ascii="Arial" w:hAnsi="Arial" w:cs="Arial"/>
          <w:sz w:val="24"/>
          <w:szCs w:val="24"/>
        </w:rPr>
        <w:t>(Elliott and Quinn 2019)</w:t>
      </w:r>
    </w:p>
    <w:p w:rsidR="00E47085" w:rsidRPr="006F6460" w:rsidRDefault="00155097">
      <w:pPr>
        <w:rPr>
          <w:rFonts w:ascii="Arial" w:hAnsi="Arial" w:cs="Arial"/>
          <w:sz w:val="24"/>
          <w:szCs w:val="24"/>
        </w:rPr>
      </w:pPr>
      <w:r w:rsidRPr="006F6460">
        <w:rPr>
          <w:rFonts w:ascii="Arial" w:hAnsi="Arial" w:cs="Arial"/>
          <w:sz w:val="24"/>
          <w:szCs w:val="24"/>
        </w:rPr>
        <w:t xml:space="preserve">The standard of care is an objective, that means the actions of the defendant are tested against those of a normal person and not the defendant’s individual actions </w:t>
      </w:r>
      <w:r w:rsidR="00C72706" w:rsidRPr="006F6460">
        <w:rPr>
          <w:rFonts w:ascii="Arial" w:hAnsi="Arial" w:cs="Arial"/>
          <w:sz w:val="24"/>
          <w:szCs w:val="24"/>
        </w:rPr>
        <w:t>or behaviour</w:t>
      </w:r>
      <w:r w:rsidR="00B211C5" w:rsidRPr="006F6460">
        <w:rPr>
          <w:rFonts w:ascii="Arial" w:hAnsi="Arial" w:cs="Arial"/>
          <w:sz w:val="24"/>
          <w:szCs w:val="24"/>
        </w:rPr>
        <w:t xml:space="preserve"> which are in most cases not taken into consideration</w:t>
      </w:r>
      <w:r w:rsidR="00C72706" w:rsidRPr="006F6460">
        <w:rPr>
          <w:rFonts w:ascii="Arial" w:hAnsi="Arial" w:cs="Arial"/>
          <w:sz w:val="24"/>
          <w:szCs w:val="24"/>
        </w:rPr>
        <w:t xml:space="preserve">. </w:t>
      </w:r>
      <w:r w:rsidR="006C4815" w:rsidRPr="006F6460">
        <w:rPr>
          <w:rFonts w:ascii="Arial" w:hAnsi="Arial" w:cs="Arial"/>
          <w:sz w:val="24"/>
          <w:szCs w:val="24"/>
        </w:rPr>
        <w:t>(Elliott and Quinn 2019)</w:t>
      </w:r>
    </w:p>
    <w:p w:rsidR="008C7BF8" w:rsidRPr="006F6460" w:rsidRDefault="008C7BF8">
      <w:pPr>
        <w:rPr>
          <w:rFonts w:ascii="Arial" w:hAnsi="Arial" w:cs="Arial"/>
          <w:b/>
          <w:sz w:val="24"/>
          <w:szCs w:val="24"/>
        </w:rPr>
      </w:pPr>
      <w:r w:rsidRPr="006F6460">
        <w:rPr>
          <w:rFonts w:ascii="Arial" w:hAnsi="Arial" w:cs="Arial"/>
          <w:b/>
          <w:sz w:val="24"/>
          <w:szCs w:val="24"/>
        </w:rPr>
        <w:t>Hall v Brooklands Auto racing Club 1933 Per Greer LJ</w:t>
      </w:r>
    </w:p>
    <w:p w:rsidR="002801FC" w:rsidRPr="006F6460" w:rsidRDefault="00B211C5">
      <w:pPr>
        <w:rPr>
          <w:rFonts w:ascii="Arial" w:hAnsi="Arial" w:cs="Arial"/>
          <w:sz w:val="24"/>
          <w:szCs w:val="24"/>
        </w:rPr>
      </w:pPr>
      <w:r w:rsidRPr="006F6460">
        <w:rPr>
          <w:rFonts w:ascii="Arial" w:hAnsi="Arial" w:cs="Arial"/>
          <w:sz w:val="24"/>
          <w:szCs w:val="24"/>
        </w:rPr>
        <w:t>The difficult question is always who the normal or reasonable person</w:t>
      </w:r>
      <w:r w:rsidR="00F3023C" w:rsidRPr="006F6460">
        <w:rPr>
          <w:rFonts w:ascii="Arial" w:hAnsi="Arial" w:cs="Arial"/>
          <w:sz w:val="24"/>
          <w:szCs w:val="24"/>
        </w:rPr>
        <w:t xml:space="preserve"> is</w:t>
      </w:r>
      <w:r w:rsidRPr="006F6460">
        <w:rPr>
          <w:rFonts w:ascii="Arial" w:hAnsi="Arial" w:cs="Arial"/>
          <w:sz w:val="24"/>
          <w:szCs w:val="24"/>
        </w:rPr>
        <w:t xml:space="preserve"> and what is the test for that </w:t>
      </w:r>
      <w:r w:rsidR="0058684B" w:rsidRPr="006F6460">
        <w:rPr>
          <w:rFonts w:ascii="Arial" w:hAnsi="Arial" w:cs="Arial"/>
          <w:sz w:val="24"/>
          <w:szCs w:val="24"/>
        </w:rPr>
        <w:t>(</w:t>
      </w:r>
      <w:r w:rsidRPr="006F6460">
        <w:rPr>
          <w:rFonts w:ascii="Arial" w:hAnsi="Arial" w:cs="Arial"/>
          <w:sz w:val="24"/>
          <w:szCs w:val="24"/>
        </w:rPr>
        <w:t xml:space="preserve">normality or reasonability) is it according to their race, gender, age, believe or social </w:t>
      </w:r>
      <w:r w:rsidR="00F3023C" w:rsidRPr="006F6460">
        <w:rPr>
          <w:rFonts w:ascii="Arial" w:hAnsi="Arial" w:cs="Arial"/>
          <w:sz w:val="24"/>
          <w:szCs w:val="24"/>
        </w:rPr>
        <w:t xml:space="preserve">class? </w:t>
      </w:r>
      <w:r w:rsidR="0058684B" w:rsidRPr="006F6460">
        <w:rPr>
          <w:rFonts w:ascii="Arial" w:hAnsi="Arial" w:cs="Arial"/>
          <w:sz w:val="24"/>
          <w:szCs w:val="24"/>
        </w:rPr>
        <w:t>t</w:t>
      </w:r>
      <w:r w:rsidRPr="006F6460">
        <w:rPr>
          <w:rFonts w:ascii="Arial" w:hAnsi="Arial" w:cs="Arial"/>
          <w:sz w:val="24"/>
          <w:szCs w:val="24"/>
        </w:rPr>
        <w:t>he list is long and we are yet to have a clear defini</w:t>
      </w:r>
      <w:r w:rsidR="00F3023C" w:rsidRPr="006F6460">
        <w:rPr>
          <w:rFonts w:ascii="Arial" w:hAnsi="Arial" w:cs="Arial"/>
          <w:sz w:val="24"/>
          <w:szCs w:val="24"/>
        </w:rPr>
        <w:t>tion for it, but for now it is determined by the judge</w:t>
      </w:r>
      <w:r w:rsidR="003970CE" w:rsidRPr="006F6460">
        <w:rPr>
          <w:rFonts w:ascii="Arial" w:hAnsi="Arial" w:cs="Arial"/>
          <w:sz w:val="24"/>
          <w:szCs w:val="24"/>
        </w:rPr>
        <w:t>s</w:t>
      </w:r>
      <w:r w:rsidR="00F3023C" w:rsidRPr="006F6460">
        <w:rPr>
          <w:rFonts w:ascii="Arial" w:hAnsi="Arial" w:cs="Arial"/>
          <w:sz w:val="24"/>
          <w:szCs w:val="24"/>
        </w:rPr>
        <w:t xml:space="preserve"> oversees the case. </w:t>
      </w:r>
    </w:p>
    <w:p w:rsidR="0058684B" w:rsidRPr="006F6460" w:rsidRDefault="002801FC">
      <w:pPr>
        <w:rPr>
          <w:rFonts w:ascii="Arial" w:hAnsi="Arial" w:cs="Arial"/>
          <w:sz w:val="24"/>
          <w:szCs w:val="24"/>
        </w:rPr>
      </w:pPr>
      <w:r w:rsidRPr="006F6460">
        <w:rPr>
          <w:rFonts w:ascii="Arial" w:hAnsi="Arial" w:cs="Arial"/>
          <w:sz w:val="24"/>
          <w:szCs w:val="24"/>
        </w:rPr>
        <w:t>“The average man has had different descriptions over the years ‘The man on the Clapham</w:t>
      </w:r>
      <w:r w:rsidR="008D0920" w:rsidRPr="006F6460">
        <w:rPr>
          <w:rFonts w:ascii="Arial" w:hAnsi="Arial" w:cs="Arial"/>
          <w:sz w:val="24"/>
          <w:szCs w:val="24"/>
        </w:rPr>
        <w:t xml:space="preserve">’; ‘A traveller on the London underground’ </w:t>
      </w:r>
      <w:r w:rsidR="00F3023C" w:rsidRPr="006F6460">
        <w:rPr>
          <w:rFonts w:ascii="Arial" w:hAnsi="Arial" w:cs="Arial"/>
          <w:sz w:val="24"/>
          <w:szCs w:val="24"/>
        </w:rPr>
        <w:t>(</w:t>
      </w:r>
      <w:bookmarkStart w:id="0" w:name="_Hlk87609466"/>
      <w:r w:rsidR="000D0615" w:rsidRPr="006F6460">
        <w:rPr>
          <w:rFonts w:ascii="Arial" w:hAnsi="Arial" w:cs="Arial"/>
          <w:sz w:val="24"/>
          <w:szCs w:val="24"/>
        </w:rPr>
        <w:t>John Cooke</w:t>
      </w:r>
      <w:r w:rsidR="008D0920" w:rsidRPr="006F6460">
        <w:rPr>
          <w:rFonts w:ascii="Arial" w:hAnsi="Arial" w:cs="Arial"/>
          <w:sz w:val="24"/>
          <w:szCs w:val="24"/>
        </w:rPr>
        <w:t xml:space="preserve"> 2018</w:t>
      </w:r>
      <w:bookmarkEnd w:id="0"/>
      <w:r w:rsidR="0058684B" w:rsidRPr="006F6460">
        <w:rPr>
          <w:rFonts w:ascii="Arial" w:hAnsi="Arial" w:cs="Arial"/>
          <w:sz w:val="24"/>
          <w:szCs w:val="24"/>
        </w:rPr>
        <w:t xml:space="preserve">) </w:t>
      </w:r>
    </w:p>
    <w:p w:rsidR="003A7858" w:rsidRPr="006F6460" w:rsidRDefault="003A7858" w:rsidP="008D0920">
      <w:pPr>
        <w:rPr>
          <w:rFonts w:ascii="Arial" w:hAnsi="Arial" w:cs="Arial"/>
          <w:sz w:val="24"/>
          <w:szCs w:val="24"/>
        </w:rPr>
      </w:pPr>
    </w:p>
    <w:p w:rsidR="008D0920" w:rsidRPr="006F6460" w:rsidRDefault="008D0920" w:rsidP="008D0920">
      <w:pPr>
        <w:rPr>
          <w:rFonts w:ascii="Arial" w:hAnsi="Arial" w:cs="Arial"/>
          <w:b/>
          <w:sz w:val="24"/>
          <w:szCs w:val="24"/>
        </w:rPr>
      </w:pPr>
      <w:r w:rsidRPr="006F6460">
        <w:rPr>
          <w:rFonts w:ascii="Arial" w:hAnsi="Arial" w:cs="Arial"/>
          <w:b/>
          <w:sz w:val="24"/>
          <w:szCs w:val="24"/>
        </w:rPr>
        <w:t xml:space="preserve">Nettleship v Weston 1971  </w:t>
      </w:r>
    </w:p>
    <w:p w:rsidR="008D0920" w:rsidRPr="006F6460" w:rsidRDefault="008D0920" w:rsidP="008D0920">
      <w:pPr>
        <w:rPr>
          <w:rFonts w:ascii="Arial" w:hAnsi="Arial" w:cs="Arial"/>
          <w:sz w:val="24"/>
          <w:szCs w:val="24"/>
        </w:rPr>
      </w:pPr>
      <w:r w:rsidRPr="006F6460">
        <w:rPr>
          <w:rFonts w:ascii="Arial" w:hAnsi="Arial" w:cs="Arial"/>
          <w:sz w:val="24"/>
          <w:szCs w:val="24"/>
        </w:rPr>
        <w:t xml:space="preserve">It might not sound fair that what is reasonable varies depending on the given situation. </w:t>
      </w:r>
    </w:p>
    <w:p w:rsidR="008D0920" w:rsidRPr="006F6460" w:rsidRDefault="008D0920" w:rsidP="00B270B8">
      <w:pPr>
        <w:pStyle w:val="ListParagraph"/>
        <w:numPr>
          <w:ilvl w:val="0"/>
          <w:numId w:val="1"/>
        </w:numPr>
        <w:rPr>
          <w:rFonts w:ascii="Arial" w:hAnsi="Arial" w:cs="Arial"/>
        </w:rPr>
      </w:pPr>
      <w:r w:rsidRPr="006F6460">
        <w:rPr>
          <w:rFonts w:ascii="Arial" w:hAnsi="Arial" w:cs="Arial"/>
        </w:rPr>
        <w:t xml:space="preserve">The Defendant here is a learner driver and the claimant </w:t>
      </w:r>
      <w:proofErr w:type="gramStart"/>
      <w:r w:rsidR="00B270B8" w:rsidRPr="006F6460">
        <w:rPr>
          <w:rFonts w:ascii="Arial" w:hAnsi="Arial" w:cs="Arial"/>
        </w:rPr>
        <w:t>was</w:t>
      </w:r>
      <w:proofErr w:type="gramEnd"/>
      <w:r w:rsidR="00B270B8" w:rsidRPr="006F6460">
        <w:rPr>
          <w:rFonts w:ascii="Arial" w:hAnsi="Arial" w:cs="Arial"/>
        </w:rPr>
        <w:t xml:space="preserve"> a friend teaching giving a driving lesson to the defendant, the learner driver panicked at some point and crashed the car, she was sued by the teacher for the damages he had, in her defence the learner said that driving ‘reasonably’ considering that she was unexperienced thus she owed np duty of care. </w:t>
      </w:r>
    </w:p>
    <w:p w:rsidR="00B270B8" w:rsidRPr="006F6460" w:rsidRDefault="00B270B8" w:rsidP="00B270B8">
      <w:pPr>
        <w:pStyle w:val="ListParagraph"/>
        <w:numPr>
          <w:ilvl w:val="0"/>
          <w:numId w:val="1"/>
        </w:numPr>
        <w:rPr>
          <w:rFonts w:ascii="Arial" w:hAnsi="Arial" w:cs="Arial"/>
        </w:rPr>
      </w:pPr>
      <w:r w:rsidRPr="006F6460">
        <w:rPr>
          <w:rFonts w:ascii="Arial" w:hAnsi="Arial" w:cs="Arial"/>
        </w:rPr>
        <w:t xml:space="preserve">The court’s decision was that she had </w:t>
      </w:r>
      <w:r w:rsidR="00126630" w:rsidRPr="006F6460">
        <w:rPr>
          <w:rFonts w:ascii="Arial" w:hAnsi="Arial" w:cs="Arial"/>
        </w:rPr>
        <w:t xml:space="preserve">breached the </w:t>
      </w:r>
      <w:r w:rsidR="008C7BF8" w:rsidRPr="006F6460">
        <w:rPr>
          <w:rFonts w:ascii="Arial" w:hAnsi="Arial" w:cs="Arial"/>
        </w:rPr>
        <w:t xml:space="preserve">standard </w:t>
      </w:r>
      <w:r w:rsidRPr="006F6460">
        <w:rPr>
          <w:rFonts w:ascii="Arial" w:hAnsi="Arial" w:cs="Arial"/>
        </w:rPr>
        <w:t>of care as all drivers are expected t</w:t>
      </w:r>
      <w:r w:rsidR="00126630" w:rsidRPr="006F6460">
        <w:rPr>
          <w:rFonts w:ascii="Arial" w:hAnsi="Arial" w:cs="Arial"/>
        </w:rPr>
        <w:t>o have the same level of care.</w:t>
      </w:r>
    </w:p>
    <w:p w:rsidR="00126630" w:rsidRPr="006F6460" w:rsidRDefault="00126630" w:rsidP="00B270B8">
      <w:pPr>
        <w:pStyle w:val="ListParagraph"/>
        <w:numPr>
          <w:ilvl w:val="0"/>
          <w:numId w:val="1"/>
        </w:numPr>
        <w:rPr>
          <w:rFonts w:ascii="Arial" w:hAnsi="Arial" w:cs="Arial"/>
        </w:rPr>
      </w:pPr>
      <w:r w:rsidRPr="006F6460">
        <w:rPr>
          <w:rFonts w:ascii="Arial" w:hAnsi="Arial" w:cs="Arial"/>
        </w:rPr>
        <w:t>Lord Denning said “</w:t>
      </w:r>
      <w:r w:rsidR="008C7BF8" w:rsidRPr="006F6460">
        <w:rPr>
          <w:rFonts w:ascii="Arial" w:hAnsi="Arial" w:cs="Arial"/>
        </w:rPr>
        <w:t>The only way the claimant can get compensation is by finding the defendant to blame, and that it is appropriate to blame the defendant in a legal sense</w:t>
      </w:r>
      <w:r w:rsidR="00C23A0D" w:rsidRPr="006F6460">
        <w:rPr>
          <w:rFonts w:ascii="Arial" w:hAnsi="Arial" w:cs="Arial"/>
        </w:rPr>
        <w:t>”</w:t>
      </w:r>
      <w:r w:rsidR="008C7BF8" w:rsidRPr="006F6460">
        <w:rPr>
          <w:rFonts w:ascii="Arial" w:hAnsi="Arial" w:cs="Arial"/>
        </w:rPr>
        <w:t xml:space="preserve">. The point is that the standard of care is measured to </w:t>
      </w:r>
      <w:r w:rsidR="00B2537E" w:rsidRPr="006F6460">
        <w:rPr>
          <w:rFonts w:ascii="Arial" w:hAnsi="Arial" w:cs="Arial"/>
        </w:rPr>
        <w:t>that of an experienced driver.</w:t>
      </w:r>
    </w:p>
    <w:p w:rsidR="008D0920" w:rsidRPr="006F6460" w:rsidRDefault="008D0920" w:rsidP="00B2537E">
      <w:pPr>
        <w:pStyle w:val="ListParagraph"/>
        <w:rPr>
          <w:rFonts w:ascii="Arial" w:hAnsi="Arial" w:cs="Arial"/>
        </w:rPr>
      </w:pPr>
    </w:p>
    <w:p w:rsidR="00B2537E" w:rsidRPr="006F6460" w:rsidRDefault="00B2537E" w:rsidP="00FC20CC">
      <w:pPr>
        <w:rPr>
          <w:rFonts w:ascii="Arial" w:hAnsi="Arial" w:cs="Arial"/>
          <w:b/>
          <w:sz w:val="24"/>
          <w:szCs w:val="24"/>
        </w:rPr>
      </w:pPr>
      <w:r w:rsidRPr="006F6460">
        <w:rPr>
          <w:rFonts w:ascii="Arial" w:hAnsi="Arial" w:cs="Arial"/>
          <w:b/>
          <w:sz w:val="24"/>
          <w:szCs w:val="24"/>
        </w:rPr>
        <w:t>Holt v Edge (2006)</w:t>
      </w:r>
    </w:p>
    <w:p w:rsidR="00B2537E" w:rsidRPr="006F6460" w:rsidRDefault="00B2537E" w:rsidP="00B2537E">
      <w:pPr>
        <w:pStyle w:val="ListParagraph"/>
        <w:rPr>
          <w:rFonts w:ascii="Arial" w:hAnsi="Arial" w:cs="Arial"/>
        </w:rPr>
      </w:pPr>
      <w:r w:rsidRPr="006F6460">
        <w:rPr>
          <w:rFonts w:ascii="Arial" w:hAnsi="Arial" w:cs="Arial"/>
        </w:rPr>
        <w:t>In this case the defendant was a doctor who misdiagnosed the claimant who was a patient that had a bleed in her brain, but the defendant claimed that the reason for misdiagnosing it was because the patient did not correctly describe the illness and that misled the defendant and led to misdiagnosing the illness, as a result of the misdiagnosing the patient had a stroke.</w:t>
      </w:r>
    </w:p>
    <w:p w:rsidR="00FC20CC" w:rsidRPr="006F6460" w:rsidRDefault="00FC20CC" w:rsidP="00B2537E">
      <w:pPr>
        <w:pStyle w:val="ListParagraph"/>
        <w:rPr>
          <w:rFonts w:ascii="Arial" w:hAnsi="Arial" w:cs="Arial"/>
        </w:rPr>
      </w:pPr>
      <w:r w:rsidRPr="006F6460">
        <w:rPr>
          <w:rFonts w:ascii="Arial" w:hAnsi="Arial" w:cs="Arial"/>
        </w:rPr>
        <w:t xml:space="preserve">The claimant case was dropped, as a result of the misleading information about the symptoms she provided and that the defendant did not fall below the standard when he </w:t>
      </w:r>
      <w:r w:rsidR="00C23A0D" w:rsidRPr="006F6460">
        <w:rPr>
          <w:rFonts w:ascii="Arial" w:hAnsi="Arial" w:cs="Arial"/>
        </w:rPr>
        <w:t>fail</w:t>
      </w:r>
      <w:r w:rsidR="005838B5" w:rsidRPr="006F6460">
        <w:rPr>
          <w:rFonts w:ascii="Arial" w:hAnsi="Arial" w:cs="Arial"/>
        </w:rPr>
        <w:t>ed</w:t>
      </w:r>
      <w:r w:rsidRPr="006F6460">
        <w:rPr>
          <w:rFonts w:ascii="Arial" w:hAnsi="Arial" w:cs="Arial"/>
        </w:rPr>
        <w:t xml:space="preserve"> to diagnose the illness.</w:t>
      </w:r>
      <w:r w:rsidR="00C23A0D" w:rsidRPr="006F6460">
        <w:rPr>
          <w:rFonts w:ascii="Arial" w:hAnsi="Arial" w:cs="Arial"/>
        </w:rPr>
        <w:t xml:space="preserve"> (Elliott and Quinn 2019) </w:t>
      </w:r>
    </w:p>
    <w:p w:rsidR="00FC20CC" w:rsidRPr="006F6460" w:rsidRDefault="00FC20CC" w:rsidP="00B2537E">
      <w:pPr>
        <w:pStyle w:val="ListParagraph"/>
        <w:rPr>
          <w:rFonts w:ascii="Arial" w:hAnsi="Arial" w:cs="Arial"/>
        </w:rPr>
      </w:pPr>
      <w:r w:rsidRPr="006F6460">
        <w:rPr>
          <w:rFonts w:ascii="Arial" w:hAnsi="Arial" w:cs="Arial"/>
        </w:rPr>
        <w:lastRenderedPageBreak/>
        <w:t>The c</w:t>
      </w:r>
      <w:r w:rsidR="00AE2BA1" w:rsidRPr="006F6460">
        <w:rPr>
          <w:rFonts w:ascii="Arial" w:hAnsi="Arial" w:cs="Arial"/>
        </w:rPr>
        <w:t xml:space="preserve">ourt will usually look at different factors but what is reasonable varies </w:t>
      </w:r>
      <w:r w:rsidR="00CC38D6" w:rsidRPr="006F6460">
        <w:rPr>
          <w:rFonts w:ascii="Arial" w:hAnsi="Arial" w:cs="Arial"/>
        </w:rPr>
        <w:t>on with the different circumstances</w:t>
      </w:r>
      <w:r w:rsidR="00950F52">
        <w:rPr>
          <w:rFonts w:ascii="Arial" w:hAnsi="Arial" w:cs="Arial"/>
        </w:rPr>
        <w:t>.</w:t>
      </w:r>
    </w:p>
    <w:p w:rsidR="00CC38D6" w:rsidRPr="006F6460" w:rsidRDefault="00CC38D6" w:rsidP="00B709BD">
      <w:pPr>
        <w:pStyle w:val="ListParagraph"/>
        <w:numPr>
          <w:ilvl w:val="0"/>
          <w:numId w:val="6"/>
        </w:numPr>
        <w:rPr>
          <w:rFonts w:ascii="Arial" w:hAnsi="Arial" w:cs="Arial"/>
          <w:b/>
        </w:rPr>
      </w:pPr>
      <w:r w:rsidRPr="006F6460">
        <w:rPr>
          <w:rFonts w:ascii="Arial" w:hAnsi="Arial" w:cs="Arial"/>
          <w:b/>
        </w:rPr>
        <w:t>Foreseeability</w:t>
      </w:r>
    </w:p>
    <w:p w:rsidR="00CC38D6" w:rsidRPr="00950F52" w:rsidRDefault="00CC38D6" w:rsidP="00B2537E">
      <w:pPr>
        <w:pStyle w:val="ListParagraph"/>
        <w:rPr>
          <w:rFonts w:ascii="Arial" w:hAnsi="Arial" w:cs="Arial"/>
          <w:b/>
        </w:rPr>
      </w:pPr>
      <w:r w:rsidRPr="00950F52">
        <w:rPr>
          <w:rFonts w:ascii="Arial" w:hAnsi="Arial" w:cs="Arial"/>
          <w:b/>
        </w:rPr>
        <w:t>Roe v Minister of health 1954</w:t>
      </w:r>
    </w:p>
    <w:p w:rsidR="00CC38D6" w:rsidRPr="006F6460" w:rsidRDefault="00CC38D6" w:rsidP="00B2537E">
      <w:pPr>
        <w:pStyle w:val="ListParagraph"/>
        <w:rPr>
          <w:rFonts w:ascii="Arial" w:hAnsi="Arial" w:cs="Arial"/>
        </w:rPr>
      </w:pPr>
      <w:r w:rsidRPr="006F6460">
        <w:rPr>
          <w:rFonts w:ascii="Arial" w:hAnsi="Arial" w:cs="Arial"/>
        </w:rPr>
        <w:t>In this case is specifically about doctors but it applies more generally to anyone who is acting I a professional capacity – they are still judged according to the objective standard.</w:t>
      </w:r>
    </w:p>
    <w:p w:rsidR="00FC20CC" w:rsidRPr="006F6460" w:rsidRDefault="00CC38D6" w:rsidP="00B2537E">
      <w:pPr>
        <w:pStyle w:val="ListParagraph"/>
        <w:rPr>
          <w:rFonts w:ascii="Arial" w:hAnsi="Arial" w:cs="Arial"/>
        </w:rPr>
      </w:pPr>
      <w:r w:rsidRPr="006F6460">
        <w:rPr>
          <w:rFonts w:ascii="Arial" w:hAnsi="Arial" w:cs="Arial"/>
        </w:rPr>
        <w:t xml:space="preserve">As with doctors, the standard of care has to be of a reasonably experienced doctor, or a doctor at the same level as the defendant. The claimant had gone to hospital for surgery which was not particularly complicated; </w:t>
      </w:r>
      <w:r w:rsidR="00962EFD" w:rsidRPr="006F6460">
        <w:rPr>
          <w:rFonts w:ascii="Arial" w:hAnsi="Arial" w:cs="Arial"/>
        </w:rPr>
        <w:t>However,</w:t>
      </w:r>
      <w:r w:rsidRPr="006F6460">
        <w:rPr>
          <w:rFonts w:ascii="Arial" w:hAnsi="Arial" w:cs="Arial"/>
        </w:rPr>
        <w:t xml:space="preserve"> the claimant </w:t>
      </w:r>
      <w:r w:rsidR="00962EFD" w:rsidRPr="006F6460">
        <w:rPr>
          <w:rFonts w:ascii="Arial" w:hAnsi="Arial" w:cs="Arial"/>
        </w:rPr>
        <w:t>was</w:t>
      </w:r>
      <w:r w:rsidRPr="006F6460">
        <w:rPr>
          <w:rFonts w:ascii="Arial" w:hAnsi="Arial" w:cs="Arial"/>
        </w:rPr>
        <w:t xml:space="preserve"> injected with contaminated medicine causing </w:t>
      </w:r>
      <w:r w:rsidR="00962EFD" w:rsidRPr="006F6460">
        <w:rPr>
          <w:rFonts w:ascii="Arial" w:hAnsi="Arial" w:cs="Arial"/>
        </w:rPr>
        <w:t xml:space="preserve">serious injuries, </w:t>
      </w:r>
      <w:r w:rsidRPr="006F6460">
        <w:rPr>
          <w:rFonts w:ascii="Arial" w:hAnsi="Arial" w:cs="Arial"/>
        </w:rPr>
        <w:t xml:space="preserve">   </w:t>
      </w:r>
    </w:p>
    <w:p w:rsidR="00962EFD" w:rsidRPr="006F6460" w:rsidRDefault="00962EFD" w:rsidP="00B2537E">
      <w:pPr>
        <w:pStyle w:val="ListParagraph"/>
        <w:rPr>
          <w:rFonts w:ascii="Arial" w:hAnsi="Arial" w:cs="Arial"/>
        </w:rPr>
      </w:pPr>
      <w:r w:rsidRPr="006F6460">
        <w:rPr>
          <w:rFonts w:ascii="Arial" w:hAnsi="Arial" w:cs="Arial"/>
        </w:rPr>
        <w:t xml:space="preserve">the question was whether this is a negligent act or mistake? </w:t>
      </w:r>
    </w:p>
    <w:p w:rsidR="00962EFD" w:rsidRPr="006F6460" w:rsidRDefault="00962EFD" w:rsidP="00B2537E">
      <w:pPr>
        <w:pStyle w:val="ListParagraph"/>
        <w:rPr>
          <w:rFonts w:ascii="Arial" w:hAnsi="Arial" w:cs="Arial"/>
        </w:rPr>
      </w:pPr>
      <w:r w:rsidRPr="006F6460">
        <w:rPr>
          <w:rFonts w:ascii="Arial" w:hAnsi="Arial" w:cs="Arial"/>
        </w:rPr>
        <w:t xml:space="preserve">The source of the problem was that the anaesthetic was a glass container that had microscopic cracks in them and the liquid can get through these microscopic cracks, the anaesthetic was infected by the disinfectant. The defendant said that these cracks could not be seen by the naked eye.  </w:t>
      </w:r>
    </w:p>
    <w:p w:rsidR="00EB4450" w:rsidRPr="006F6460" w:rsidRDefault="00962EFD" w:rsidP="00B2537E">
      <w:pPr>
        <w:pStyle w:val="ListParagraph"/>
        <w:rPr>
          <w:rFonts w:ascii="Arial" w:hAnsi="Arial" w:cs="Arial"/>
        </w:rPr>
      </w:pPr>
      <w:r w:rsidRPr="006F6460">
        <w:rPr>
          <w:rFonts w:ascii="Arial" w:hAnsi="Arial" w:cs="Arial"/>
        </w:rPr>
        <w:t>“Would a reasonable doctor have seen the risk of contamination of the ana</w:t>
      </w:r>
      <w:r w:rsidR="00EB4450" w:rsidRPr="006F6460">
        <w:rPr>
          <w:rFonts w:ascii="Arial" w:hAnsi="Arial" w:cs="Arial"/>
        </w:rPr>
        <w:t>e</w:t>
      </w:r>
      <w:r w:rsidRPr="006F6460">
        <w:rPr>
          <w:rFonts w:ascii="Arial" w:hAnsi="Arial" w:cs="Arial"/>
        </w:rPr>
        <w:t>stheti</w:t>
      </w:r>
      <w:r w:rsidR="00EB4450" w:rsidRPr="006F6460">
        <w:rPr>
          <w:rFonts w:ascii="Arial" w:hAnsi="Arial" w:cs="Arial"/>
        </w:rPr>
        <w:t>c</w:t>
      </w:r>
      <w:r w:rsidRPr="006F6460">
        <w:rPr>
          <w:rFonts w:ascii="Arial" w:hAnsi="Arial" w:cs="Arial"/>
        </w:rPr>
        <w:t xml:space="preserve">, would they have </w:t>
      </w:r>
      <w:r w:rsidR="00EB4450" w:rsidRPr="006F6460">
        <w:rPr>
          <w:rFonts w:ascii="Arial" w:hAnsi="Arial" w:cs="Arial"/>
        </w:rPr>
        <w:t>been checked the cracks using a microscope?</w:t>
      </w:r>
    </w:p>
    <w:p w:rsidR="00CC38D6" w:rsidRPr="006F6460" w:rsidRDefault="00EB4450" w:rsidP="00B2537E">
      <w:pPr>
        <w:pStyle w:val="ListParagraph"/>
        <w:rPr>
          <w:rFonts w:ascii="Arial" w:hAnsi="Arial" w:cs="Arial"/>
        </w:rPr>
      </w:pPr>
      <w:r w:rsidRPr="006F6460">
        <w:rPr>
          <w:rFonts w:ascii="Arial" w:hAnsi="Arial" w:cs="Arial"/>
        </w:rPr>
        <w:t xml:space="preserve">The defendant was saying that due to scientific knowledge at the time, the risk for contamination was not foreseeable. No one at the time knew that you could have microscopic cracks trough which liquid would pass. They were not expected to know about that risk. The court agreed that, given the state of </w:t>
      </w:r>
      <w:bookmarkStart w:id="1" w:name="_GoBack"/>
      <w:bookmarkEnd w:id="1"/>
      <w:r w:rsidRPr="006F6460">
        <w:rPr>
          <w:rFonts w:ascii="Arial" w:hAnsi="Arial" w:cs="Arial"/>
        </w:rPr>
        <w:t xml:space="preserve">scientific knowledge at the time of the accident, no one could have reasonably been expected to foresee that such a consequence would occur.   </w:t>
      </w:r>
    </w:p>
    <w:p w:rsidR="00CC38D6" w:rsidRPr="006F6460" w:rsidRDefault="00231833" w:rsidP="00B2537E">
      <w:pPr>
        <w:pStyle w:val="ListParagraph"/>
        <w:rPr>
          <w:rFonts w:ascii="Arial" w:hAnsi="Arial" w:cs="Arial"/>
        </w:rPr>
      </w:pPr>
      <w:r w:rsidRPr="006F6460">
        <w:rPr>
          <w:rFonts w:ascii="Arial" w:hAnsi="Arial" w:cs="Arial"/>
        </w:rPr>
        <w:t xml:space="preserve">Lord Denning states that: you cannot look at the 1947 accident with 1954 spectacles. Had it occurred again, then there would have been a breach of duty because doctors are required to build on their scientific knowledge through past errors and so forth. The claimant has to prove that it was foreseeable that the harm might be suffered if the defendant did not take certain precautions.   </w:t>
      </w:r>
    </w:p>
    <w:p w:rsidR="00FC20CC" w:rsidRPr="00910A20" w:rsidRDefault="00B709BD" w:rsidP="00910A20">
      <w:pPr>
        <w:pStyle w:val="ListParagraph"/>
        <w:numPr>
          <w:ilvl w:val="0"/>
          <w:numId w:val="6"/>
        </w:numPr>
        <w:rPr>
          <w:rFonts w:ascii="Arial" w:hAnsi="Arial" w:cs="Arial"/>
          <w:b/>
          <w:color w:val="000000" w:themeColor="text1"/>
        </w:rPr>
      </w:pPr>
      <w:r w:rsidRPr="00910A20">
        <w:rPr>
          <w:rFonts w:ascii="Arial" w:hAnsi="Arial" w:cs="Arial"/>
          <w:b/>
          <w:color w:val="000000" w:themeColor="text1"/>
        </w:rPr>
        <w:t xml:space="preserve">Magnitude of risk </w:t>
      </w:r>
    </w:p>
    <w:p w:rsidR="00B709BD" w:rsidRPr="006F6460" w:rsidRDefault="00B709BD" w:rsidP="00B709BD">
      <w:pPr>
        <w:ind w:left="720"/>
        <w:rPr>
          <w:rFonts w:ascii="Arial" w:hAnsi="Arial" w:cs="Arial"/>
          <w:color w:val="000000" w:themeColor="text1"/>
          <w:sz w:val="24"/>
          <w:szCs w:val="24"/>
        </w:rPr>
      </w:pPr>
      <w:r w:rsidRPr="006F6460">
        <w:rPr>
          <w:rFonts w:ascii="Arial" w:hAnsi="Arial" w:cs="Arial"/>
          <w:color w:val="000000" w:themeColor="text1"/>
          <w:sz w:val="24"/>
          <w:szCs w:val="24"/>
        </w:rPr>
        <w:t>The greater the risk, the more likely that there was a breach of duty.</w:t>
      </w:r>
    </w:p>
    <w:p w:rsidR="00B709BD" w:rsidRPr="006F6460" w:rsidRDefault="00B709BD" w:rsidP="00B709BD">
      <w:pPr>
        <w:ind w:left="720"/>
        <w:rPr>
          <w:rFonts w:ascii="Arial" w:hAnsi="Arial" w:cs="Arial"/>
          <w:color w:val="000000" w:themeColor="text1"/>
          <w:sz w:val="24"/>
          <w:szCs w:val="24"/>
        </w:rPr>
      </w:pPr>
      <w:r w:rsidRPr="006F6460">
        <w:rPr>
          <w:rFonts w:ascii="Arial" w:hAnsi="Arial" w:cs="Arial"/>
          <w:color w:val="000000" w:themeColor="text1"/>
          <w:sz w:val="24"/>
          <w:szCs w:val="24"/>
        </w:rPr>
        <w:t xml:space="preserve">If a claimant is to argue that serious harm was likely. The magnitude of risk is or can be multiplied by the likelihood of harm. </w:t>
      </w:r>
    </w:p>
    <w:p w:rsidR="008D0920" w:rsidRPr="006F6460" w:rsidRDefault="00B709BD" w:rsidP="00883427">
      <w:pPr>
        <w:ind w:left="720"/>
        <w:rPr>
          <w:rFonts w:ascii="Arial" w:hAnsi="Arial" w:cs="Arial"/>
          <w:color w:val="000000" w:themeColor="text1"/>
          <w:sz w:val="24"/>
          <w:szCs w:val="24"/>
        </w:rPr>
      </w:pPr>
      <w:r w:rsidRPr="006F6460">
        <w:rPr>
          <w:rFonts w:ascii="Arial" w:hAnsi="Arial" w:cs="Arial"/>
          <w:color w:val="000000" w:themeColor="text1"/>
          <w:sz w:val="24"/>
          <w:szCs w:val="24"/>
        </w:rPr>
        <w:t>How likely is that harm to occur? The likelihood of harm is relevant in Bolton v Stone and Miller v Jackson. The following have the same principle but have different outcomes.</w:t>
      </w:r>
    </w:p>
    <w:p w:rsidR="00883427" w:rsidRPr="006F6460" w:rsidRDefault="00883427" w:rsidP="00883427">
      <w:pPr>
        <w:ind w:left="720"/>
        <w:rPr>
          <w:rFonts w:ascii="Arial" w:hAnsi="Arial" w:cs="Arial"/>
          <w:color w:val="000000" w:themeColor="text1"/>
          <w:sz w:val="24"/>
          <w:szCs w:val="24"/>
        </w:rPr>
      </w:pPr>
    </w:p>
    <w:p w:rsidR="00883427" w:rsidRPr="006F6460" w:rsidRDefault="00883427" w:rsidP="00A42728">
      <w:pPr>
        <w:rPr>
          <w:rFonts w:ascii="Arial" w:hAnsi="Arial" w:cs="Arial"/>
          <w:b/>
          <w:color w:val="000000" w:themeColor="text1"/>
          <w:sz w:val="24"/>
          <w:szCs w:val="24"/>
        </w:rPr>
      </w:pPr>
      <w:r w:rsidRPr="006F6460">
        <w:rPr>
          <w:rFonts w:ascii="Arial" w:hAnsi="Arial" w:cs="Arial"/>
          <w:b/>
          <w:color w:val="000000" w:themeColor="text1"/>
          <w:sz w:val="24"/>
          <w:szCs w:val="24"/>
        </w:rPr>
        <w:t>Bolton v Stone 1951</w:t>
      </w:r>
    </w:p>
    <w:p w:rsidR="008D0920" w:rsidRPr="006F6460" w:rsidRDefault="00883427" w:rsidP="00FA7498">
      <w:pPr>
        <w:ind w:left="720"/>
        <w:rPr>
          <w:rFonts w:ascii="Arial" w:hAnsi="Arial" w:cs="Arial"/>
          <w:color w:val="000000" w:themeColor="text1"/>
          <w:sz w:val="24"/>
          <w:szCs w:val="24"/>
        </w:rPr>
      </w:pPr>
      <w:r w:rsidRPr="006F6460">
        <w:rPr>
          <w:rFonts w:ascii="Arial" w:hAnsi="Arial" w:cs="Arial"/>
          <w:color w:val="000000" w:themeColor="text1"/>
          <w:sz w:val="24"/>
          <w:szCs w:val="24"/>
        </w:rPr>
        <w:t xml:space="preserve">The claimant was or had just left her house, she lived near a cricket ground, she was hit on the head by a cricket ball. She did not try to sue the cricket player but the cricket ground, claiming that it is dangerous as there </w:t>
      </w:r>
      <w:proofErr w:type="gramStart"/>
      <w:r w:rsidRPr="006F6460">
        <w:rPr>
          <w:rFonts w:ascii="Arial" w:hAnsi="Arial" w:cs="Arial"/>
          <w:color w:val="000000" w:themeColor="text1"/>
          <w:sz w:val="24"/>
          <w:szCs w:val="24"/>
        </w:rPr>
        <w:t>is</w:t>
      </w:r>
      <w:proofErr w:type="gramEnd"/>
      <w:r w:rsidRPr="006F6460">
        <w:rPr>
          <w:rFonts w:ascii="Arial" w:hAnsi="Arial" w:cs="Arial"/>
          <w:color w:val="000000" w:themeColor="text1"/>
          <w:sz w:val="24"/>
          <w:szCs w:val="24"/>
        </w:rPr>
        <w:t xml:space="preserve"> a road and people could get hit easily.</w:t>
      </w:r>
    </w:p>
    <w:p w:rsidR="00FA7498" w:rsidRPr="006F6460" w:rsidRDefault="00FA7498" w:rsidP="00A42728">
      <w:pPr>
        <w:ind w:left="720"/>
        <w:rPr>
          <w:rFonts w:ascii="Arial" w:hAnsi="Arial" w:cs="Arial"/>
          <w:color w:val="000000" w:themeColor="text1"/>
          <w:sz w:val="24"/>
          <w:szCs w:val="24"/>
        </w:rPr>
      </w:pPr>
      <w:r w:rsidRPr="006F6460">
        <w:rPr>
          <w:rFonts w:ascii="Arial" w:hAnsi="Arial" w:cs="Arial"/>
          <w:color w:val="000000" w:themeColor="text1"/>
          <w:sz w:val="24"/>
          <w:szCs w:val="24"/>
        </w:rPr>
        <w:t xml:space="preserve">In this case the claimant tried to prove how many times the cricket balls had been hit of the ground – this was relevant because the likelihood of </w:t>
      </w:r>
      <w:proofErr w:type="spellStart"/>
      <w:r w:rsidRPr="006F6460">
        <w:rPr>
          <w:rFonts w:ascii="Arial" w:hAnsi="Arial" w:cs="Arial"/>
          <w:color w:val="000000" w:themeColor="text1"/>
          <w:sz w:val="24"/>
          <w:szCs w:val="24"/>
        </w:rPr>
        <w:t>of</w:t>
      </w:r>
      <w:proofErr w:type="spellEnd"/>
      <w:r w:rsidRPr="006F6460">
        <w:rPr>
          <w:rFonts w:ascii="Arial" w:hAnsi="Arial" w:cs="Arial"/>
          <w:color w:val="000000" w:themeColor="text1"/>
          <w:sz w:val="24"/>
          <w:szCs w:val="24"/>
        </w:rPr>
        <w:t xml:space="preserve"> harm is </w:t>
      </w:r>
      <w:r w:rsidRPr="006F6460">
        <w:rPr>
          <w:rFonts w:ascii="Arial" w:hAnsi="Arial" w:cs="Arial"/>
          <w:color w:val="000000" w:themeColor="text1"/>
          <w:sz w:val="24"/>
          <w:szCs w:val="24"/>
        </w:rPr>
        <w:lastRenderedPageBreak/>
        <w:t xml:space="preserve">applied, however, she could show that the cricket ball had been hit out of the ground six times in the previous twenty-eight years, she could show that the risk is foreseeable, but it is a very low risk of injury – there could be a serious injury if a cricket ball was thrown out of the ground, but the risk of harm itself was very low and therefor remote. The claim failed, although the risk of harm was foreseeable, it was not likely that there would be </w:t>
      </w:r>
      <w:r w:rsidR="00A42728" w:rsidRPr="006F6460">
        <w:rPr>
          <w:rFonts w:ascii="Arial" w:hAnsi="Arial" w:cs="Arial"/>
          <w:color w:val="000000" w:themeColor="text1"/>
          <w:sz w:val="24"/>
          <w:szCs w:val="24"/>
        </w:rPr>
        <w:t xml:space="preserve">an injury, if she had been able to show that the ball had been hit out of the ground more often. She probably would have succeeded. </w:t>
      </w:r>
    </w:p>
    <w:p w:rsidR="00A42728" w:rsidRPr="006F6460" w:rsidRDefault="00A42728" w:rsidP="00A42728">
      <w:pPr>
        <w:rPr>
          <w:rFonts w:ascii="Arial" w:hAnsi="Arial" w:cs="Arial"/>
          <w:b/>
          <w:color w:val="000000" w:themeColor="text1"/>
          <w:sz w:val="24"/>
          <w:szCs w:val="24"/>
        </w:rPr>
      </w:pPr>
      <w:r w:rsidRPr="006F6460">
        <w:rPr>
          <w:rFonts w:ascii="Arial" w:hAnsi="Arial" w:cs="Arial"/>
          <w:b/>
          <w:color w:val="000000" w:themeColor="text1"/>
          <w:sz w:val="24"/>
          <w:szCs w:val="24"/>
        </w:rPr>
        <w:t xml:space="preserve">Miller v Jackson </w:t>
      </w:r>
    </w:p>
    <w:p w:rsidR="00A42728" w:rsidRPr="006F6460" w:rsidRDefault="00A42728" w:rsidP="00996B08">
      <w:pPr>
        <w:pStyle w:val="ListParagraph"/>
        <w:numPr>
          <w:ilvl w:val="0"/>
          <w:numId w:val="1"/>
        </w:numPr>
        <w:rPr>
          <w:rFonts w:ascii="Arial" w:hAnsi="Arial" w:cs="Arial"/>
          <w:color w:val="000000" w:themeColor="text1"/>
        </w:rPr>
      </w:pPr>
      <w:r w:rsidRPr="006F6460">
        <w:rPr>
          <w:rFonts w:ascii="Arial" w:hAnsi="Arial" w:cs="Arial"/>
          <w:color w:val="000000" w:themeColor="text1"/>
        </w:rPr>
        <w:t xml:space="preserve"> The court ruled that there was negligence in playing cricket on the ground because the likelihood of an injury was much higher in Bolton v Stone.          Cricket balls were shown to be hit 6 – 8 times </w:t>
      </w:r>
      <w:r w:rsidR="00996B08" w:rsidRPr="006F6460">
        <w:rPr>
          <w:rFonts w:ascii="Arial" w:hAnsi="Arial" w:cs="Arial"/>
          <w:color w:val="000000" w:themeColor="text1"/>
        </w:rPr>
        <w:t>a year in Miller v Jackson, the courts by 2:1 majority decided that it was unreasonable to play cricket there and that therefor there had been a breach of duty. Every time the ball was hit out of the ground it caused damage.</w:t>
      </w:r>
    </w:p>
    <w:p w:rsidR="00996B08" w:rsidRPr="006F6460" w:rsidRDefault="00996B08" w:rsidP="00996B08">
      <w:pPr>
        <w:pStyle w:val="ListParagraph"/>
        <w:numPr>
          <w:ilvl w:val="0"/>
          <w:numId w:val="1"/>
        </w:numPr>
        <w:rPr>
          <w:rFonts w:ascii="Arial" w:hAnsi="Arial" w:cs="Arial"/>
          <w:color w:val="000000" w:themeColor="text1"/>
        </w:rPr>
      </w:pPr>
      <w:r w:rsidRPr="006F6460">
        <w:rPr>
          <w:rFonts w:ascii="Arial" w:hAnsi="Arial" w:cs="Arial"/>
          <w:color w:val="000000" w:themeColor="text1"/>
        </w:rPr>
        <w:t>However, the court did not grant an injunction to stop people from playing. One of the judges thought that playing cricket was of some importance, so that cricket club should be allowed to continue playing cricket but they should pay compensation whenever they do cause damage.</w:t>
      </w:r>
    </w:p>
    <w:p w:rsidR="00996B08" w:rsidRPr="006F6460" w:rsidRDefault="00996B08" w:rsidP="00996B08">
      <w:pPr>
        <w:pStyle w:val="ListParagraph"/>
        <w:numPr>
          <w:ilvl w:val="0"/>
          <w:numId w:val="1"/>
        </w:numPr>
        <w:rPr>
          <w:rFonts w:ascii="Arial" w:hAnsi="Arial" w:cs="Arial"/>
          <w:color w:val="000000" w:themeColor="text1"/>
        </w:rPr>
      </w:pPr>
      <w:r w:rsidRPr="006F6460">
        <w:rPr>
          <w:rFonts w:ascii="Arial" w:hAnsi="Arial" w:cs="Arial"/>
          <w:color w:val="000000" w:themeColor="text1"/>
        </w:rPr>
        <w:t>The court is saying there is a breach of duty but that does not stop you from playing cricket.</w:t>
      </w:r>
    </w:p>
    <w:p w:rsidR="004F5130" w:rsidRPr="006F6460" w:rsidRDefault="004F5130" w:rsidP="004F5130">
      <w:pPr>
        <w:rPr>
          <w:rFonts w:ascii="Arial" w:hAnsi="Arial" w:cs="Arial"/>
          <w:b/>
          <w:color w:val="000000" w:themeColor="text1"/>
          <w:sz w:val="24"/>
          <w:szCs w:val="24"/>
        </w:rPr>
      </w:pPr>
      <w:r w:rsidRPr="006F6460">
        <w:rPr>
          <w:rFonts w:ascii="Arial" w:hAnsi="Arial" w:cs="Arial"/>
          <w:b/>
          <w:color w:val="000000" w:themeColor="text1"/>
          <w:sz w:val="24"/>
          <w:szCs w:val="24"/>
        </w:rPr>
        <w:t>Paris v Stepney Borough council 1951</w:t>
      </w:r>
    </w:p>
    <w:p w:rsidR="004F5130" w:rsidRPr="006F6460" w:rsidRDefault="004F5130" w:rsidP="004F5130">
      <w:pPr>
        <w:pStyle w:val="ListParagraph"/>
        <w:numPr>
          <w:ilvl w:val="0"/>
          <w:numId w:val="1"/>
        </w:numPr>
        <w:rPr>
          <w:rFonts w:ascii="Arial" w:hAnsi="Arial" w:cs="Arial"/>
          <w:color w:val="000000" w:themeColor="text1"/>
        </w:rPr>
      </w:pPr>
      <w:r w:rsidRPr="006F6460">
        <w:rPr>
          <w:rFonts w:ascii="Arial" w:hAnsi="Arial" w:cs="Arial"/>
          <w:color w:val="000000" w:themeColor="text1"/>
        </w:rPr>
        <w:t>The claimant had one good eye, he was working for the council (the defendant)</w:t>
      </w:r>
      <w:r w:rsidR="00381C87" w:rsidRPr="006F6460">
        <w:rPr>
          <w:rFonts w:ascii="Arial" w:hAnsi="Arial" w:cs="Arial"/>
          <w:color w:val="000000" w:themeColor="text1"/>
        </w:rPr>
        <w:t xml:space="preserve">, he worked in a manual job which involved using tools. He was blinded in both eyes due to metals around which flew into his non-blind eye. They had breached their duty by not giving safety goggles. </w:t>
      </w:r>
    </w:p>
    <w:p w:rsidR="00381C87" w:rsidRPr="006F6460" w:rsidRDefault="00381C87" w:rsidP="004F5130">
      <w:pPr>
        <w:pStyle w:val="ListParagraph"/>
        <w:numPr>
          <w:ilvl w:val="0"/>
          <w:numId w:val="1"/>
        </w:numPr>
        <w:rPr>
          <w:rFonts w:ascii="Arial" w:hAnsi="Arial" w:cs="Arial"/>
          <w:color w:val="000000" w:themeColor="text1"/>
        </w:rPr>
      </w:pPr>
      <w:r w:rsidRPr="006F6460">
        <w:rPr>
          <w:rFonts w:ascii="Arial" w:hAnsi="Arial" w:cs="Arial"/>
          <w:color w:val="000000" w:themeColor="text1"/>
        </w:rPr>
        <w:t xml:space="preserve">The defendant (council) should have provided </w:t>
      </w:r>
      <w:r w:rsidR="000E2359" w:rsidRPr="006F6460">
        <w:rPr>
          <w:rFonts w:ascii="Arial" w:hAnsi="Arial" w:cs="Arial"/>
          <w:color w:val="000000" w:themeColor="text1"/>
        </w:rPr>
        <w:t xml:space="preserve">safety goggles as the risk of a serious injury to the claimant much greater than the risk of the same injury to any other employees, the claimant only had one good eye, so the chances of him going completely blind was much greater than the chance of the other employees </w:t>
      </w:r>
      <w:r w:rsidR="002F7334" w:rsidRPr="006F6460">
        <w:rPr>
          <w:rFonts w:ascii="Arial" w:hAnsi="Arial" w:cs="Arial"/>
          <w:color w:val="000000" w:themeColor="text1"/>
        </w:rPr>
        <w:t>being injured, he was obviously more vulnerable than others, injury to him was more likely to be serious than injury caused to others.</w:t>
      </w:r>
    </w:p>
    <w:p w:rsidR="005F27CD" w:rsidRPr="006F6460" w:rsidRDefault="002F7334" w:rsidP="00A42728">
      <w:pPr>
        <w:pStyle w:val="ListParagraph"/>
        <w:numPr>
          <w:ilvl w:val="0"/>
          <w:numId w:val="1"/>
        </w:numPr>
        <w:rPr>
          <w:rFonts w:ascii="Arial" w:hAnsi="Arial" w:cs="Arial"/>
          <w:color w:val="000000" w:themeColor="text1"/>
        </w:rPr>
      </w:pPr>
      <w:r w:rsidRPr="006F6460">
        <w:rPr>
          <w:rFonts w:ascii="Arial" w:hAnsi="Arial" w:cs="Arial"/>
          <w:color w:val="000000" w:themeColor="text1"/>
        </w:rPr>
        <w:t>The court said that goggles should have been provided to claimant, as he was particularly vulnerable, therefor any injury to his eye by the flying metals was more likely to cause serious injury. The more likely there is to be a serious injury, the better it is from the claimant’s point of view.</w:t>
      </w:r>
    </w:p>
    <w:p w:rsidR="00B611F0" w:rsidRPr="006F6460" w:rsidRDefault="00B611F0" w:rsidP="006F6460">
      <w:pPr>
        <w:rPr>
          <w:rFonts w:ascii="Arial" w:hAnsi="Arial" w:cs="Arial"/>
          <w:b/>
          <w:color w:val="000000" w:themeColor="text1"/>
          <w:sz w:val="24"/>
          <w:szCs w:val="24"/>
        </w:rPr>
      </w:pPr>
      <w:r w:rsidRPr="006F6460">
        <w:rPr>
          <w:rFonts w:ascii="Arial" w:hAnsi="Arial" w:cs="Arial"/>
          <w:b/>
          <w:color w:val="000000" w:themeColor="text1"/>
          <w:sz w:val="24"/>
          <w:szCs w:val="24"/>
        </w:rPr>
        <w:t>Harris v Perry 2008</w:t>
      </w:r>
    </w:p>
    <w:p w:rsidR="00B611F0" w:rsidRPr="006F6460" w:rsidRDefault="00B611F0" w:rsidP="00B611F0">
      <w:pPr>
        <w:pStyle w:val="ListParagraph"/>
        <w:numPr>
          <w:ilvl w:val="0"/>
          <w:numId w:val="1"/>
        </w:numPr>
        <w:rPr>
          <w:rFonts w:ascii="Arial" w:hAnsi="Arial" w:cs="Arial"/>
          <w:color w:val="000000" w:themeColor="text1"/>
        </w:rPr>
      </w:pPr>
      <w:r w:rsidRPr="006F6460">
        <w:rPr>
          <w:rFonts w:ascii="Arial" w:hAnsi="Arial" w:cs="Arial"/>
          <w:color w:val="000000" w:themeColor="text1"/>
        </w:rPr>
        <w:t>This is an illustration of the same point above, relating to the compensation culture, whereby a lot of greedy people always try to blame someone else for their misfortune.</w:t>
      </w:r>
      <w:r w:rsidR="00C409BB">
        <w:rPr>
          <w:rFonts w:ascii="Arial" w:hAnsi="Arial" w:cs="Arial"/>
          <w:color w:val="000000" w:themeColor="text1"/>
        </w:rPr>
        <w:t xml:space="preserve"> “The desire of individuals to sue somebody, having suffered as a result of something which could have been avoided if the sued body have done their job properly” (J Lowe 2002)</w:t>
      </w:r>
    </w:p>
    <w:p w:rsidR="00B611F0" w:rsidRPr="006F6460" w:rsidRDefault="00B611F0" w:rsidP="00B611F0">
      <w:pPr>
        <w:pStyle w:val="ListParagraph"/>
        <w:numPr>
          <w:ilvl w:val="0"/>
          <w:numId w:val="1"/>
        </w:numPr>
        <w:rPr>
          <w:rFonts w:ascii="Arial" w:hAnsi="Arial" w:cs="Arial"/>
          <w:color w:val="000000" w:themeColor="text1"/>
        </w:rPr>
      </w:pPr>
      <w:r w:rsidRPr="006F6460">
        <w:rPr>
          <w:rFonts w:ascii="Arial" w:hAnsi="Arial" w:cs="Arial"/>
          <w:color w:val="000000" w:themeColor="text1"/>
        </w:rPr>
        <w:t xml:space="preserve">A child’s birthday party organised by the defendants (the parents of the child hosting the party) who had a bouncy castle which was part of the party. The defendant (a parent) was supervising the children on the bouncy castle. The claimant </w:t>
      </w:r>
      <w:r w:rsidR="00F31E18" w:rsidRPr="006F6460">
        <w:rPr>
          <w:rFonts w:ascii="Arial" w:hAnsi="Arial" w:cs="Arial"/>
          <w:color w:val="000000" w:themeColor="text1"/>
        </w:rPr>
        <w:t xml:space="preserve">(11 years ole d at the time of the incident) </w:t>
      </w:r>
      <w:r w:rsidRPr="006F6460">
        <w:rPr>
          <w:rFonts w:ascii="Arial" w:hAnsi="Arial" w:cs="Arial"/>
          <w:color w:val="000000" w:themeColor="text1"/>
        </w:rPr>
        <w:t>wen</w:t>
      </w:r>
      <w:r w:rsidR="00F31E18" w:rsidRPr="006F6460">
        <w:rPr>
          <w:rFonts w:ascii="Arial" w:hAnsi="Arial" w:cs="Arial"/>
          <w:color w:val="000000" w:themeColor="text1"/>
        </w:rPr>
        <w:t xml:space="preserve">t on to the to the </w:t>
      </w:r>
      <w:r w:rsidR="00F31E18" w:rsidRPr="006F6460">
        <w:rPr>
          <w:rFonts w:ascii="Arial" w:hAnsi="Arial" w:cs="Arial"/>
          <w:color w:val="000000" w:themeColor="text1"/>
        </w:rPr>
        <w:lastRenderedPageBreak/>
        <w:t>bouncy castle with other children including a 15 years old boy. The parent who was supervising the, turned her back for a moment to look at some other incident that was going on behind her, when she did turn her back, the 15-year-old did a somersault and his feet hit the claimant on the head, that led to a serious injury to the defendant’s head.</w:t>
      </w:r>
    </w:p>
    <w:p w:rsidR="000D1F26" w:rsidRPr="006F6460" w:rsidRDefault="00F31E18" w:rsidP="00B611F0">
      <w:pPr>
        <w:pStyle w:val="ListParagraph"/>
        <w:numPr>
          <w:ilvl w:val="0"/>
          <w:numId w:val="1"/>
        </w:numPr>
        <w:rPr>
          <w:rFonts w:ascii="Arial" w:hAnsi="Arial" w:cs="Arial"/>
          <w:color w:val="000000" w:themeColor="text1"/>
        </w:rPr>
      </w:pPr>
      <w:r w:rsidRPr="006F6460">
        <w:rPr>
          <w:rFonts w:ascii="Arial" w:hAnsi="Arial" w:cs="Arial"/>
          <w:color w:val="000000" w:themeColor="text1"/>
        </w:rPr>
        <w:t xml:space="preserve">The claimant sued the defendant because she was in charge </w:t>
      </w:r>
      <w:r w:rsidR="000D1F26" w:rsidRPr="006F6460">
        <w:rPr>
          <w:rFonts w:ascii="Arial" w:hAnsi="Arial" w:cs="Arial"/>
          <w:color w:val="000000" w:themeColor="text1"/>
        </w:rPr>
        <w:t>of the party and considered that she breached her duty of care when she turned her back</w:t>
      </w:r>
    </w:p>
    <w:p w:rsidR="000D1F26" w:rsidRPr="006F6460" w:rsidRDefault="000D1F26" w:rsidP="00B611F0">
      <w:pPr>
        <w:pStyle w:val="ListParagraph"/>
        <w:numPr>
          <w:ilvl w:val="0"/>
          <w:numId w:val="1"/>
        </w:numPr>
        <w:rPr>
          <w:rFonts w:ascii="Arial" w:hAnsi="Arial" w:cs="Arial"/>
          <w:color w:val="000000" w:themeColor="text1"/>
        </w:rPr>
      </w:pPr>
      <w:r w:rsidRPr="006F6460">
        <w:rPr>
          <w:rFonts w:ascii="Arial" w:hAnsi="Arial" w:cs="Arial"/>
          <w:color w:val="000000" w:themeColor="text1"/>
        </w:rPr>
        <w:t xml:space="preserve">The court asked would a reasonable person have turned her back for a moment? The claimant was arguing that there could be an injury on the bouncy castle, so it had to be supervised, and he was saying that it was not supervised the minute the defendant turned her back. </w:t>
      </w:r>
    </w:p>
    <w:p w:rsidR="00CA7DC5" w:rsidRPr="006F6460" w:rsidRDefault="000D1F26" w:rsidP="00B611F0">
      <w:pPr>
        <w:pStyle w:val="ListParagraph"/>
        <w:numPr>
          <w:ilvl w:val="0"/>
          <w:numId w:val="1"/>
        </w:numPr>
        <w:rPr>
          <w:rFonts w:ascii="Arial" w:hAnsi="Arial" w:cs="Arial"/>
          <w:color w:val="000000" w:themeColor="text1"/>
        </w:rPr>
      </w:pPr>
      <w:r w:rsidRPr="006F6460">
        <w:rPr>
          <w:rFonts w:ascii="Arial" w:hAnsi="Arial" w:cs="Arial"/>
          <w:color w:val="000000" w:themeColor="text1"/>
        </w:rPr>
        <w:t>The court said it was reasonable</w:t>
      </w:r>
      <w:r w:rsidR="00CA7DC5" w:rsidRPr="006F6460">
        <w:rPr>
          <w:rFonts w:ascii="Arial" w:hAnsi="Arial" w:cs="Arial"/>
          <w:color w:val="000000" w:themeColor="text1"/>
        </w:rPr>
        <w:t xml:space="preserve"> and </w:t>
      </w:r>
      <w:r w:rsidRPr="006F6460">
        <w:rPr>
          <w:rFonts w:ascii="Arial" w:hAnsi="Arial" w:cs="Arial"/>
          <w:color w:val="000000" w:themeColor="text1"/>
        </w:rPr>
        <w:t>foreseeable for one child to injur</w:t>
      </w:r>
      <w:r w:rsidR="00CA7DC5" w:rsidRPr="006F6460">
        <w:rPr>
          <w:rFonts w:ascii="Arial" w:hAnsi="Arial" w:cs="Arial"/>
          <w:color w:val="000000" w:themeColor="text1"/>
        </w:rPr>
        <w:t>e</w:t>
      </w:r>
      <w:r w:rsidRPr="006F6460">
        <w:rPr>
          <w:rFonts w:ascii="Arial" w:hAnsi="Arial" w:cs="Arial"/>
          <w:color w:val="000000" w:themeColor="text1"/>
        </w:rPr>
        <w:t xml:space="preserve"> another</w:t>
      </w:r>
      <w:r w:rsidR="00CA7DC5" w:rsidRPr="006F6460">
        <w:rPr>
          <w:rFonts w:ascii="Arial" w:hAnsi="Arial" w:cs="Arial"/>
          <w:color w:val="000000" w:themeColor="text1"/>
        </w:rPr>
        <w:t xml:space="preserve">, but the standard of in this case is that of a reasonable parent, and therefor can not be blamed for just a moment if they turn their back on the child. </w:t>
      </w:r>
    </w:p>
    <w:p w:rsidR="00910A20" w:rsidRDefault="00CA7DC5" w:rsidP="00910A20">
      <w:pPr>
        <w:ind w:left="360"/>
        <w:rPr>
          <w:rFonts w:ascii="Arial" w:hAnsi="Arial" w:cs="Arial"/>
          <w:color w:val="000000" w:themeColor="text1"/>
          <w:sz w:val="24"/>
          <w:szCs w:val="24"/>
        </w:rPr>
      </w:pPr>
      <w:r w:rsidRPr="006F6460">
        <w:rPr>
          <w:rFonts w:ascii="Arial" w:hAnsi="Arial" w:cs="Arial"/>
          <w:color w:val="000000" w:themeColor="text1"/>
          <w:sz w:val="24"/>
          <w:szCs w:val="24"/>
        </w:rPr>
        <w:t>Lord Philips stated that “it is impractical for parents to keep children under constant surveillance and it would not be in the public interest for parents to do that. There was a risk of serious injury, but serious injury was not likely</w:t>
      </w:r>
      <w:r w:rsidR="006F6460" w:rsidRPr="006F6460">
        <w:rPr>
          <w:rFonts w:ascii="Arial" w:hAnsi="Arial" w:cs="Arial"/>
          <w:color w:val="000000" w:themeColor="text1"/>
          <w:sz w:val="24"/>
          <w:szCs w:val="24"/>
        </w:rPr>
        <w:t>,</w:t>
      </w:r>
      <w:r w:rsidRPr="006F6460">
        <w:rPr>
          <w:rFonts w:ascii="Arial" w:hAnsi="Arial" w:cs="Arial"/>
          <w:color w:val="000000" w:themeColor="text1"/>
          <w:sz w:val="24"/>
          <w:szCs w:val="24"/>
        </w:rPr>
        <w:t xml:space="preserve"> there</w:t>
      </w:r>
      <w:r w:rsidR="006F6460" w:rsidRPr="006F6460">
        <w:rPr>
          <w:rFonts w:ascii="Arial" w:hAnsi="Arial" w:cs="Arial"/>
          <w:color w:val="000000" w:themeColor="text1"/>
          <w:sz w:val="24"/>
          <w:szCs w:val="24"/>
        </w:rPr>
        <w:t>for</w:t>
      </w:r>
      <w:r w:rsidRPr="006F6460">
        <w:rPr>
          <w:rFonts w:ascii="Arial" w:hAnsi="Arial" w:cs="Arial"/>
          <w:color w:val="000000" w:themeColor="text1"/>
          <w:sz w:val="24"/>
          <w:szCs w:val="24"/>
        </w:rPr>
        <w:t xml:space="preserve"> for it was not a breach of duty </w:t>
      </w:r>
      <w:r w:rsidR="006F6460" w:rsidRPr="006F6460">
        <w:rPr>
          <w:rFonts w:ascii="Arial" w:hAnsi="Arial" w:cs="Arial"/>
          <w:color w:val="000000" w:themeColor="text1"/>
          <w:sz w:val="24"/>
          <w:szCs w:val="24"/>
        </w:rPr>
        <w:t>for the defendant turning their back. If the magnitude of the risk is quite low, in favour of the defendant, then the claimants will not succeed.</w:t>
      </w:r>
    </w:p>
    <w:p w:rsidR="00910A20" w:rsidRPr="009022D8" w:rsidRDefault="00910A20" w:rsidP="00910A20">
      <w:pPr>
        <w:pStyle w:val="ListParagraph"/>
        <w:numPr>
          <w:ilvl w:val="0"/>
          <w:numId w:val="6"/>
        </w:numPr>
        <w:rPr>
          <w:rFonts w:ascii="Arial" w:hAnsi="Arial" w:cs="Arial"/>
          <w:b/>
          <w:color w:val="000000" w:themeColor="text1"/>
        </w:rPr>
      </w:pPr>
      <w:r w:rsidRPr="009022D8">
        <w:rPr>
          <w:rFonts w:ascii="Arial" w:hAnsi="Arial" w:cs="Arial"/>
          <w:b/>
          <w:color w:val="000000" w:themeColor="text1"/>
        </w:rPr>
        <w:t>Practicality of precautions</w:t>
      </w:r>
    </w:p>
    <w:p w:rsidR="00910A20" w:rsidRPr="009022D8" w:rsidRDefault="00910A20" w:rsidP="00910A20">
      <w:pPr>
        <w:rPr>
          <w:rFonts w:ascii="Arial" w:hAnsi="Arial" w:cs="Arial"/>
          <w:b/>
          <w:color w:val="000000" w:themeColor="text1"/>
        </w:rPr>
      </w:pPr>
      <w:r w:rsidRPr="009022D8">
        <w:rPr>
          <w:rFonts w:ascii="Arial" w:hAnsi="Arial" w:cs="Arial"/>
          <w:b/>
          <w:color w:val="000000" w:themeColor="text1"/>
        </w:rPr>
        <w:t xml:space="preserve">Whether a reasonable person takes precautions depends on how much those precautions cost </w:t>
      </w:r>
    </w:p>
    <w:p w:rsidR="00910A20" w:rsidRPr="00910A20" w:rsidRDefault="00910A20" w:rsidP="00910A20">
      <w:pPr>
        <w:rPr>
          <w:rFonts w:ascii="Arial" w:hAnsi="Arial" w:cs="Arial"/>
          <w:b/>
          <w:color w:val="000000" w:themeColor="text1"/>
        </w:rPr>
      </w:pPr>
      <w:r w:rsidRPr="00910A20">
        <w:rPr>
          <w:rFonts w:ascii="Arial" w:hAnsi="Arial" w:cs="Arial"/>
          <w:b/>
          <w:color w:val="000000" w:themeColor="text1"/>
        </w:rPr>
        <w:t>Latimer v AEG Ltd 1953</w:t>
      </w:r>
    </w:p>
    <w:p w:rsidR="00910A20" w:rsidRDefault="00910A20" w:rsidP="00910A20">
      <w:pPr>
        <w:pStyle w:val="ListParagraph"/>
        <w:numPr>
          <w:ilvl w:val="0"/>
          <w:numId w:val="1"/>
        </w:numPr>
        <w:rPr>
          <w:rFonts w:ascii="Arial" w:hAnsi="Arial" w:cs="Arial"/>
          <w:color w:val="000000" w:themeColor="text1"/>
        </w:rPr>
      </w:pPr>
      <w:r>
        <w:rPr>
          <w:rFonts w:ascii="Arial" w:hAnsi="Arial" w:cs="Arial"/>
          <w:color w:val="000000" w:themeColor="text1"/>
        </w:rPr>
        <w:t>Claimant owned a factory where there had been a massive flood which caused the factory to overloaded with water, the water got caught up with the oil in the factory, when the water went down, the factory floor was covered with oil and water and otherwise slime, that factory noticed that this was dangerous for worker and hence pit sawdust down on the floors as to minimise the risk</w:t>
      </w:r>
      <w:r w:rsidR="00427F6D">
        <w:rPr>
          <w:rFonts w:ascii="Arial" w:hAnsi="Arial" w:cs="Arial"/>
          <w:color w:val="000000" w:themeColor="text1"/>
        </w:rPr>
        <w:t xml:space="preserve"> </w:t>
      </w:r>
      <w:r>
        <w:rPr>
          <w:rFonts w:ascii="Arial" w:hAnsi="Arial" w:cs="Arial"/>
          <w:color w:val="000000" w:themeColor="text1"/>
        </w:rPr>
        <w:t xml:space="preserve">of people getting injured or slipping. </w:t>
      </w:r>
    </w:p>
    <w:p w:rsidR="00427F6D" w:rsidRDefault="00427F6D" w:rsidP="00910A20">
      <w:pPr>
        <w:pStyle w:val="ListParagraph"/>
        <w:numPr>
          <w:ilvl w:val="0"/>
          <w:numId w:val="1"/>
        </w:numPr>
        <w:rPr>
          <w:rFonts w:ascii="Arial" w:hAnsi="Arial" w:cs="Arial"/>
          <w:color w:val="000000" w:themeColor="text1"/>
        </w:rPr>
      </w:pPr>
      <w:r>
        <w:rPr>
          <w:rFonts w:ascii="Arial" w:hAnsi="Arial" w:cs="Arial"/>
          <w:color w:val="000000" w:themeColor="text1"/>
        </w:rPr>
        <w:t xml:space="preserve">The factory did not have enough sawdust and did not cover the entire area, the claimant slipped over on the part of the floor that had no sawdust, he sued the defendant (the factory) arguing that they did not they did not take enough precautions to protect him and the this was a breach of duty.  </w:t>
      </w:r>
    </w:p>
    <w:p w:rsidR="00427F6D" w:rsidRPr="00910A20" w:rsidRDefault="00427F6D" w:rsidP="00910A20">
      <w:pPr>
        <w:pStyle w:val="ListParagraph"/>
        <w:numPr>
          <w:ilvl w:val="0"/>
          <w:numId w:val="1"/>
        </w:numPr>
        <w:rPr>
          <w:rFonts w:ascii="Arial" w:hAnsi="Arial" w:cs="Arial"/>
          <w:color w:val="000000" w:themeColor="text1"/>
        </w:rPr>
      </w:pPr>
      <w:r>
        <w:rPr>
          <w:rFonts w:ascii="Arial" w:hAnsi="Arial" w:cs="Arial"/>
          <w:color w:val="000000" w:themeColor="text1"/>
        </w:rPr>
        <w:t>The defendant said that they put all the sawdust which they had, but the claimant argued that they should have closed the factory in order to make it safe. The breach was not associated to the factory but the court said that there was a breach of duty because</w:t>
      </w:r>
      <w:r w:rsidR="00826F75">
        <w:rPr>
          <w:rFonts w:ascii="Arial" w:hAnsi="Arial" w:cs="Arial"/>
          <w:color w:val="000000" w:themeColor="text1"/>
        </w:rPr>
        <w:t xml:space="preserve"> it cost money to shut the factory, the cost of taking precautions was very high and the idea of someone slipping was quite low, the court agreed with this idea, and this favoured the defendants. If they wanted to shut the factory, they need to show that that’s what the reasonable owner will of factory would have done. However, one could argue that the sawdust does not cost a lot of money and that they should have bought more sawdust to lower the magnitude of harm.</w:t>
      </w:r>
    </w:p>
    <w:p w:rsidR="00910A20" w:rsidRDefault="00910A20" w:rsidP="00910A20">
      <w:pPr>
        <w:rPr>
          <w:rFonts w:ascii="Arial" w:hAnsi="Arial" w:cs="Arial"/>
          <w:color w:val="000000" w:themeColor="text1"/>
          <w:sz w:val="24"/>
          <w:szCs w:val="24"/>
        </w:rPr>
      </w:pPr>
    </w:p>
    <w:p w:rsidR="001F108C" w:rsidRPr="0029092D" w:rsidRDefault="001F108C" w:rsidP="001F108C">
      <w:pPr>
        <w:pStyle w:val="ListParagraph"/>
        <w:numPr>
          <w:ilvl w:val="0"/>
          <w:numId w:val="6"/>
        </w:numPr>
        <w:rPr>
          <w:rFonts w:ascii="Arial" w:hAnsi="Arial" w:cs="Arial"/>
          <w:b/>
          <w:color w:val="000000" w:themeColor="text1"/>
        </w:rPr>
      </w:pPr>
      <w:r w:rsidRPr="0029092D">
        <w:rPr>
          <w:rFonts w:ascii="Arial" w:hAnsi="Arial" w:cs="Arial"/>
          <w:b/>
          <w:color w:val="000000" w:themeColor="text1"/>
        </w:rPr>
        <w:t>Potential utility of the defendant’s conduct</w:t>
      </w:r>
    </w:p>
    <w:p w:rsidR="006A6CFF" w:rsidRDefault="001F108C" w:rsidP="001F108C">
      <w:pPr>
        <w:ind w:left="720"/>
        <w:rPr>
          <w:rFonts w:ascii="Arial" w:hAnsi="Arial" w:cs="Arial"/>
          <w:color w:val="000000" w:themeColor="text1"/>
          <w:sz w:val="24"/>
          <w:szCs w:val="24"/>
        </w:rPr>
      </w:pPr>
      <w:r w:rsidRPr="00EA3684">
        <w:rPr>
          <w:rFonts w:ascii="Arial" w:hAnsi="Arial" w:cs="Arial"/>
          <w:color w:val="000000" w:themeColor="text1"/>
          <w:sz w:val="24"/>
          <w:szCs w:val="24"/>
        </w:rPr>
        <w:lastRenderedPageBreak/>
        <w:t xml:space="preserve">If the defendant was doing something which was potentially useful when the negligence occurred, then this will be taken into consideration and might find in favour of the defendant, as in the </w:t>
      </w:r>
      <w:r w:rsidRPr="00EA3684">
        <w:rPr>
          <w:rFonts w:ascii="Arial" w:hAnsi="Arial" w:cs="Arial"/>
          <w:b/>
          <w:color w:val="000000" w:themeColor="text1"/>
          <w:sz w:val="24"/>
          <w:szCs w:val="24"/>
        </w:rPr>
        <w:t xml:space="preserve">Watt v Hertfordshire CC1954 and the Scouts Association v Barnes </w:t>
      </w:r>
      <w:r w:rsidR="007B6C68" w:rsidRPr="00EA3684">
        <w:rPr>
          <w:rFonts w:ascii="Arial" w:hAnsi="Arial" w:cs="Arial"/>
          <w:b/>
          <w:color w:val="000000" w:themeColor="text1"/>
          <w:sz w:val="24"/>
          <w:szCs w:val="24"/>
        </w:rPr>
        <w:t>2010</w:t>
      </w:r>
      <w:r w:rsidR="007B6C68" w:rsidRPr="00EA3684">
        <w:rPr>
          <w:rFonts w:ascii="Arial" w:hAnsi="Arial" w:cs="Arial"/>
          <w:color w:val="000000" w:themeColor="text1"/>
          <w:sz w:val="24"/>
          <w:szCs w:val="24"/>
        </w:rPr>
        <w:t xml:space="preserve">. This is stated in the </w:t>
      </w:r>
    </w:p>
    <w:p w:rsidR="006A6CFF" w:rsidRDefault="007B6C68" w:rsidP="006A6CFF">
      <w:pPr>
        <w:rPr>
          <w:rFonts w:ascii="Arial" w:hAnsi="Arial" w:cs="Arial"/>
          <w:color w:val="000000" w:themeColor="text1"/>
          <w:sz w:val="24"/>
          <w:szCs w:val="24"/>
        </w:rPr>
      </w:pPr>
      <w:r w:rsidRPr="006A6CFF">
        <w:rPr>
          <w:rFonts w:ascii="Arial" w:hAnsi="Arial" w:cs="Arial"/>
          <w:b/>
          <w:color w:val="000000" w:themeColor="text1"/>
          <w:sz w:val="24"/>
          <w:szCs w:val="24"/>
        </w:rPr>
        <w:t>Social Action</w:t>
      </w:r>
      <w:r w:rsidR="008F7CF8">
        <w:rPr>
          <w:rFonts w:ascii="Arial" w:hAnsi="Arial" w:cs="Arial"/>
          <w:b/>
          <w:color w:val="000000" w:themeColor="text1"/>
          <w:sz w:val="24"/>
          <w:szCs w:val="24"/>
        </w:rPr>
        <w:t>,</w:t>
      </w:r>
      <w:r w:rsidRPr="006A6CFF">
        <w:rPr>
          <w:rFonts w:ascii="Arial" w:hAnsi="Arial" w:cs="Arial"/>
          <w:b/>
          <w:color w:val="000000" w:themeColor="text1"/>
          <w:sz w:val="24"/>
          <w:szCs w:val="24"/>
        </w:rPr>
        <w:t xml:space="preserve"> Responsibility and Heroism Act 2015</w:t>
      </w:r>
      <w:r w:rsidRPr="00EA3684">
        <w:rPr>
          <w:rFonts w:ascii="Arial" w:hAnsi="Arial" w:cs="Arial"/>
          <w:color w:val="000000" w:themeColor="text1"/>
          <w:sz w:val="24"/>
          <w:szCs w:val="24"/>
        </w:rPr>
        <w:t xml:space="preserve"> </w:t>
      </w:r>
    </w:p>
    <w:p w:rsidR="006A6CFF" w:rsidRPr="006A6CFF" w:rsidRDefault="006A6CFF" w:rsidP="006A6CFF">
      <w:pPr>
        <w:rPr>
          <w:rFonts w:ascii="Arial" w:hAnsi="Arial" w:cs="Arial"/>
          <w:b/>
          <w:color w:val="000000" w:themeColor="text1"/>
          <w:sz w:val="24"/>
          <w:szCs w:val="24"/>
        </w:rPr>
      </w:pPr>
      <w:r w:rsidRPr="006A6CFF">
        <w:rPr>
          <w:rFonts w:ascii="Arial" w:hAnsi="Arial" w:cs="Arial"/>
          <w:b/>
          <w:color w:val="000000" w:themeColor="text1"/>
          <w:sz w:val="24"/>
          <w:szCs w:val="24"/>
        </w:rPr>
        <w:t>Social Action</w:t>
      </w:r>
    </w:p>
    <w:p w:rsidR="001F108C" w:rsidRDefault="006A6CFF" w:rsidP="006A6CFF">
      <w:pPr>
        <w:rPr>
          <w:rFonts w:ascii="Arial" w:hAnsi="Arial" w:cs="Arial"/>
          <w:color w:val="000000" w:themeColor="text1"/>
          <w:sz w:val="24"/>
          <w:szCs w:val="24"/>
        </w:rPr>
      </w:pPr>
      <w:r>
        <w:rPr>
          <w:rFonts w:ascii="Arial" w:hAnsi="Arial" w:cs="Arial"/>
          <w:color w:val="000000" w:themeColor="text1"/>
          <w:sz w:val="24"/>
          <w:szCs w:val="24"/>
        </w:rPr>
        <w:t>S</w:t>
      </w:r>
      <w:r w:rsidR="007B6C68" w:rsidRPr="00EA3684">
        <w:rPr>
          <w:rFonts w:ascii="Arial" w:hAnsi="Arial" w:cs="Arial"/>
          <w:color w:val="000000" w:themeColor="text1"/>
          <w:sz w:val="24"/>
          <w:szCs w:val="24"/>
        </w:rPr>
        <w:t xml:space="preserve">2, </w:t>
      </w:r>
      <w:r>
        <w:rPr>
          <w:rFonts w:ascii="Arial" w:hAnsi="Arial" w:cs="Arial"/>
          <w:color w:val="000000" w:themeColor="text1"/>
          <w:sz w:val="24"/>
          <w:szCs w:val="24"/>
        </w:rPr>
        <w:t>the court must have regard to whether the alleged negligence or breach of statuary duty occurred when the person was acting for the benefit of the society or any of its members. (</w:t>
      </w:r>
      <w:r w:rsidRPr="006A6CFF">
        <w:rPr>
          <w:rFonts w:ascii="Arial" w:hAnsi="Arial" w:cs="Arial"/>
          <w:i/>
          <w:color w:val="000000" w:themeColor="text1"/>
          <w:sz w:val="24"/>
          <w:szCs w:val="24"/>
        </w:rPr>
        <w:t>Wiley.com</w:t>
      </w:r>
      <w:r>
        <w:rPr>
          <w:rFonts w:ascii="Arial" w:hAnsi="Arial" w:cs="Arial"/>
          <w:color w:val="000000" w:themeColor="text1"/>
          <w:sz w:val="24"/>
          <w:szCs w:val="24"/>
        </w:rPr>
        <w:t>)</w:t>
      </w:r>
    </w:p>
    <w:p w:rsidR="006A6CFF" w:rsidRPr="008F7CF8" w:rsidRDefault="006A6CFF" w:rsidP="006A6CFF">
      <w:pPr>
        <w:rPr>
          <w:rFonts w:ascii="Arial" w:hAnsi="Arial" w:cs="Arial"/>
          <w:b/>
          <w:color w:val="000000" w:themeColor="text1"/>
          <w:sz w:val="24"/>
          <w:szCs w:val="24"/>
        </w:rPr>
      </w:pPr>
      <w:r w:rsidRPr="008F7CF8">
        <w:rPr>
          <w:rFonts w:ascii="Arial" w:hAnsi="Arial" w:cs="Arial"/>
          <w:b/>
          <w:color w:val="000000" w:themeColor="text1"/>
          <w:sz w:val="24"/>
          <w:szCs w:val="24"/>
        </w:rPr>
        <w:t xml:space="preserve">Responsibility </w:t>
      </w:r>
    </w:p>
    <w:p w:rsidR="006A6CFF" w:rsidRDefault="006A6CFF" w:rsidP="006A6CFF">
      <w:pPr>
        <w:rPr>
          <w:rFonts w:ascii="Arial" w:hAnsi="Arial" w:cs="Arial"/>
          <w:color w:val="000000" w:themeColor="text1"/>
          <w:sz w:val="24"/>
          <w:szCs w:val="24"/>
        </w:rPr>
      </w:pPr>
      <w:r>
        <w:rPr>
          <w:rFonts w:ascii="Arial" w:hAnsi="Arial" w:cs="Arial"/>
          <w:color w:val="000000" w:themeColor="text1"/>
          <w:sz w:val="24"/>
          <w:szCs w:val="24"/>
        </w:rPr>
        <w:t xml:space="preserve">S3 </w:t>
      </w:r>
      <w:r w:rsidR="008F7CF8">
        <w:rPr>
          <w:rFonts w:ascii="Arial" w:hAnsi="Arial" w:cs="Arial"/>
          <w:color w:val="000000" w:themeColor="text1"/>
          <w:sz w:val="24"/>
          <w:szCs w:val="24"/>
        </w:rPr>
        <w:t>the</w:t>
      </w:r>
      <w:r>
        <w:rPr>
          <w:rFonts w:ascii="Arial" w:hAnsi="Arial" w:cs="Arial"/>
          <w:color w:val="000000" w:themeColor="text1"/>
          <w:sz w:val="24"/>
          <w:szCs w:val="24"/>
        </w:rPr>
        <w:t xml:space="preserve"> court must have regards and consider if the person</w:t>
      </w:r>
      <w:r w:rsidR="008F7CF8">
        <w:rPr>
          <w:rFonts w:ascii="Arial" w:hAnsi="Arial" w:cs="Arial"/>
          <w:color w:val="000000" w:themeColor="text1"/>
          <w:sz w:val="24"/>
          <w:szCs w:val="24"/>
        </w:rPr>
        <w:t>’s intention was trying to protect others, when they breached the duty of care. (</w:t>
      </w:r>
      <w:r w:rsidR="008F7CF8" w:rsidRPr="008F7CF8">
        <w:rPr>
          <w:rFonts w:ascii="Arial" w:hAnsi="Arial" w:cs="Arial"/>
          <w:i/>
          <w:color w:val="000000" w:themeColor="text1"/>
          <w:sz w:val="24"/>
          <w:szCs w:val="24"/>
        </w:rPr>
        <w:t>wiley.com</w:t>
      </w:r>
      <w:r w:rsidR="008F7CF8">
        <w:rPr>
          <w:rFonts w:ascii="Arial" w:hAnsi="Arial" w:cs="Arial"/>
          <w:color w:val="000000" w:themeColor="text1"/>
          <w:sz w:val="24"/>
          <w:szCs w:val="24"/>
        </w:rPr>
        <w:t>)</w:t>
      </w:r>
      <w:r>
        <w:rPr>
          <w:rFonts w:ascii="Arial" w:hAnsi="Arial" w:cs="Arial"/>
          <w:color w:val="000000" w:themeColor="text1"/>
          <w:sz w:val="24"/>
          <w:szCs w:val="24"/>
        </w:rPr>
        <w:t xml:space="preserve"> </w:t>
      </w:r>
    </w:p>
    <w:p w:rsidR="008F7CF8" w:rsidRPr="008F7CF8" w:rsidRDefault="008F7CF8" w:rsidP="006A6CFF">
      <w:pPr>
        <w:rPr>
          <w:rFonts w:ascii="Arial" w:hAnsi="Arial" w:cs="Arial"/>
          <w:b/>
          <w:color w:val="000000" w:themeColor="text1"/>
          <w:sz w:val="24"/>
          <w:szCs w:val="24"/>
        </w:rPr>
      </w:pPr>
      <w:r w:rsidRPr="008F7CF8">
        <w:rPr>
          <w:rFonts w:ascii="Arial" w:hAnsi="Arial" w:cs="Arial"/>
          <w:b/>
          <w:color w:val="000000" w:themeColor="text1"/>
          <w:sz w:val="24"/>
          <w:szCs w:val="24"/>
        </w:rPr>
        <w:t xml:space="preserve">Heroism </w:t>
      </w:r>
    </w:p>
    <w:p w:rsidR="008F7CF8" w:rsidRPr="00EA3684" w:rsidRDefault="008F7CF8" w:rsidP="006A6CFF">
      <w:pPr>
        <w:rPr>
          <w:rFonts w:ascii="Arial" w:hAnsi="Arial" w:cs="Arial"/>
          <w:color w:val="000000" w:themeColor="text1"/>
          <w:sz w:val="24"/>
          <w:szCs w:val="24"/>
        </w:rPr>
      </w:pPr>
      <w:r>
        <w:rPr>
          <w:rFonts w:ascii="Arial" w:hAnsi="Arial" w:cs="Arial"/>
          <w:color w:val="000000" w:themeColor="text1"/>
          <w:sz w:val="24"/>
          <w:szCs w:val="24"/>
        </w:rPr>
        <w:t xml:space="preserve">S4: the court must have regard to whether the alleged negligence or breach of statuary duty occurred when the person was acting heroically by intervening in an emergency to assist an individual in danger. (cloisters.com) </w:t>
      </w:r>
    </w:p>
    <w:p w:rsidR="0029092D" w:rsidRPr="00EA3684" w:rsidRDefault="0029092D" w:rsidP="0029092D">
      <w:pPr>
        <w:rPr>
          <w:rFonts w:ascii="Arial" w:hAnsi="Arial" w:cs="Arial"/>
          <w:b/>
          <w:color w:val="000000" w:themeColor="text1"/>
          <w:sz w:val="24"/>
          <w:szCs w:val="24"/>
        </w:rPr>
      </w:pPr>
      <w:r w:rsidRPr="00EA3684">
        <w:rPr>
          <w:rFonts w:ascii="Arial" w:hAnsi="Arial" w:cs="Arial"/>
          <w:b/>
          <w:color w:val="000000" w:themeColor="text1"/>
          <w:sz w:val="24"/>
          <w:szCs w:val="24"/>
        </w:rPr>
        <w:t xml:space="preserve">Special situations </w:t>
      </w:r>
    </w:p>
    <w:p w:rsidR="0029092D" w:rsidRPr="00EA3684" w:rsidRDefault="0029092D" w:rsidP="0029092D">
      <w:pPr>
        <w:rPr>
          <w:rFonts w:ascii="Arial" w:hAnsi="Arial" w:cs="Arial"/>
          <w:color w:val="000000" w:themeColor="text1"/>
          <w:sz w:val="24"/>
          <w:szCs w:val="24"/>
        </w:rPr>
      </w:pPr>
      <w:r w:rsidRPr="00EA3684">
        <w:rPr>
          <w:rFonts w:ascii="Arial" w:hAnsi="Arial" w:cs="Arial"/>
          <w:b/>
          <w:color w:val="000000" w:themeColor="text1"/>
          <w:sz w:val="24"/>
          <w:szCs w:val="24"/>
        </w:rPr>
        <w:t>Special Skills</w:t>
      </w:r>
      <w:r w:rsidRPr="00EA3684">
        <w:rPr>
          <w:rFonts w:ascii="Arial" w:hAnsi="Arial" w:cs="Arial"/>
          <w:color w:val="000000" w:themeColor="text1"/>
          <w:sz w:val="24"/>
          <w:szCs w:val="24"/>
        </w:rPr>
        <w:t xml:space="preserve"> </w:t>
      </w:r>
    </w:p>
    <w:p w:rsidR="0029092D" w:rsidRPr="00EA3684" w:rsidRDefault="0029092D" w:rsidP="0029092D">
      <w:pPr>
        <w:rPr>
          <w:rFonts w:ascii="Arial" w:hAnsi="Arial" w:cs="Arial"/>
          <w:color w:val="000000" w:themeColor="text1"/>
          <w:sz w:val="24"/>
          <w:szCs w:val="24"/>
        </w:rPr>
      </w:pPr>
      <w:r w:rsidRPr="00EA3684">
        <w:rPr>
          <w:rFonts w:ascii="Arial" w:hAnsi="Arial" w:cs="Arial"/>
          <w:color w:val="000000" w:themeColor="text1"/>
          <w:sz w:val="24"/>
          <w:szCs w:val="24"/>
        </w:rPr>
        <w:t xml:space="preserve">            This applies when the defendant is holding themselves as an expert, they should be expected to meet the standard of an ordinary and reasonable expert in their field. </w:t>
      </w:r>
    </w:p>
    <w:p w:rsidR="00180291" w:rsidRPr="00EA3684" w:rsidRDefault="0029092D" w:rsidP="0029092D">
      <w:pPr>
        <w:pStyle w:val="ListParagraph"/>
        <w:numPr>
          <w:ilvl w:val="0"/>
          <w:numId w:val="14"/>
        </w:numPr>
        <w:rPr>
          <w:rFonts w:ascii="Arial" w:hAnsi="Arial" w:cs="Arial"/>
          <w:color w:val="000000" w:themeColor="text1"/>
        </w:rPr>
      </w:pPr>
      <w:r w:rsidRPr="00EA3684">
        <w:rPr>
          <w:rFonts w:ascii="Arial" w:hAnsi="Arial" w:cs="Arial"/>
          <w:b/>
          <w:color w:val="000000" w:themeColor="text1"/>
        </w:rPr>
        <w:t xml:space="preserve">The </w:t>
      </w:r>
      <w:proofErr w:type="spellStart"/>
      <w:r w:rsidRPr="00EA3684">
        <w:rPr>
          <w:rFonts w:ascii="Arial" w:hAnsi="Arial" w:cs="Arial"/>
          <w:b/>
          <w:color w:val="000000" w:themeColor="text1"/>
        </w:rPr>
        <w:t>Bolam</w:t>
      </w:r>
      <w:proofErr w:type="spellEnd"/>
      <w:r w:rsidRPr="00EA3684">
        <w:rPr>
          <w:rFonts w:ascii="Arial" w:hAnsi="Arial" w:cs="Arial"/>
          <w:b/>
          <w:color w:val="000000" w:themeColor="text1"/>
        </w:rPr>
        <w:t xml:space="preserve"> </w:t>
      </w:r>
      <w:r w:rsidR="00F866F9" w:rsidRPr="00EA3684">
        <w:rPr>
          <w:rFonts w:ascii="Arial" w:hAnsi="Arial" w:cs="Arial"/>
          <w:b/>
          <w:color w:val="000000" w:themeColor="text1"/>
        </w:rPr>
        <w:t>test</w:t>
      </w:r>
      <w:r w:rsidR="00F866F9" w:rsidRPr="00EA3684">
        <w:rPr>
          <w:rFonts w:ascii="Arial" w:hAnsi="Arial" w:cs="Arial"/>
          <w:color w:val="000000" w:themeColor="text1"/>
        </w:rPr>
        <w:t>; is</w:t>
      </w:r>
      <w:r w:rsidR="00180291" w:rsidRPr="00EA3684">
        <w:rPr>
          <w:rFonts w:ascii="Arial" w:hAnsi="Arial" w:cs="Arial"/>
          <w:color w:val="000000" w:themeColor="text1"/>
        </w:rPr>
        <w:t xml:space="preserve"> mainly when the defendant is a doctor as </w:t>
      </w:r>
      <w:r w:rsidR="00180291" w:rsidRPr="00EA3684">
        <w:rPr>
          <w:rFonts w:ascii="Arial" w:hAnsi="Arial" w:cs="Arial"/>
          <w:b/>
          <w:color w:val="000000" w:themeColor="text1"/>
        </w:rPr>
        <w:t xml:space="preserve">in Montgomery v Lanarkshire Health Board </w:t>
      </w:r>
      <w:r w:rsidR="00FA700A" w:rsidRPr="00EA3684">
        <w:rPr>
          <w:rFonts w:ascii="Arial" w:hAnsi="Arial" w:cs="Arial"/>
          <w:b/>
          <w:color w:val="000000" w:themeColor="text1"/>
        </w:rPr>
        <w:t>2015</w:t>
      </w:r>
      <w:r w:rsidR="00FA700A" w:rsidRPr="00EA3684">
        <w:rPr>
          <w:rFonts w:ascii="Arial" w:hAnsi="Arial" w:cs="Arial"/>
          <w:color w:val="000000" w:themeColor="text1"/>
        </w:rPr>
        <w:t>,</w:t>
      </w:r>
      <w:r w:rsidR="00180291" w:rsidRPr="00EA3684">
        <w:rPr>
          <w:rFonts w:ascii="Arial" w:hAnsi="Arial" w:cs="Arial"/>
          <w:color w:val="000000" w:themeColor="text1"/>
        </w:rPr>
        <w:t xml:space="preserve"> but not exclusively for the medical field, as it had also been </w:t>
      </w:r>
      <w:r w:rsidR="00EA3684" w:rsidRPr="00EA3684">
        <w:rPr>
          <w:rFonts w:ascii="Arial" w:hAnsi="Arial" w:cs="Arial"/>
          <w:color w:val="000000" w:themeColor="text1"/>
        </w:rPr>
        <w:t>applied out</w:t>
      </w:r>
      <w:r w:rsidR="00180291" w:rsidRPr="00EA3684">
        <w:rPr>
          <w:rFonts w:ascii="Arial" w:hAnsi="Arial" w:cs="Arial"/>
          <w:color w:val="000000" w:themeColor="text1"/>
        </w:rPr>
        <w:t xml:space="preserve"> of context as in </w:t>
      </w:r>
      <w:r w:rsidR="00180291" w:rsidRPr="00EA3684">
        <w:rPr>
          <w:rFonts w:ascii="Arial" w:hAnsi="Arial" w:cs="Arial"/>
          <w:b/>
          <w:color w:val="000000" w:themeColor="text1"/>
        </w:rPr>
        <w:t>Pierce v Doncaster 2008</w:t>
      </w:r>
      <w:r w:rsidR="00180291" w:rsidRPr="00EA3684">
        <w:rPr>
          <w:rFonts w:ascii="Arial" w:hAnsi="Arial" w:cs="Arial"/>
          <w:color w:val="000000" w:themeColor="text1"/>
        </w:rPr>
        <w:t>.</w:t>
      </w:r>
    </w:p>
    <w:p w:rsidR="0029092D" w:rsidRPr="00EA3684" w:rsidRDefault="00F866F9" w:rsidP="00F866F9">
      <w:pPr>
        <w:rPr>
          <w:rFonts w:ascii="Arial" w:hAnsi="Arial" w:cs="Arial"/>
          <w:color w:val="000000" w:themeColor="text1"/>
          <w:sz w:val="24"/>
          <w:szCs w:val="24"/>
        </w:rPr>
      </w:pPr>
      <w:r w:rsidRPr="00EA3684">
        <w:rPr>
          <w:rFonts w:ascii="Arial" w:hAnsi="Arial" w:cs="Arial"/>
          <w:color w:val="000000" w:themeColor="text1"/>
          <w:sz w:val="24"/>
          <w:szCs w:val="24"/>
        </w:rPr>
        <w:t xml:space="preserve">the </w:t>
      </w:r>
      <w:proofErr w:type="spellStart"/>
      <w:r w:rsidRPr="00EA3684">
        <w:rPr>
          <w:rFonts w:ascii="Arial" w:hAnsi="Arial" w:cs="Arial"/>
          <w:color w:val="000000" w:themeColor="text1"/>
          <w:sz w:val="24"/>
          <w:szCs w:val="24"/>
        </w:rPr>
        <w:t>Bolam</w:t>
      </w:r>
      <w:proofErr w:type="spellEnd"/>
      <w:r w:rsidRPr="00EA3684">
        <w:rPr>
          <w:rFonts w:ascii="Arial" w:hAnsi="Arial" w:cs="Arial"/>
          <w:color w:val="000000" w:themeColor="text1"/>
          <w:sz w:val="24"/>
          <w:szCs w:val="24"/>
        </w:rPr>
        <w:t xml:space="preserve"> test is modification to the objective Standard of care</w:t>
      </w:r>
    </w:p>
    <w:p w:rsidR="00F866F9" w:rsidRPr="00EA3684" w:rsidRDefault="00F866F9" w:rsidP="00F866F9">
      <w:pPr>
        <w:pStyle w:val="ListParagraph"/>
        <w:numPr>
          <w:ilvl w:val="0"/>
          <w:numId w:val="14"/>
        </w:numPr>
        <w:rPr>
          <w:rFonts w:ascii="Arial" w:hAnsi="Arial" w:cs="Arial"/>
          <w:color w:val="000000" w:themeColor="text1"/>
        </w:rPr>
      </w:pPr>
      <w:r w:rsidRPr="00EA3684">
        <w:rPr>
          <w:rFonts w:ascii="Arial" w:hAnsi="Arial" w:cs="Arial"/>
          <w:b/>
          <w:color w:val="000000" w:themeColor="text1"/>
        </w:rPr>
        <w:t>Children</w:t>
      </w:r>
      <w:r w:rsidRPr="00EA3684">
        <w:rPr>
          <w:rFonts w:ascii="Arial" w:hAnsi="Arial" w:cs="Arial"/>
          <w:color w:val="000000" w:themeColor="text1"/>
        </w:rPr>
        <w:t xml:space="preserve">: has got a lower standard of care, and although there is a special rule for children but there is no special definition for children, because it is hard to determine whether the person is child and what age they leave childhood. As in </w:t>
      </w:r>
      <w:r w:rsidRPr="00EA3684">
        <w:rPr>
          <w:rFonts w:ascii="Arial" w:hAnsi="Arial" w:cs="Arial"/>
          <w:b/>
          <w:color w:val="000000" w:themeColor="text1"/>
        </w:rPr>
        <w:t xml:space="preserve">Mullin v Richard </w:t>
      </w:r>
      <w:r w:rsidR="00242E02" w:rsidRPr="00EA3684">
        <w:rPr>
          <w:rFonts w:ascii="Arial" w:hAnsi="Arial" w:cs="Arial"/>
          <w:b/>
          <w:color w:val="000000" w:themeColor="text1"/>
        </w:rPr>
        <w:t>1998</w:t>
      </w:r>
      <w:r w:rsidR="00242E02" w:rsidRPr="00EA3684">
        <w:rPr>
          <w:rFonts w:ascii="Arial" w:hAnsi="Arial" w:cs="Arial"/>
          <w:color w:val="000000" w:themeColor="text1"/>
        </w:rPr>
        <w:t xml:space="preserve">.and </w:t>
      </w:r>
      <w:r w:rsidR="00242E02" w:rsidRPr="00EA3684">
        <w:rPr>
          <w:rFonts w:ascii="Arial" w:hAnsi="Arial" w:cs="Arial"/>
          <w:b/>
          <w:color w:val="000000" w:themeColor="text1"/>
        </w:rPr>
        <w:t>Orchard v Lee 2009</w:t>
      </w:r>
      <w:r w:rsidR="00242E02" w:rsidRPr="00EA3684">
        <w:rPr>
          <w:rFonts w:ascii="Arial" w:hAnsi="Arial" w:cs="Arial"/>
          <w:color w:val="000000" w:themeColor="text1"/>
        </w:rPr>
        <w:t>.</w:t>
      </w:r>
    </w:p>
    <w:p w:rsidR="00465B13" w:rsidRPr="00EA3684" w:rsidRDefault="00242E02" w:rsidP="00F866F9">
      <w:pPr>
        <w:pStyle w:val="ListParagraph"/>
        <w:numPr>
          <w:ilvl w:val="0"/>
          <w:numId w:val="14"/>
        </w:numPr>
        <w:rPr>
          <w:rFonts w:ascii="Arial" w:hAnsi="Arial" w:cs="Arial"/>
          <w:color w:val="000000" w:themeColor="text1"/>
        </w:rPr>
      </w:pPr>
      <w:r w:rsidRPr="00EA3684">
        <w:rPr>
          <w:rFonts w:ascii="Arial" w:hAnsi="Arial" w:cs="Arial"/>
          <w:b/>
          <w:color w:val="000000" w:themeColor="text1"/>
        </w:rPr>
        <w:t>Public authorities</w:t>
      </w:r>
      <w:r w:rsidRPr="00EA3684">
        <w:rPr>
          <w:rFonts w:ascii="Arial" w:hAnsi="Arial" w:cs="Arial"/>
          <w:color w:val="000000" w:themeColor="text1"/>
        </w:rPr>
        <w:t xml:space="preserve">: </w:t>
      </w:r>
    </w:p>
    <w:p w:rsidR="00242E02" w:rsidRPr="00EA3684" w:rsidRDefault="00A778F5" w:rsidP="00C60C6A">
      <w:pPr>
        <w:pStyle w:val="ListParagraph"/>
        <w:rPr>
          <w:rFonts w:ascii="Arial" w:hAnsi="Arial" w:cs="Arial"/>
          <w:color w:val="000000" w:themeColor="text1"/>
        </w:rPr>
      </w:pPr>
      <w:r w:rsidRPr="00EA3684">
        <w:rPr>
          <w:rFonts w:ascii="Arial" w:hAnsi="Arial" w:cs="Arial"/>
          <w:color w:val="000000" w:themeColor="text1"/>
        </w:rPr>
        <w:t xml:space="preserve">Courts </w:t>
      </w:r>
      <w:r w:rsidR="003B453B" w:rsidRPr="00EA3684">
        <w:rPr>
          <w:rFonts w:ascii="Arial" w:hAnsi="Arial" w:cs="Arial"/>
          <w:color w:val="000000" w:themeColor="text1"/>
        </w:rPr>
        <w:t xml:space="preserve">may have some have sympathy for those who have limited resources, and usually </w:t>
      </w:r>
      <w:r w:rsidRPr="00EA3684">
        <w:rPr>
          <w:rFonts w:ascii="Arial" w:hAnsi="Arial" w:cs="Arial"/>
          <w:color w:val="000000" w:themeColor="text1"/>
        </w:rPr>
        <w:t xml:space="preserve">not take into consideration how much money the defendant has when determining if they have breached their duty of care. As in </w:t>
      </w:r>
      <w:r w:rsidRPr="00EA3684">
        <w:rPr>
          <w:rFonts w:ascii="Arial" w:hAnsi="Arial" w:cs="Arial"/>
          <w:b/>
          <w:color w:val="000000" w:themeColor="text1"/>
        </w:rPr>
        <w:t>Knight v Home Office 1990</w:t>
      </w:r>
      <w:r w:rsidRPr="00EA3684">
        <w:rPr>
          <w:rFonts w:ascii="Arial" w:hAnsi="Arial" w:cs="Arial"/>
          <w:color w:val="000000" w:themeColor="text1"/>
        </w:rPr>
        <w:t>.</w:t>
      </w:r>
    </w:p>
    <w:p w:rsidR="00021B45" w:rsidRPr="00EA3684" w:rsidRDefault="00021B45" w:rsidP="00021B45">
      <w:pPr>
        <w:rPr>
          <w:rFonts w:ascii="Arial" w:hAnsi="Arial" w:cs="Arial"/>
          <w:color w:val="000000" w:themeColor="text1"/>
          <w:sz w:val="24"/>
          <w:szCs w:val="24"/>
        </w:rPr>
      </w:pPr>
      <w:r w:rsidRPr="00EA3684">
        <w:rPr>
          <w:rFonts w:ascii="Arial" w:hAnsi="Arial" w:cs="Arial"/>
          <w:color w:val="000000" w:themeColor="text1"/>
          <w:sz w:val="24"/>
          <w:szCs w:val="24"/>
        </w:rPr>
        <w:t xml:space="preserve">In conclusion, one may argue that the current approach and in many cases is fair and flexible, </w:t>
      </w:r>
      <w:r w:rsidR="003B453B" w:rsidRPr="00EA3684">
        <w:rPr>
          <w:rFonts w:ascii="Arial" w:hAnsi="Arial" w:cs="Arial"/>
          <w:color w:val="000000" w:themeColor="text1"/>
          <w:sz w:val="24"/>
          <w:szCs w:val="24"/>
        </w:rPr>
        <w:t xml:space="preserve">while others may think that there is a degree of injustice as in </w:t>
      </w:r>
      <w:r w:rsidR="003B453B" w:rsidRPr="00EA3684">
        <w:rPr>
          <w:rFonts w:ascii="Arial" w:hAnsi="Arial" w:cs="Arial"/>
          <w:b/>
          <w:color w:val="000000" w:themeColor="text1"/>
          <w:sz w:val="24"/>
          <w:szCs w:val="24"/>
        </w:rPr>
        <w:t>Nettleship v Weston</w:t>
      </w:r>
      <w:r w:rsidR="003B453B" w:rsidRPr="00EA3684">
        <w:rPr>
          <w:rFonts w:ascii="Arial" w:hAnsi="Arial" w:cs="Arial"/>
          <w:color w:val="000000" w:themeColor="text1"/>
          <w:sz w:val="24"/>
          <w:szCs w:val="24"/>
        </w:rPr>
        <w:t xml:space="preserve"> and the lack of clarity in the 2015 Act.</w:t>
      </w:r>
    </w:p>
    <w:p w:rsidR="003B453B" w:rsidRPr="00EA3684" w:rsidRDefault="003B453B" w:rsidP="00021B45">
      <w:pPr>
        <w:rPr>
          <w:rFonts w:ascii="Arial" w:hAnsi="Arial" w:cs="Arial"/>
          <w:color w:val="000000" w:themeColor="text1"/>
          <w:sz w:val="24"/>
          <w:szCs w:val="24"/>
        </w:rPr>
      </w:pPr>
    </w:p>
    <w:p w:rsidR="00021B45" w:rsidRPr="00EA3684" w:rsidRDefault="00021B45" w:rsidP="00C60C6A">
      <w:pPr>
        <w:pStyle w:val="ListParagraph"/>
        <w:rPr>
          <w:rFonts w:ascii="Arial" w:hAnsi="Arial" w:cs="Arial"/>
          <w:color w:val="000000" w:themeColor="text1"/>
        </w:rPr>
      </w:pPr>
    </w:p>
    <w:p w:rsidR="006F6460" w:rsidRPr="00EA3684" w:rsidRDefault="006F6460" w:rsidP="008D0920">
      <w:pPr>
        <w:rPr>
          <w:rFonts w:ascii="Arial" w:hAnsi="Arial" w:cs="Arial"/>
          <w:sz w:val="24"/>
          <w:szCs w:val="24"/>
        </w:rPr>
      </w:pPr>
    </w:p>
    <w:p w:rsidR="006F6460" w:rsidRPr="00EA3684" w:rsidRDefault="006F6460" w:rsidP="008D0920">
      <w:pPr>
        <w:rPr>
          <w:rFonts w:ascii="Arial" w:hAnsi="Arial" w:cs="Arial"/>
          <w:sz w:val="24"/>
          <w:szCs w:val="24"/>
        </w:rPr>
      </w:pPr>
    </w:p>
    <w:p w:rsidR="00B138BF" w:rsidRPr="00EA3684" w:rsidRDefault="00B709BD" w:rsidP="003A7858">
      <w:pPr>
        <w:spacing w:after="0" w:line="240" w:lineRule="auto"/>
        <w:contextualSpacing/>
        <w:rPr>
          <w:rFonts w:ascii="Arial" w:hAnsi="Arial" w:cs="Arial"/>
          <w:b/>
          <w:iCs/>
          <w:color w:val="000000" w:themeColor="text1"/>
          <w:sz w:val="24"/>
          <w:szCs w:val="24"/>
          <w:u w:val="single"/>
        </w:rPr>
      </w:pPr>
      <w:r w:rsidRPr="00EA3684">
        <w:rPr>
          <w:rFonts w:ascii="Arial" w:hAnsi="Arial" w:cs="Arial"/>
          <w:b/>
          <w:iCs/>
          <w:color w:val="000000" w:themeColor="text1"/>
          <w:sz w:val="24"/>
          <w:szCs w:val="24"/>
          <w:u w:val="single"/>
        </w:rPr>
        <w:t>References</w:t>
      </w:r>
      <w:r w:rsidR="00021B45" w:rsidRPr="00EA3684">
        <w:rPr>
          <w:rFonts w:ascii="Arial" w:hAnsi="Arial" w:cs="Arial"/>
          <w:b/>
          <w:iCs/>
          <w:color w:val="000000" w:themeColor="text1"/>
          <w:sz w:val="24"/>
          <w:szCs w:val="24"/>
          <w:u w:val="single"/>
        </w:rPr>
        <w:t xml:space="preserve">: </w:t>
      </w:r>
    </w:p>
    <w:p w:rsidR="00021B45" w:rsidRPr="00EA3684" w:rsidRDefault="00021B45" w:rsidP="003A7858">
      <w:pPr>
        <w:spacing w:after="0" w:line="240" w:lineRule="auto"/>
        <w:contextualSpacing/>
        <w:rPr>
          <w:rFonts w:ascii="Arial" w:hAnsi="Arial" w:cs="Arial"/>
          <w:b/>
          <w:iCs/>
          <w:color w:val="000000" w:themeColor="text1"/>
          <w:sz w:val="24"/>
          <w:szCs w:val="24"/>
          <w:u w:val="single"/>
        </w:rPr>
      </w:pPr>
    </w:p>
    <w:p w:rsidR="006C4815" w:rsidRPr="00EA3684" w:rsidRDefault="00B138BF" w:rsidP="003A7858">
      <w:pPr>
        <w:spacing w:after="0" w:line="240" w:lineRule="auto"/>
        <w:contextualSpacing/>
        <w:rPr>
          <w:rFonts w:ascii="Arial" w:hAnsi="Arial" w:cs="Arial"/>
          <w:iCs/>
          <w:color w:val="000000" w:themeColor="text1"/>
          <w:sz w:val="24"/>
          <w:szCs w:val="24"/>
        </w:rPr>
      </w:pPr>
      <w:r w:rsidRPr="00EA3684">
        <w:rPr>
          <w:rFonts w:ascii="Arial" w:hAnsi="Arial" w:cs="Arial"/>
          <w:iCs/>
          <w:color w:val="000000" w:themeColor="text1"/>
          <w:sz w:val="24"/>
          <w:szCs w:val="24"/>
        </w:rPr>
        <w:t>E</w:t>
      </w:r>
      <w:r w:rsidR="006C4815" w:rsidRPr="00EA3684">
        <w:rPr>
          <w:rFonts w:ascii="Arial" w:hAnsi="Arial" w:cs="Arial"/>
          <w:iCs/>
          <w:color w:val="000000" w:themeColor="text1"/>
          <w:sz w:val="24"/>
          <w:szCs w:val="24"/>
        </w:rPr>
        <w:t>l</w:t>
      </w:r>
      <w:r w:rsidRPr="00EA3684">
        <w:rPr>
          <w:rFonts w:ascii="Arial" w:hAnsi="Arial" w:cs="Arial"/>
          <w:iCs/>
          <w:color w:val="000000" w:themeColor="text1"/>
          <w:sz w:val="24"/>
          <w:szCs w:val="24"/>
        </w:rPr>
        <w:t>lio</w:t>
      </w:r>
      <w:r w:rsidR="006C4815" w:rsidRPr="00EA3684">
        <w:rPr>
          <w:rFonts w:ascii="Arial" w:hAnsi="Arial" w:cs="Arial"/>
          <w:iCs/>
          <w:color w:val="000000" w:themeColor="text1"/>
          <w:sz w:val="24"/>
          <w:szCs w:val="24"/>
        </w:rPr>
        <w:t>t</w:t>
      </w:r>
      <w:r w:rsidRPr="00EA3684">
        <w:rPr>
          <w:rFonts w:ascii="Arial" w:hAnsi="Arial" w:cs="Arial"/>
          <w:iCs/>
          <w:color w:val="000000" w:themeColor="text1"/>
          <w:sz w:val="24"/>
          <w:szCs w:val="24"/>
        </w:rPr>
        <w:t>t and Quin</w:t>
      </w:r>
      <w:r w:rsidR="006C4815" w:rsidRPr="00EA3684">
        <w:rPr>
          <w:rFonts w:ascii="Arial" w:hAnsi="Arial" w:cs="Arial"/>
          <w:iCs/>
          <w:color w:val="000000" w:themeColor="text1"/>
          <w:sz w:val="24"/>
          <w:szCs w:val="24"/>
        </w:rPr>
        <w:t>n’s Tot Law PDF E Book 12</w:t>
      </w:r>
      <w:r w:rsidR="006C4815" w:rsidRPr="00EA3684">
        <w:rPr>
          <w:rFonts w:ascii="Arial" w:hAnsi="Arial" w:cs="Arial"/>
          <w:iCs/>
          <w:color w:val="000000" w:themeColor="text1"/>
          <w:sz w:val="24"/>
          <w:szCs w:val="24"/>
          <w:vertAlign w:val="superscript"/>
        </w:rPr>
        <w:t>th</w:t>
      </w:r>
      <w:r w:rsidR="006C4815" w:rsidRPr="00EA3684">
        <w:rPr>
          <w:rFonts w:ascii="Arial" w:hAnsi="Arial" w:cs="Arial"/>
          <w:iCs/>
          <w:color w:val="000000" w:themeColor="text1"/>
          <w:sz w:val="24"/>
          <w:szCs w:val="24"/>
        </w:rPr>
        <w:t>. Edition, Francis Quinn, Pearson education 2019, Page 35.</w:t>
      </w:r>
    </w:p>
    <w:p w:rsidR="00C23A0D" w:rsidRPr="00EA3684" w:rsidRDefault="00C23A0D" w:rsidP="003A7858">
      <w:pPr>
        <w:spacing w:after="0" w:line="240" w:lineRule="auto"/>
        <w:contextualSpacing/>
        <w:rPr>
          <w:rFonts w:ascii="Arial" w:hAnsi="Arial" w:cs="Arial"/>
          <w:iCs/>
          <w:color w:val="000000" w:themeColor="text1"/>
          <w:sz w:val="24"/>
          <w:szCs w:val="24"/>
        </w:rPr>
      </w:pPr>
      <w:r w:rsidRPr="00EA3684">
        <w:rPr>
          <w:rFonts w:ascii="Arial" w:hAnsi="Arial" w:cs="Arial"/>
          <w:iCs/>
          <w:color w:val="000000" w:themeColor="text1"/>
          <w:sz w:val="24"/>
          <w:szCs w:val="24"/>
        </w:rPr>
        <w:t>Elliott and Quinn’s Tot Law PDF E Book 12</w:t>
      </w:r>
      <w:r w:rsidRPr="00EA3684">
        <w:rPr>
          <w:rFonts w:ascii="Arial" w:hAnsi="Arial" w:cs="Arial"/>
          <w:iCs/>
          <w:color w:val="000000" w:themeColor="text1"/>
          <w:sz w:val="24"/>
          <w:szCs w:val="24"/>
          <w:vertAlign w:val="superscript"/>
        </w:rPr>
        <w:t>th</w:t>
      </w:r>
      <w:r w:rsidRPr="00EA3684">
        <w:rPr>
          <w:rFonts w:ascii="Arial" w:hAnsi="Arial" w:cs="Arial"/>
          <w:iCs/>
          <w:color w:val="000000" w:themeColor="text1"/>
          <w:sz w:val="24"/>
          <w:szCs w:val="24"/>
        </w:rPr>
        <w:t>. Edition, Francis Quinn, Pearson education 2019, Page 37</w:t>
      </w:r>
    </w:p>
    <w:p w:rsidR="00BE3E61" w:rsidRPr="00EA3684" w:rsidRDefault="00BE3E61" w:rsidP="003A7858">
      <w:pPr>
        <w:spacing w:after="0" w:line="240" w:lineRule="auto"/>
        <w:contextualSpacing/>
        <w:rPr>
          <w:rFonts w:ascii="Arial" w:hAnsi="Arial" w:cs="Arial"/>
          <w:sz w:val="24"/>
          <w:szCs w:val="24"/>
        </w:rPr>
      </w:pPr>
      <w:r w:rsidRPr="00EA3684">
        <w:rPr>
          <w:rFonts w:ascii="Arial" w:hAnsi="Arial" w:cs="Arial"/>
          <w:sz w:val="24"/>
          <w:szCs w:val="24"/>
        </w:rPr>
        <w:t>John Cooke 2018</w:t>
      </w:r>
      <w:r w:rsidR="009A3F2E" w:rsidRPr="00EA3684">
        <w:rPr>
          <w:rFonts w:ascii="Arial" w:hAnsi="Arial" w:cs="Arial"/>
          <w:sz w:val="24"/>
          <w:szCs w:val="24"/>
        </w:rPr>
        <w:t xml:space="preserve"> Tort law: texts, cases and materials 14</w:t>
      </w:r>
      <w:r w:rsidR="009A3F2E" w:rsidRPr="00EA3684">
        <w:rPr>
          <w:rFonts w:ascii="Arial" w:hAnsi="Arial" w:cs="Arial"/>
          <w:sz w:val="24"/>
          <w:szCs w:val="24"/>
          <w:vertAlign w:val="superscript"/>
        </w:rPr>
        <w:t>th</w:t>
      </w:r>
      <w:r w:rsidR="009A3F2E" w:rsidRPr="00EA3684">
        <w:rPr>
          <w:rFonts w:ascii="Arial" w:hAnsi="Arial" w:cs="Arial"/>
          <w:sz w:val="24"/>
          <w:szCs w:val="24"/>
        </w:rPr>
        <w:t>. Edition</w:t>
      </w:r>
    </w:p>
    <w:p w:rsidR="00BC1D88" w:rsidRPr="00EA3684" w:rsidRDefault="00BC1D88" w:rsidP="00BC1D88">
      <w:pPr>
        <w:spacing w:after="0" w:line="240" w:lineRule="auto"/>
        <w:contextualSpacing/>
        <w:rPr>
          <w:rFonts w:ascii="Arial" w:hAnsi="Arial" w:cs="Arial"/>
          <w:iCs/>
          <w:color w:val="000000" w:themeColor="text1"/>
          <w:sz w:val="24"/>
          <w:szCs w:val="24"/>
        </w:rPr>
      </w:pPr>
      <w:r w:rsidRPr="00EA3684">
        <w:rPr>
          <w:rFonts w:ascii="Arial" w:hAnsi="Arial" w:cs="Arial"/>
          <w:iCs/>
          <w:color w:val="000000" w:themeColor="text1"/>
          <w:sz w:val="24"/>
          <w:szCs w:val="24"/>
        </w:rPr>
        <w:t xml:space="preserve">Tort law by </w:t>
      </w:r>
      <w:r w:rsidRPr="00EA3684">
        <w:rPr>
          <w:rFonts w:ascii="Arial" w:hAnsi="Arial" w:cs="Arial"/>
          <w:iCs/>
          <w:color w:val="000000" w:themeColor="text1"/>
          <w:sz w:val="24"/>
          <w:szCs w:val="24"/>
        </w:rPr>
        <w:t>Carol Brannen (law teacher) Birmingham Vera Directions 2010 7</w:t>
      </w:r>
      <w:r w:rsidRPr="00EA3684">
        <w:rPr>
          <w:rFonts w:ascii="Arial" w:hAnsi="Arial" w:cs="Arial"/>
          <w:iCs/>
          <w:color w:val="000000" w:themeColor="text1"/>
          <w:sz w:val="24"/>
          <w:szCs w:val="24"/>
          <w:vertAlign w:val="superscript"/>
        </w:rPr>
        <w:t>th</w:t>
      </w:r>
      <w:r w:rsidRPr="00EA3684">
        <w:rPr>
          <w:rFonts w:ascii="Arial" w:hAnsi="Arial" w:cs="Arial"/>
          <w:iCs/>
          <w:color w:val="000000" w:themeColor="text1"/>
          <w:sz w:val="24"/>
          <w:szCs w:val="24"/>
        </w:rPr>
        <w:t xml:space="preserve">. Edition </w:t>
      </w:r>
    </w:p>
    <w:p w:rsidR="00BC1D88" w:rsidRPr="00EA3684" w:rsidRDefault="00BC1D88" w:rsidP="00BC1D88">
      <w:pPr>
        <w:spacing w:after="0" w:line="240" w:lineRule="auto"/>
        <w:contextualSpacing/>
        <w:rPr>
          <w:rFonts w:ascii="Arial" w:hAnsi="Arial" w:cs="Arial"/>
          <w:iCs/>
          <w:color w:val="000000" w:themeColor="text1"/>
          <w:sz w:val="24"/>
          <w:szCs w:val="24"/>
        </w:rPr>
      </w:pPr>
      <w:r w:rsidRPr="00EA3684">
        <w:rPr>
          <w:rFonts w:ascii="Arial" w:hAnsi="Arial" w:cs="Arial"/>
          <w:iCs/>
          <w:color w:val="000000" w:themeColor="text1"/>
          <w:sz w:val="24"/>
          <w:szCs w:val="24"/>
        </w:rPr>
        <w:t xml:space="preserve">Tort law by Emil Finch and Stefan </w:t>
      </w:r>
      <w:proofErr w:type="spellStart"/>
      <w:r w:rsidRPr="00EA3684">
        <w:rPr>
          <w:rFonts w:ascii="Arial" w:hAnsi="Arial" w:cs="Arial"/>
          <w:iCs/>
          <w:color w:val="000000" w:themeColor="text1"/>
          <w:sz w:val="24"/>
          <w:szCs w:val="24"/>
        </w:rPr>
        <w:t>Fafinski</w:t>
      </w:r>
      <w:proofErr w:type="spellEnd"/>
      <w:r w:rsidRPr="00EA3684">
        <w:rPr>
          <w:rFonts w:ascii="Arial" w:hAnsi="Arial" w:cs="Arial"/>
          <w:iCs/>
          <w:color w:val="000000" w:themeColor="text1"/>
          <w:sz w:val="24"/>
          <w:szCs w:val="24"/>
        </w:rPr>
        <w:t xml:space="preserve"> – Law express, 2021 8</w:t>
      </w:r>
      <w:r w:rsidRPr="00EA3684">
        <w:rPr>
          <w:rFonts w:ascii="Arial" w:hAnsi="Arial" w:cs="Arial"/>
          <w:iCs/>
          <w:color w:val="000000" w:themeColor="text1"/>
          <w:sz w:val="24"/>
          <w:szCs w:val="24"/>
          <w:vertAlign w:val="superscript"/>
        </w:rPr>
        <w:t>th</w:t>
      </w:r>
      <w:r w:rsidRPr="00EA3684">
        <w:rPr>
          <w:rFonts w:ascii="Arial" w:hAnsi="Arial" w:cs="Arial"/>
          <w:iCs/>
          <w:color w:val="000000" w:themeColor="text1"/>
          <w:sz w:val="24"/>
          <w:szCs w:val="24"/>
        </w:rPr>
        <w:t>. Edition</w:t>
      </w:r>
    </w:p>
    <w:p w:rsidR="00C23A0D" w:rsidRPr="00EA3684" w:rsidRDefault="00BC1D88" w:rsidP="003A7858">
      <w:pPr>
        <w:spacing w:after="0" w:line="240" w:lineRule="auto"/>
        <w:contextualSpacing/>
        <w:rPr>
          <w:rFonts w:ascii="Arial" w:hAnsi="Arial" w:cs="Arial"/>
          <w:iCs/>
          <w:color w:val="000000" w:themeColor="text1"/>
          <w:sz w:val="24"/>
          <w:szCs w:val="24"/>
        </w:rPr>
      </w:pPr>
      <w:r w:rsidRPr="00EA3684">
        <w:rPr>
          <w:rFonts w:ascii="Arial" w:hAnsi="Arial" w:cs="Arial"/>
          <w:iCs/>
          <w:color w:val="000000" w:themeColor="text1"/>
          <w:sz w:val="24"/>
          <w:szCs w:val="24"/>
        </w:rPr>
        <w:t>Tort law by Kirsty Horsey and Erika Rackley 7</w:t>
      </w:r>
      <w:r w:rsidRPr="00EA3684">
        <w:rPr>
          <w:rFonts w:ascii="Arial" w:hAnsi="Arial" w:cs="Arial"/>
          <w:iCs/>
          <w:color w:val="000000" w:themeColor="text1"/>
          <w:sz w:val="24"/>
          <w:szCs w:val="24"/>
          <w:vertAlign w:val="superscript"/>
        </w:rPr>
        <w:t>th</w:t>
      </w:r>
      <w:r w:rsidRPr="00EA3684">
        <w:rPr>
          <w:rFonts w:ascii="Arial" w:hAnsi="Arial" w:cs="Arial"/>
          <w:iCs/>
          <w:color w:val="000000" w:themeColor="text1"/>
          <w:sz w:val="24"/>
          <w:szCs w:val="24"/>
        </w:rPr>
        <w:t>.</w:t>
      </w:r>
    </w:p>
    <w:p w:rsidR="00682ECC" w:rsidRPr="00EA3684" w:rsidRDefault="00C409BB" w:rsidP="003A7858">
      <w:pPr>
        <w:spacing w:after="0" w:line="240" w:lineRule="auto"/>
        <w:contextualSpacing/>
        <w:rPr>
          <w:rFonts w:ascii="Arial" w:hAnsi="Arial" w:cs="Arial"/>
          <w:iCs/>
          <w:color w:val="000000" w:themeColor="text1"/>
          <w:sz w:val="24"/>
          <w:szCs w:val="24"/>
        </w:rPr>
      </w:pPr>
      <w:r w:rsidRPr="00EA3684">
        <w:rPr>
          <w:rFonts w:ascii="Arial" w:hAnsi="Arial" w:cs="Arial"/>
          <w:iCs/>
          <w:color w:val="000000" w:themeColor="text1"/>
          <w:sz w:val="24"/>
          <w:szCs w:val="24"/>
        </w:rPr>
        <w:t xml:space="preserve">J Lowe </w:t>
      </w:r>
      <w:r w:rsidR="00682ECC" w:rsidRPr="00EA3684">
        <w:rPr>
          <w:rFonts w:ascii="Arial" w:hAnsi="Arial" w:cs="Arial"/>
          <w:iCs/>
          <w:color w:val="000000" w:themeColor="text1"/>
          <w:sz w:val="24"/>
          <w:szCs w:val="24"/>
        </w:rPr>
        <w:t xml:space="preserve">The Cost of Compensation Culture (2002) </w:t>
      </w:r>
    </w:p>
    <w:p w:rsidR="00C409BB" w:rsidRDefault="00682ECC" w:rsidP="00682ECC">
      <w:pPr>
        <w:spacing w:after="0" w:line="240" w:lineRule="auto"/>
        <w:contextualSpacing/>
        <w:rPr>
          <w:rFonts w:ascii="Arial" w:hAnsi="Arial" w:cs="Arial"/>
          <w:iCs/>
          <w:color w:val="000000" w:themeColor="text1"/>
          <w:sz w:val="24"/>
          <w:szCs w:val="24"/>
        </w:rPr>
      </w:pPr>
      <w:hyperlink r:id="rId7" w:history="1">
        <w:r w:rsidRPr="00EA3684">
          <w:rPr>
            <w:rStyle w:val="Hyperlink"/>
            <w:rFonts w:ascii="Arial" w:hAnsi="Arial" w:cs="Arial"/>
            <w:iCs/>
            <w:sz w:val="24"/>
            <w:szCs w:val="24"/>
          </w:rPr>
          <w:t>www.actuaries.org.uk/research-and-resources/documents/cost-compensation-culture-working-party-report</w:t>
        </w:r>
      </w:hyperlink>
      <w:r w:rsidRPr="00EA3684">
        <w:rPr>
          <w:rFonts w:ascii="Arial" w:hAnsi="Arial" w:cs="Arial"/>
          <w:iCs/>
          <w:color w:val="000000" w:themeColor="text1"/>
          <w:sz w:val="24"/>
          <w:szCs w:val="24"/>
        </w:rPr>
        <w:t xml:space="preserve">. </w:t>
      </w:r>
    </w:p>
    <w:p w:rsidR="00D16683" w:rsidRDefault="00D16683" w:rsidP="00682ECC">
      <w:pPr>
        <w:spacing w:after="0" w:line="240" w:lineRule="auto"/>
        <w:contextualSpacing/>
        <w:rPr>
          <w:rFonts w:ascii="Arial" w:hAnsi="Arial" w:cs="Arial"/>
          <w:iCs/>
          <w:color w:val="000000" w:themeColor="text1"/>
          <w:sz w:val="24"/>
          <w:szCs w:val="24"/>
        </w:rPr>
      </w:pPr>
      <w:hyperlink r:id="rId8" w:history="1">
        <w:r w:rsidRPr="00275653">
          <w:rPr>
            <w:rStyle w:val="Hyperlink"/>
            <w:rFonts w:ascii="Arial" w:hAnsi="Arial" w:cs="Arial"/>
            <w:iCs/>
            <w:sz w:val="24"/>
            <w:szCs w:val="24"/>
          </w:rPr>
          <w:t>www.cloister.com</w:t>
        </w:r>
      </w:hyperlink>
    </w:p>
    <w:p w:rsidR="008F7CF8" w:rsidRDefault="00D16683" w:rsidP="00682ECC">
      <w:pPr>
        <w:spacing w:after="0" w:line="240" w:lineRule="auto"/>
        <w:contextualSpacing/>
        <w:rPr>
          <w:rFonts w:ascii="Arial" w:hAnsi="Arial" w:cs="Arial"/>
          <w:iCs/>
          <w:color w:val="000000" w:themeColor="text1"/>
          <w:sz w:val="24"/>
          <w:szCs w:val="24"/>
        </w:rPr>
      </w:pPr>
      <w:hyperlink r:id="rId9" w:history="1">
        <w:r w:rsidRPr="00275653">
          <w:rPr>
            <w:rStyle w:val="Hyperlink"/>
            <w:rFonts w:ascii="Arial" w:hAnsi="Arial" w:cs="Arial"/>
            <w:iCs/>
            <w:sz w:val="24"/>
            <w:szCs w:val="24"/>
          </w:rPr>
          <w:t>www.onlinelibrary.wiley.com</w:t>
        </w:r>
      </w:hyperlink>
    </w:p>
    <w:p w:rsidR="00D16683" w:rsidRPr="00EA3684" w:rsidRDefault="00D16683" w:rsidP="00682ECC">
      <w:pPr>
        <w:spacing w:after="0" w:line="240" w:lineRule="auto"/>
        <w:contextualSpacing/>
        <w:rPr>
          <w:rFonts w:ascii="Arial" w:hAnsi="Arial" w:cs="Arial"/>
          <w:iCs/>
          <w:color w:val="000000" w:themeColor="text1"/>
          <w:sz w:val="24"/>
          <w:szCs w:val="24"/>
        </w:rPr>
      </w:pPr>
    </w:p>
    <w:p w:rsidR="00C409BB" w:rsidRDefault="00C409BB" w:rsidP="003A7858">
      <w:pPr>
        <w:spacing w:after="0" w:line="240" w:lineRule="auto"/>
        <w:contextualSpacing/>
        <w:rPr>
          <w:rFonts w:ascii="Arial" w:hAnsi="Arial" w:cs="Arial"/>
          <w:iCs/>
          <w:color w:val="000000" w:themeColor="text1"/>
          <w:sz w:val="24"/>
          <w:szCs w:val="24"/>
        </w:rPr>
      </w:pPr>
    </w:p>
    <w:p w:rsidR="00C409BB" w:rsidRDefault="00C409BB" w:rsidP="003A7858">
      <w:pPr>
        <w:spacing w:after="0" w:line="240" w:lineRule="auto"/>
        <w:contextualSpacing/>
        <w:rPr>
          <w:rFonts w:ascii="Arial" w:hAnsi="Arial" w:cs="Arial"/>
          <w:iCs/>
          <w:color w:val="000000" w:themeColor="text1"/>
          <w:sz w:val="24"/>
          <w:szCs w:val="24"/>
        </w:rPr>
      </w:pPr>
    </w:p>
    <w:p w:rsidR="00C409BB" w:rsidRDefault="00C409BB" w:rsidP="003A7858">
      <w:pPr>
        <w:spacing w:after="0" w:line="240" w:lineRule="auto"/>
        <w:contextualSpacing/>
        <w:rPr>
          <w:rFonts w:ascii="Arial" w:hAnsi="Arial" w:cs="Arial"/>
          <w:iCs/>
          <w:color w:val="000000" w:themeColor="text1"/>
          <w:sz w:val="24"/>
          <w:szCs w:val="24"/>
        </w:rPr>
      </w:pPr>
    </w:p>
    <w:p w:rsidR="00C409BB" w:rsidRPr="00B138BF" w:rsidRDefault="00C409BB" w:rsidP="003A7858">
      <w:pPr>
        <w:spacing w:after="0" w:line="240" w:lineRule="auto"/>
        <w:contextualSpacing/>
        <w:rPr>
          <w:rFonts w:ascii="Arial" w:hAnsi="Arial" w:cs="Arial"/>
          <w:iCs/>
          <w:color w:val="000000" w:themeColor="text1"/>
          <w:sz w:val="24"/>
          <w:szCs w:val="24"/>
        </w:rPr>
      </w:pPr>
    </w:p>
    <w:sectPr w:rsidR="00C409BB" w:rsidRPr="00B138B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4328F" w:rsidRDefault="00A4328F" w:rsidP="00155097">
      <w:pPr>
        <w:spacing w:after="0" w:line="240" w:lineRule="auto"/>
      </w:pPr>
      <w:r>
        <w:separator/>
      </w:r>
    </w:p>
  </w:endnote>
  <w:endnote w:type="continuationSeparator" w:id="0">
    <w:p w:rsidR="00A4328F" w:rsidRDefault="00A4328F" w:rsidP="001550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4328F" w:rsidRDefault="00A4328F" w:rsidP="00155097">
      <w:pPr>
        <w:spacing w:after="0" w:line="240" w:lineRule="auto"/>
      </w:pPr>
      <w:r>
        <w:separator/>
      </w:r>
    </w:p>
  </w:footnote>
  <w:footnote w:type="continuationSeparator" w:id="0">
    <w:p w:rsidR="00A4328F" w:rsidRDefault="00A4328F" w:rsidP="001550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86D61A17A769498F8C2AC62849B9AC85"/>
      </w:placeholder>
      <w:temporary/>
      <w:showingPlcHdr/>
      <w15:appearance w15:val="hidden"/>
    </w:sdtPr>
    <w:sdtContent>
      <w:p w:rsidR="00021B45" w:rsidRDefault="00021B45">
        <w:pPr>
          <w:pStyle w:val="Header"/>
        </w:pPr>
        <w:r>
          <w:t>[Type here]</w:t>
        </w:r>
      </w:p>
    </w:sdtContent>
  </w:sdt>
  <w:p w:rsidR="00021B45" w:rsidRDefault="00021B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00000006"/>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00000007"/>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00000008"/>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000000A"/>
    <w:multiLevelType w:val="hybridMultilevel"/>
    <w:tmpl w:val="0000000A"/>
    <w:lvl w:ilvl="0" w:tplc="00000385">
      <w:start w:val="4"/>
      <w:numFmt w:val="lowerLetter"/>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0000000E"/>
    <w:multiLevelType w:val="hybridMultilevel"/>
    <w:tmpl w:val="0000000E"/>
    <w:lvl w:ilvl="0" w:tplc="0000051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10ED18FC"/>
    <w:multiLevelType w:val="hybridMultilevel"/>
    <w:tmpl w:val="1DEADD6A"/>
    <w:lvl w:ilvl="0" w:tplc="04FEFF5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EA0670"/>
    <w:multiLevelType w:val="hybridMultilevel"/>
    <w:tmpl w:val="D3EA61FE"/>
    <w:lvl w:ilvl="0" w:tplc="7BC4973C">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4F47A1"/>
    <w:multiLevelType w:val="hybridMultilevel"/>
    <w:tmpl w:val="B01A5EEE"/>
    <w:lvl w:ilvl="0" w:tplc="FDCAD0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215188A"/>
    <w:multiLevelType w:val="hybridMultilevel"/>
    <w:tmpl w:val="5AB8BF1A"/>
    <w:lvl w:ilvl="0" w:tplc="7BC4973C">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0"/>
  </w:num>
  <w:num w:numId="4">
    <w:abstractNumId w:val="1"/>
  </w:num>
  <w:num w:numId="5">
    <w:abstractNumId w:val="2"/>
  </w:num>
  <w:num w:numId="6">
    <w:abstractNumId w:val="12"/>
  </w:num>
  <w:num w:numId="7">
    <w:abstractNumId w:val="3"/>
  </w:num>
  <w:num w:numId="8">
    <w:abstractNumId w:val="4"/>
  </w:num>
  <w:num w:numId="9">
    <w:abstractNumId w:val="5"/>
  </w:num>
  <w:num w:numId="10">
    <w:abstractNumId w:val="6"/>
  </w:num>
  <w:num w:numId="11">
    <w:abstractNumId w:val="7"/>
  </w:num>
  <w:num w:numId="12">
    <w:abstractNumId w:val="8"/>
  </w:num>
  <w:num w:numId="13">
    <w:abstractNumId w:val="9"/>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085"/>
    <w:rsid w:val="00021B45"/>
    <w:rsid w:val="000D0615"/>
    <w:rsid w:val="000D1F26"/>
    <w:rsid w:val="000E2359"/>
    <w:rsid w:val="00126630"/>
    <w:rsid w:val="00155097"/>
    <w:rsid w:val="00180291"/>
    <w:rsid w:val="001F108C"/>
    <w:rsid w:val="00231833"/>
    <w:rsid w:val="00242E02"/>
    <w:rsid w:val="002801FC"/>
    <w:rsid w:val="0029092D"/>
    <w:rsid w:val="002D3D84"/>
    <w:rsid w:val="002F7334"/>
    <w:rsid w:val="003703C1"/>
    <w:rsid w:val="00381C87"/>
    <w:rsid w:val="00391ED1"/>
    <w:rsid w:val="003970CE"/>
    <w:rsid w:val="003A7858"/>
    <w:rsid w:val="003B453B"/>
    <w:rsid w:val="003E726A"/>
    <w:rsid w:val="00422AE4"/>
    <w:rsid w:val="00427F6D"/>
    <w:rsid w:val="00465B13"/>
    <w:rsid w:val="004F5130"/>
    <w:rsid w:val="005015FE"/>
    <w:rsid w:val="005838B5"/>
    <w:rsid w:val="0058684B"/>
    <w:rsid w:val="005D3438"/>
    <w:rsid w:val="005F27CD"/>
    <w:rsid w:val="00682ECC"/>
    <w:rsid w:val="006A6CFF"/>
    <w:rsid w:val="006C4815"/>
    <w:rsid w:val="006E63F2"/>
    <w:rsid w:val="006F6460"/>
    <w:rsid w:val="007B6C68"/>
    <w:rsid w:val="00826F75"/>
    <w:rsid w:val="00883427"/>
    <w:rsid w:val="008C7BF8"/>
    <w:rsid w:val="008D0920"/>
    <w:rsid w:val="008F7CF8"/>
    <w:rsid w:val="009022D8"/>
    <w:rsid w:val="00910A20"/>
    <w:rsid w:val="00912BA6"/>
    <w:rsid w:val="00927F44"/>
    <w:rsid w:val="00950F52"/>
    <w:rsid w:val="00962EFD"/>
    <w:rsid w:val="00996B08"/>
    <w:rsid w:val="009A3F2E"/>
    <w:rsid w:val="00A42728"/>
    <w:rsid w:val="00A4328F"/>
    <w:rsid w:val="00A778F5"/>
    <w:rsid w:val="00AC222B"/>
    <w:rsid w:val="00AE2BA1"/>
    <w:rsid w:val="00B138BF"/>
    <w:rsid w:val="00B211C5"/>
    <w:rsid w:val="00B2537E"/>
    <w:rsid w:val="00B270B8"/>
    <w:rsid w:val="00B57458"/>
    <w:rsid w:val="00B611F0"/>
    <w:rsid w:val="00B709BD"/>
    <w:rsid w:val="00B76DF9"/>
    <w:rsid w:val="00B9080F"/>
    <w:rsid w:val="00BC1D88"/>
    <w:rsid w:val="00BE3E61"/>
    <w:rsid w:val="00C23A0D"/>
    <w:rsid w:val="00C409BB"/>
    <w:rsid w:val="00C60C6A"/>
    <w:rsid w:val="00C72706"/>
    <w:rsid w:val="00CA7DC5"/>
    <w:rsid w:val="00CC38D6"/>
    <w:rsid w:val="00D16683"/>
    <w:rsid w:val="00D74F34"/>
    <w:rsid w:val="00E47085"/>
    <w:rsid w:val="00E95B8D"/>
    <w:rsid w:val="00EA3684"/>
    <w:rsid w:val="00EB4450"/>
    <w:rsid w:val="00F3023C"/>
    <w:rsid w:val="00F31E18"/>
    <w:rsid w:val="00F866F9"/>
    <w:rsid w:val="00F92815"/>
    <w:rsid w:val="00FA700A"/>
    <w:rsid w:val="00FA7498"/>
    <w:rsid w:val="00FC2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30F846"/>
  <w15:chartTrackingRefBased/>
  <w15:docId w15:val="{DBBA9C28-528D-4269-BAFA-EFA4A1072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5097"/>
    <w:pPr>
      <w:spacing w:after="0" w:line="240" w:lineRule="auto"/>
      <w:ind w:left="720"/>
      <w:contextualSpacing/>
    </w:pPr>
    <w:rPr>
      <w:sz w:val="24"/>
      <w:szCs w:val="24"/>
    </w:rPr>
  </w:style>
  <w:style w:type="paragraph" w:styleId="FootnoteText">
    <w:name w:val="footnote text"/>
    <w:basedOn w:val="Normal"/>
    <w:link w:val="FootnoteTextChar"/>
    <w:uiPriority w:val="99"/>
    <w:semiHidden/>
    <w:unhideWhenUsed/>
    <w:rsid w:val="0015509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55097"/>
    <w:rPr>
      <w:sz w:val="20"/>
      <w:szCs w:val="20"/>
    </w:rPr>
  </w:style>
  <w:style w:type="character" w:styleId="FootnoteReference">
    <w:name w:val="footnote reference"/>
    <w:basedOn w:val="DefaultParagraphFont"/>
    <w:uiPriority w:val="99"/>
    <w:semiHidden/>
    <w:unhideWhenUsed/>
    <w:rsid w:val="00155097"/>
    <w:rPr>
      <w:vertAlign w:val="superscript"/>
    </w:rPr>
  </w:style>
  <w:style w:type="character" w:styleId="Hyperlink">
    <w:name w:val="Hyperlink"/>
    <w:basedOn w:val="DefaultParagraphFont"/>
    <w:uiPriority w:val="99"/>
    <w:unhideWhenUsed/>
    <w:rsid w:val="00CC38D6"/>
    <w:rPr>
      <w:color w:val="0000FF"/>
      <w:u w:val="single"/>
    </w:rPr>
  </w:style>
  <w:style w:type="paragraph" w:styleId="Header">
    <w:name w:val="header"/>
    <w:basedOn w:val="Normal"/>
    <w:link w:val="HeaderChar"/>
    <w:uiPriority w:val="99"/>
    <w:unhideWhenUsed/>
    <w:rsid w:val="00021B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B45"/>
  </w:style>
  <w:style w:type="paragraph" w:styleId="Footer">
    <w:name w:val="footer"/>
    <w:basedOn w:val="Normal"/>
    <w:link w:val="FooterChar"/>
    <w:uiPriority w:val="99"/>
    <w:unhideWhenUsed/>
    <w:rsid w:val="00021B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B45"/>
  </w:style>
  <w:style w:type="character" w:styleId="UnresolvedMention">
    <w:name w:val="Unresolved Mention"/>
    <w:basedOn w:val="DefaultParagraphFont"/>
    <w:uiPriority w:val="99"/>
    <w:semiHidden/>
    <w:unhideWhenUsed/>
    <w:rsid w:val="00682E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loister.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actuaries.org.uk/research-and-resources/documents/cost-compensation-culture-working-party-report"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onlinelibrary.wiley.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6D61A17A769498F8C2AC62849B9AC85"/>
        <w:category>
          <w:name w:val="General"/>
          <w:gallery w:val="placeholder"/>
        </w:category>
        <w:types>
          <w:type w:val="bbPlcHdr"/>
        </w:types>
        <w:behaviors>
          <w:behavior w:val="content"/>
        </w:behaviors>
        <w:guid w:val="{376139DE-28D8-4249-88EF-05031D6E130B}"/>
      </w:docPartPr>
      <w:docPartBody>
        <w:p w:rsidR="00000000" w:rsidRDefault="00C0137E" w:rsidP="00C0137E">
          <w:pPr>
            <w:pStyle w:val="86D61A17A769498F8C2AC62849B9AC85"/>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37E"/>
    <w:rsid w:val="002A3CF7"/>
    <w:rsid w:val="00C01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580C279527491E8B5C1D32F8B9790F">
    <w:name w:val="8B580C279527491E8B5C1D32F8B9790F"/>
    <w:rsid w:val="00C0137E"/>
  </w:style>
  <w:style w:type="paragraph" w:customStyle="1" w:styleId="86D61A17A769498F8C2AC62849B9AC85">
    <w:name w:val="86D61A17A769498F8C2AC62849B9AC85"/>
    <w:rsid w:val="00C013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1255</TotalTime>
  <Pages>6</Pages>
  <Words>2210</Words>
  <Characters>12601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5</cp:revision>
  <dcterms:created xsi:type="dcterms:W3CDTF">2021-10-28T17:06:00Z</dcterms:created>
  <dcterms:modified xsi:type="dcterms:W3CDTF">2021-11-12T15:30:00Z</dcterms:modified>
</cp:coreProperties>
</file>