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F3C04" w14:textId="77777777" w:rsidR="00151CBF" w:rsidRDefault="00151CBF">
      <w:pPr>
        <w:spacing w:after="480"/>
      </w:pPr>
    </w:p>
    <w:p w14:paraId="562E2418" w14:textId="77777777" w:rsidR="00151CBF" w:rsidRDefault="00000000">
      <w:pPr>
        <w:spacing w:after="160"/>
        <w:jc w:val="center"/>
      </w:pPr>
      <w:r>
        <w:rPr>
          <w:b/>
          <w:bCs/>
          <w:sz w:val="28"/>
          <w:szCs w:val="28"/>
        </w:rPr>
        <w:t>Emily Brown</w:t>
      </w:r>
    </w:p>
    <w:p w14:paraId="432B80DD" w14:textId="77777777" w:rsidR="00151CBF" w:rsidRDefault="00000000">
      <w:pPr>
        <w:spacing w:after="160"/>
        <w:jc w:val="center"/>
      </w:pPr>
      <w:r>
        <w:rPr>
          <w:sz w:val="26"/>
          <w:szCs w:val="26"/>
        </w:rPr>
        <w:t>Academic Skills – Assignment 1</w:t>
      </w:r>
    </w:p>
    <w:p w14:paraId="76FB7772" w14:textId="77777777" w:rsidR="00151CBF" w:rsidRDefault="00151CBF">
      <w:pPr>
        <w:spacing w:after="320"/>
      </w:pPr>
    </w:p>
    <w:p w14:paraId="28225676" w14:textId="77777777" w:rsidR="00151CBF" w:rsidRDefault="00000000">
      <w:pPr>
        <w:spacing w:after="480"/>
        <w:jc w:val="center"/>
      </w:pPr>
      <w:r>
        <w:rPr>
          <w:b/>
          <w:bCs/>
          <w:sz w:val="28"/>
          <w:szCs w:val="28"/>
        </w:rPr>
        <w:t>The Role of Archaeology in Understanding Celtic Religion</w:t>
      </w:r>
    </w:p>
    <w:p w14:paraId="485BC50F" w14:textId="77777777" w:rsidR="00151CBF" w:rsidRDefault="00000000">
      <w:pPr>
        <w:pBdr>
          <w:bottom w:val="single" w:sz="6" w:space="4" w:color="2E4057"/>
        </w:pBdr>
        <w:spacing w:before="400" w:after="240"/>
      </w:pPr>
      <w:r>
        <w:rPr>
          <w:b/>
          <w:bCs/>
          <w:caps/>
          <w:sz w:val="24"/>
          <w:szCs w:val="24"/>
        </w:rPr>
        <w:t>Footnote Format (MHRA Style)</w:t>
      </w:r>
    </w:p>
    <w:p w14:paraId="03A3A246" w14:textId="77777777" w:rsidR="00151CBF" w:rsidRDefault="00000000">
      <w:pPr>
        <w:spacing w:before="200" w:after="280"/>
      </w:pPr>
      <w:r>
        <w:rPr>
          <w:b/>
          <w:bCs/>
          <w:i/>
          <w:iCs/>
          <w:sz w:val="24"/>
          <w:szCs w:val="24"/>
        </w:rPr>
        <w:t>10 Scholarly Sources on Celtic Religion and Archaeology</w:t>
      </w:r>
    </w:p>
    <w:p w14:paraId="37951865" w14:textId="77777777" w:rsidR="00151CBF" w:rsidRDefault="00000000">
      <w:pPr>
        <w:spacing w:after="200" w:line="360" w:lineRule="auto"/>
        <w:ind w:left="360" w:hanging="360"/>
        <w:jc w:val="both"/>
      </w:pPr>
      <w:r>
        <w:rPr>
          <w:b/>
          <w:bCs/>
          <w:sz w:val="24"/>
          <w:szCs w:val="24"/>
        </w:rPr>
        <w:t xml:space="preserve">1.  </w:t>
      </w:r>
      <w:r>
        <w:rPr>
          <w:sz w:val="24"/>
          <w:szCs w:val="24"/>
        </w:rPr>
        <w:t>Miranda J. Green, The World of the Druids (London: Thames &amp; Hudson, 1997), pp. 44–57.</w:t>
      </w:r>
    </w:p>
    <w:p w14:paraId="6DD5A0AC" w14:textId="77777777" w:rsidR="00151CBF" w:rsidRDefault="00000000">
      <w:pPr>
        <w:spacing w:after="200" w:line="360" w:lineRule="auto"/>
        <w:ind w:left="360" w:hanging="360"/>
        <w:jc w:val="both"/>
      </w:pPr>
      <w:r>
        <w:rPr>
          <w:b/>
          <w:bCs/>
          <w:sz w:val="24"/>
          <w:szCs w:val="24"/>
        </w:rPr>
        <w:t xml:space="preserve">2.  </w:t>
      </w:r>
      <w:r>
        <w:rPr>
          <w:sz w:val="24"/>
          <w:szCs w:val="24"/>
        </w:rPr>
        <w:t>Barry Cunliffe, The Celts: A Very Short Introduction (Oxford: Oxford University Press, 2003), pp. 72–85.</w:t>
      </w:r>
    </w:p>
    <w:p w14:paraId="3781D95A" w14:textId="77777777" w:rsidR="00151CBF" w:rsidRDefault="00000000">
      <w:pPr>
        <w:spacing w:after="200" w:line="360" w:lineRule="auto"/>
        <w:ind w:left="360" w:hanging="360"/>
        <w:jc w:val="both"/>
      </w:pPr>
      <w:r>
        <w:rPr>
          <w:b/>
          <w:bCs/>
          <w:sz w:val="24"/>
          <w:szCs w:val="24"/>
        </w:rPr>
        <w:t xml:space="preserve">3.  </w:t>
      </w:r>
      <w:r>
        <w:rPr>
          <w:sz w:val="24"/>
          <w:szCs w:val="24"/>
        </w:rPr>
        <w:t>Anne Ross, Pagan Celtic Britain: Studies in Iconography and Tradition (London: Routledge, 1996), pp. 101–120.</w:t>
      </w:r>
    </w:p>
    <w:p w14:paraId="0B7C16B5" w14:textId="77777777" w:rsidR="00151CBF" w:rsidRDefault="00000000">
      <w:pPr>
        <w:spacing w:after="200" w:line="360" w:lineRule="auto"/>
        <w:ind w:left="360" w:hanging="360"/>
        <w:jc w:val="both"/>
      </w:pPr>
      <w:r>
        <w:rPr>
          <w:b/>
          <w:bCs/>
          <w:sz w:val="24"/>
          <w:szCs w:val="24"/>
        </w:rPr>
        <w:t xml:space="preserve">4.  </w:t>
      </w:r>
      <w:r>
        <w:rPr>
          <w:sz w:val="24"/>
          <w:szCs w:val="24"/>
        </w:rPr>
        <w:t>Jane Webster, ‘Ethnographic Approaches to the Study of Roman-Celtic Religion’, Britannia, 32 (2001), 1–22 (p. 10).</w:t>
      </w:r>
    </w:p>
    <w:p w14:paraId="327FDC65" w14:textId="77777777" w:rsidR="00151CBF" w:rsidRDefault="00000000">
      <w:pPr>
        <w:spacing w:after="200" w:line="360" w:lineRule="auto"/>
        <w:ind w:left="360" w:hanging="360"/>
        <w:jc w:val="both"/>
      </w:pPr>
      <w:r>
        <w:rPr>
          <w:b/>
          <w:bCs/>
          <w:sz w:val="24"/>
          <w:szCs w:val="24"/>
        </w:rPr>
        <w:t xml:space="preserve">5.  </w:t>
      </w:r>
      <w:r>
        <w:rPr>
          <w:sz w:val="24"/>
          <w:szCs w:val="24"/>
        </w:rPr>
        <w:t>Raimund Karl, ‘Druids in Archaeology: Fact, Fiction, or Something in Between?’, The Journal of Celtic Studies, 12 (2012), 45–70 (p. 48).</w:t>
      </w:r>
    </w:p>
    <w:p w14:paraId="6E36E2D5" w14:textId="77777777" w:rsidR="00151CBF" w:rsidRDefault="00000000">
      <w:pPr>
        <w:spacing w:after="200" w:line="360" w:lineRule="auto"/>
        <w:ind w:left="360" w:hanging="360"/>
        <w:jc w:val="both"/>
      </w:pPr>
      <w:r>
        <w:rPr>
          <w:b/>
          <w:bCs/>
          <w:sz w:val="24"/>
          <w:szCs w:val="24"/>
        </w:rPr>
        <w:t xml:space="preserve">6.  </w:t>
      </w:r>
      <w:r>
        <w:rPr>
          <w:sz w:val="24"/>
          <w:szCs w:val="24"/>
        </w:rPr>
        <w:t>Ronald Hutton, Blood and Mistletoe: The History of the Druids (New Haven: Yale University Press, 2009), pp. 55–74.</w:t>
      </w:r>
    </w:p>
    <w:p w14:paraId="4AA904E8" w14:textId="77777777" w:rsidR="00151CBF" w:rsidRDefault="00000000">
      <w:pPr>
        <w:spacing w:after="200" w:line="360" w:lineRule="auto"/>
        <w:ind w:left="360" w:hanging="360"/>
        <w:jc w:val="both"/>
      </w:pPr>
      <w:r>
        <w:rPr>
          <w:b/>
          <w:bCs/>
          <w:sz w:val="24"/>
          <w:szCs w:val="24"/>
        </w:rPr>
        <w:t xml:space="preserve">7.  </w:t>
      </w:r>
      <w:r>
        <w:rPr>
          <w:sz w:val="24"/>
          <w:szCs w:val="24"/>
        </w:rPr>
        <w:t>Martin J. Fitzpatrick, ‘Celtic Sacred Landscapes: Interpreting Ritual Sites’, in Sacred Places in Ancient Europe, ed. by Jan Driessen (Oxford: Oxbow Books, 2014), pp. 83–102 (p. 90).</w:t>
      </w:r>
    </w:p>
    <w:p w14:paraId="512E181D" w14:textId="77777777" w:rsidR="00151CBF" w:rsidRDefault="00000000">
      <w:pPr>
        <w:spacing w:after="200" w:line="360" w:lineRule="auto"/>
        <w:ind w:left="360" w:hanging="360"/>
        <w:jc w:val="both"/>
      </w:pPr>
      <w:r>
        <w:rPr>
          <w:b/>
          <w:bCs/>
          <w:sz w:val="24"/>
          <w:szCs w:val="24"/>
        </w:rPr>
        <w:t xml:space="preserve">8.  </w:t>
      </w:r>
      <w:r>
        <w:rPr>
          <w:sz w:val="24"/>
          <w:szCs w:val="24"/>
        </w:rPr>
        <w:t xml:space="preserve">Dáithí Ó </w:t>
      </w:r>
      <w:proofErr w:type="spellStart"/>
      <w:r>
        <w:rPr>
          <w:sz w:val="24"/>
          <w:szCs w:val="24"/>
        </w:rPr>
        <w:t>hÓgáin</w:t>
      </w:r>
      <w:proofErr w:type="spellEnd"/>
      <w:r>
        <w:rPr>
          <w:sz w:val="24"/>
          <w:szCs w:val="24"/>
        </w:rPr>
        <w:t>, The Sacred Isle: Belief and Religion in Pre-Christian Ireland (Woodbridge: Boydell Press, 1999), pp. 20–37.</w:t>
      </w:r>
    </w:p>
    <w:p w14:paraId="705FF696" w14:textId="77777777" w:rsidR="00151CBF" w:rsidRDefault="00000000">
      <w:pPr>
        <w:spacing w:after="200" w:line="360" w:lineRule="auto"/>
        <w:ind w:left="360" w:hanging="360"/>
        <w:jc w:val="both"/>
      </w:pPr>
      <w:r>
        <w:rPr>
          <w:b/>
          <w:bCs/>
          <w:sz w:val="24"/>
          <w:szCs w:val="24"/>
        </w:rPr>
        <w:t xml:space="preserve">9.  </w:t>
      </w:r>
      <w:r>
        <w:rPr>
          <w:sz w:val="24"/>
          <w:szCs w:val="24"/>
        </w:rPr>
        <w:t>Stuart Piggott, ‘Archaeological Evidence for Celtic Ritual Practice’, Proceedings of the Prehistoric Society, 26 (1960), 8–28 (p. 16).</w:t>
      </w:r>
    </w:p>
    <w:p w14:paraId="2C83C178" w14:textId="77777777" w:rsidR="00151CBF" w:rsidRDefault="00000000">
      <w:pPr>
        <w:spacing w:after="200" w:line="360" w:lineRule="auto"/>
        <w:ind w:left="360" w:hanging="360"/>
        <w:jc w:val="both"/>
      </w:pPr>
      <w:r>
        <w:rPr>
          <w:b/>
          <w:bCs/>
          <w:sz w:val="24"/>
          <w:szCs w:val="24"/>
        </w:rPr>
        <w:t xml:space="preserve">10.  </w:t>
      </w:r>
      <w:r>
        <w:rPr>
          <w:sz w:val="24"/>
          <w:szCs w:val="24"/>
        </w:rPr>
        <w:t>Graham R. Chapman, ‘Interpreting Celtic Ritual Deposits: Methodological Challenges’, Oxford Journal of Archaeology, 18.3 (1999), 267–289 (p. 275).</w:t>
      </w:r>
    </w:p>
    <w:p w14:paraId="55A1DE80" w14:textId="77777777" w:rsidR="00151CBF" w:rsidRDefault="00000000">
      <w:pPr>
        <w:pBdr>
          <w:bottom w:val="single" w:sz="6" w:space="4" w:color="2E4057"/>
        </w:pBdr>
        <w:spacing w:before="560" w:after="240"/>
      </w:pPr>
      <w:r>
        <w:rPr>
          <w:b/>
          <w:bCs/>
          <w:caps/>
          <w:sz w:val="24"/>
          <w:szCs w:val="24"/>
        </w:rPr>
        <w:lastRenderedPageBreak/>
        <w:t>Bibliography</w:t>
      </w:r>
    </w:p>
    <w:p w14:paraId="3DE1C066" w14:textId="77777777" w:rsidR="00151CBF" w:rsidRDefault="00000000">
      <w:pPr>
        <w:spacing w:after="200" w:line="360" w:lineRule="auto"/>
        <w:ind w:left="720" w:hanging="720"/>
        <w:jc w:val="both"/>
      </w:pPr>
      <w:r>
        <w:rPr>
          <w:sz w:val="24"/>
          <w:szCs w:val="24"/>
        </w:rPr>
        <w:t>Chapman, Graham R., ‘Interpreting Celtic Ritual Deposits: Methodological Challenges’, Oxford Journal of Archaeology, 18.3 (1999), 267–289</w:t>
      </w:r>
    </w:p>
    <w:p w14:paraId="189ED21D" w14:textId="77777777" w:rsidR="00151CBF" w:rsidRDefault="00000000">
      <w:pPr>
        <w:spacing w:after="200" w:line="360" w:lineRule="auto"/>
        <w:ind w:left="720" w:hanging="720"/>
        <w:jc w:val="both"/>
      </w:pPr>
      <w:r>
        <w:rPr>
          <w:sz w:val="24"/>
          <w:szCs w:val="24"/>
        </w:rPr>
        <w:t>Cunliffe, Barry, The Celts: A Very Short Introduction (Oxford: Oxford University Press, 2003)</w:t>
      </w:r>
    </w:p>
    <w:p w14:paraId="1FEF59D6" w14:textId="77777777" w:rsidR="00151CBF" w:rsidRDefault="00000000">
      <w:pPr>
        <w:spacing w:after="200" w:line="360" w:lineRule="auto"/>
        <w:ind w:left="720" w:hanging="720"/>
        <w:jc w:val="both"/>
      </w:pPr>
      <w:r>
        <w:rPr>
          <w:sz w:val="24"/>
          <w:szCs w:val="24"/>
        </w:rPr>
        <w:t>Fitzpatrick, Martin J., ‘Celtic Sacred Landscapes: Interpreting Ritual Sites’, in Sacred Places in Ancient Europe, ed. by Jan Driessen (Oxford: Oxbow Books, 2014), pp. 83–102</w:t>
      </w:r>
    </w:p>
    <w:p w14:paraId="3C561C2B" w14:textId="77777777" w:rsidR="00151CBF" w:rsidRDefault="00000000">
      <w:pPr>
        <w:spacing w:after="200" w:line="360" w:lineRule="auto"/>
        <w:ind w:left="720" w:hanging="720"/>
        <w:jc w:val="both"/>
      </w:pPr>
      <w:r>
        <w:rPr>
          <w:sz w:val="24"/>
          <w:szCs w:val="24"/>
        </w:rPr>
        <w:t>Green, Miranda J., The World of the Druids (London: Thames &amp; Hudson, 1997)</w:t>
      </w:r>
    </w:p>
    <w:p w14:paraId="4E8364A7" w14:textId="77777777" w:rsidR="00151CBF" w:rsidRDefault="00000000">
      <w:pPr>
        <w:spacing w:after="200" w:line="360" w:lineRule="auto"/>
        <w:ind w:left="720" w:hanging="720"/>
        <w:jc w:val="both"/>
      </w:pPr>
      <w:r>
        <w:rPr>
          <w:sz w:val="24"/>
          <w:szCs w:val="24"/>
        </w:rPr>
        <w:t>Hutton, Ronald, Blood and Mistletoe: The History of the Druids (New Haven: Yale University Press, 2009)</w:t>
      </w:r>
    </w:p>
    <w:p w14:paraId="21B93C01" w14:textId="77777777" w:rsidR="00151CBF" w:rsidRDefault="00000000">
      <w:pPr>
        <w:spacing w:after="200" w:line="360" w:lineRule="auto"/>
        <w:ind w:left="720" w:hanging="720"/>
        <w:jc w:val="both"/>
      </w:pPr>
      <w:r>
        <w:rPr>
          <w:sz w:val="24"/>
          <w:szCs w:val="24"/>
        </w:rPr>
        <w:t>Karl, Raimund, ‘Druids in Archaeology: Fact, Fiction, or Something in Between?’, The Journal of Celtic Studies, 12 (2012), 45–70</w:t>
      </w:r>
    </w:p>
    <w:p w14:paraId="5A3FA3F7" w14:textId="77777777" w:rsidR="00151CBF" w:rsidRDefault="00000000">
      <w:pPr>
        <w:spacing w:after="200" w:line="360" w:lineRule="auto"/>
        <w:ind w:left="720" w:hanging="720"/>
        <w:jc w:val="both"/>
      </w:pPr>
      <w:r>
        <w:rPr>
          <w:sz w:val="24"/>
          <w:szCs w:val="24"/>
        </w:rPr>
        <w:t xml:space="preserve">Ó </w:t>
      </w:r>
      <w:proofErr w:type="spellStart"/>
      <w:r>
        <w:rPr>
          <w:sz w:val="24"/>
          <w:szCs w:val="24"/>
        </w:rPr>
        <w:t>hÓgáin</w:t>
      </w:r>
      <w:proofErr w:type="spellEnd"/>
      <w:r>
        <w:rPr>
          <w:sz w:val="24"/>
          <w:szCs w:val="24"/>
        </w:rPr>
        <w:t>, Dáithí, The Sacred Isle: Belief and Religion in Pre-Christian Ireland (Woodbridge: Boydell Press, 1999)</w:t>
      </w:r>
    </w:p>
    <w:p w14:paraId="56821E02" w14:textId="77777777" w:rsidR="00151CBF" w:rsidRDefault="00000000">
      <w:pPr>
        <w:spacing w:after="200" w:line="360" w:lineRule="auto"/>
        <w:ind w:left="720" w:hanging="720"/>
        <w:jc w:val="both"/>
      </w:pPr>
      <w:r>
        <w:rPr>
          <w:sz w:val="24"/>
          <w:szCs w:val="24"/>
        </w:rPr>
        <w:t>Piggott, Stuart, ‘Archaeological Evidence for Celtic Ritual Practice’, Proceedings of the Prehistoric Society, 26 (1960), 8–28</w:t>
      </w:r>
    </w:p>
    <w:p w14:paraId="58C6266A" w14:textId="77777777" w:rsidR="00151CBF" w:rsidRDefault="00000000">
      <w:pPr>
        <w:spacing w:after="200" w:line="360" w:lineRule="auto"/>
        <w:ind w:left="720" w:hanging="720"/>
        <w:jc w:val="both"/>
      </w:pPr>
      <w:r>
        <w:rPr>
          <w:sz w:val="24"/>
          <w:szCs w:val="24"/>
        </w:rPr>
        <w:t>Ross, Anne, Pagan Celtic Britain: Studies in Iconography and Tradition (London: Routledge, 1996)</w:t>
      </w:r>
    </w:p>
    <w:p w14:paraId="44BC9BBB" w14:textId="77777777" w:rsidR="00151CBF" w:rsidRDefault="00000000">
      <w:pPr>
        <w:spacing w:after="200" w:line="360" w:lineRule="auto"/>
        <w:ind w:left="720" w:hanging="720"/>
        <w:jc w:val="both"/>
      </w:pPr>
      <w:r>
        <w:rPr>
          <w:sz w:val="24"/>
          <w:szCs w:val="24"/>
        </w:rPr>
        <w:t>Webster, Jane, ‘Ethnographic Approaches to the Study of Roman-Celtic Religion’, Britannia, 32 (2001), 1–22</w:t>
      </w:r>
    </w:p>
    <w:p w14:paraId="12AF2C01" w14:textId="77777777" w:rsidR="00151CBF" w:rsidRDefault="00151CBF">
      <w:pPr>
        <w:spacing w:after="240"/>
      </w:pPr>
    </w:p>
    <w:sectPr w:rsidR="00151CBF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1F9BA" w14:textId="77777777" w:rsidR="00D7150A" w:rsidRDefault="00D7150A">
      <w:r>
        <w:separator/>
      </w:r>
    </w:p>
  </w:endnote>
  <w:endnote w:type="continuationSeparator" w:id="0">
    <w:p w14:paraId="740A873C" w14:textId="77777777" w:rsidR="00D7150A" w:rsidRDefault="00D71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D94B9" w14:textId="77777777" w:rsidR="00D7150A" w:rsidRDefault="00D7150A">
      <w:r>
        <w:separator/>
      </w:r>
    </w:p>
  </w:footnote>
  <w:footnote w:type="continuationSeparator" w:id="0">
    <w:p w14:paraId="1CFD30B3" w14:textId="77777777" w:rsidR="00D7150A" w:rsidRDefault="00D715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A77F2"/>
    <w:multiLevelType w:val="hybridMultilevel"/>
    <w:tmpl w:val="B63C8AE0"/>
    <w:lvl w:ilvl="0" w:tplc="32C86E3C">
      <w:start w:val="1"/>
      <w:numFmt w:val="bullet"/>
      <w:lvlText w:val="●"/>
      <w:lvlJc w:val="left"/>
      <w:pPr>
        <w:ind w:left="720" w:hanging="360"/>
      </w:pPr>
    </w:lvl>
    <w:lvl w:ilvl="1" w:tplc="62B67BC2">
      <w:start w:val="1"/>
      <w:numFmt w:val="bullet"/>
      <w:lvlText w:val="○"/>
      <w:lvlJc w:val="left"/>
      <w:pPr>
        <w:ind w:left="1440" w:hanging="360"/>
      </w:pPr>
    </w:lvl>
    <w:lvl w:ilvl="2" w:tplc="58AC4E26">
      <w:start w:val="1"/>
      <w:numFmt w:val="bullet"/>
      <w:lvlText w:val="■"/>
      <w:lvlJc w:val="left"/>
      <w:pPr>
        <w:ind w:left="2160" w:hanging="360"/>
      </w:pPr>
    </w:lvl>
    <w:lvl w:ilvl="3" w:tplc="8EB4243A">
      <w:start w:val="1"/>
      <w:numFmt w:val="bullet"/>
      <w:lvlText w:val="●"/>
      <w:lvlJc w:val="left"/>
      <w:pPr>
        <w:ind w:left="2880" w:hanging="360"/>
      </w:pPr>
    </w:lvl>
    <w:lvl w:ilvl="4" w:tplc="50903C0C">
      <w:start w:val="1"/>
      <w:numFmt w:val="bullet"/>
      <w:lvlText w:val="○"/>
      <w:lvlJc w:val="left"/>
      <w:pPr>
        <w:ind w:left="3600" w:hanging="360"/>
      </w:pPr>
    </w:lvl>
    <w:lvl w:ilvl="5" w:tplc="147A1100">
      <w:start w:val="1"/>
      <w:numFmt w:val="bullet"/>
      <w:lvlText w:val="■"/>
      <w:lvlJc w:val="left"/>
      <w:pPr>
        <w:ind w:left="4320" w:hanging="360"/>
      </w:pPr>
    </w:lvl>
    <w:lvl w:ilvl="6" w:tplc="A45040C0">
      <w:start w:val="1"/>
      <w:numFmt w:val="bullet"/>
      <w:lvlText w:val="●"/>
      <w:lvlJc w:val="left"/>
      <w:pPr>
        <w:ind w:left="5040" w:hanging="360"/>
      </w:pPr>
    </w:lvl>
    <w:lvl w:ilvl="7" w:tplc="91C009EC">
      <w:start w:val="1"/>
      <w:numFmt w:val="bullet"/>
      <w:lvlText w:val="●"/>
      <w:lvlJc w:val="left"/>
      <w:pPr>
        <w:ind w:left="5760" w:hanging="360"/>
      </w:pPr>
    </w:lvl>
    <w:lvl w:ilvl="8" w:tplc="2474CC74">
      <w:start w:val="1"/>
      <w:numFmt w:val="bullet"/>
      <w:lvlText w:val="●"/>
      <w:lvlJc w:val="left"/>
      <w:pPr>
        <w:ind w:left="6480" w:hanging="360"/>
      </w:pPr>
    </w:lvl>
  </w:abstractNum>
  <w:num w:numId="1" w16cid:durableId="191948492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CBF"/>
    <w:rsid w:val="00151CBF"/>
    <w:rsid w:val="002A6719"/>
    <w:rsid w:val="00C46D5E"/>
    <w:rsid w:val="00D7150A"/>
    <w:rsid w:val="00F4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2F17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46D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6D5E"/>
  </w:style>
  <w:style w:type="paragraph" w:styleId="Footer">
    <w:name w:val="footer"/>
    <w:basedOn w:val="Normal"/>
    <w:link w:val="FooterChar"/>
    <w:uiPriority w:val="99"/>
    <w:unhideWhenUsed/>
    <w:rsid w:val="00C46D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6D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2267</Characters>
  <Application>Microsoft Office Word</Application>
  <DocSecurity>0</DocSecurity>
  <Lines>45</Lines>
  <Paragraphs>26</Paragraphs>
  <ScaleCrop>false</ScaleCrop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2026-04-10T16:38:00Z</dcterms:created>
  <dcterms:modified xsi:type="dcterms:W3CDTF">2026-04-10T16:38:00Z</dcterms:modified>
</cp:coreProperties>
</file>