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91681"/>
        <w:docPartObj>
          <w:docPartGallery w:val="Cover Pages"/>
          <w:docPartUnique/>
        </w:docPartObj>
      </w:sdtPr>
      <w:sdtContent>
        <w:p w14:paraId="7C7E7E22" w14:textId="37318E1D" w:rsidR="009D3025" w:rsidRDefault="00E81B39">
          <w:r>
            <w:rPr>
              <w:noProof/>
            </w:rPr>
            <mc:AlternateContent>
              <mc:Choice Requires="wps">
                <w:drawing>
                  <wp:anchor distT="0" distB="0" distL="114300" distR="114300" simplePos="0" relativeHeight="251658241" behindDoc="0" locked="0" layoutInCell="1" allowOverlap="1" wp14:anchorId="26E40E31" wp14:editId="4A67C97E">
                    <wp:simplePos x="0" y="0"/>
                    <wp:positionH relativeFrom="page">
                      <wp:posOffset>3439551</wp:posOffset>
                    </wp:positionH>
                    <wp:positionV relativeFrom="page">
                      <wp:posOffset>358726</wp:posOffset>
                    </wp:positionV>
                    <wp:extent cx="2875915" cy="4044462"/>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404446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1524A" w14:textId="0A58D128" w:rsidR="000B30F8" w:rsidRDefault="007A2810">
                                <w:r>
                                  <w:t xml:space="preserve">Title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26E40E31" id="Rectangle 4" o:spid="_x0000_s1026" style="position:absolute;margin-left:270.85pt;margin-top:28.25pt;width:226.45pt;height:318.45pt;z-index:251658241;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" fillcolor="#0e2841 [3215]" stroked="f" strokeweight="1pt">
                    <v:textbox inset="14.4pt,14.4pt,14.4pt,28.8pt">
                      <w:txbxContent>
                        <w:p w14:paraId="4D01524A" w14:textId="0A58D128" w:rsidR="000B30F8" w:rsidRDefault="007A2810">
                          <w:r>
                            <w:t xml:space="preserve">Title </w:t>
                          </w:r>
                        </w:p>
                      </w:txbxContent>
                    </v:textbox>
                    <w10:wrap anchorx="page" anchory="page"/>
                  </v:rect>
                </w:pict>
              </mc:Fallback>
            </mc:AlternateContent>
          </w:r>
          <w:r w:rsidR="009D3025">
            <w:rPr>
              <w:noProof/>
            </w:rPr>
            <mc:AlternateContent>
              <mc:Choice Requires="wps">
                <w:drawing>
                  <wp:anchor distT="0" distB="0" distL="114300" distR="114300" simplePos="0" relativeHeight="251658245" behindDoc="0" locked="0" layoutInCell="1" allowOverlap="1" wp14:anchorId="1BB9DC3C" wp14:editId="4442A34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B7EAB3" w14:textId="45783E8A" w:rsidR="009D3025"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D3025">
                                      <w:rPr>
                                        <w:noProof/>
                                        <w:color w:val="0E2841" w:themeColor="text2"/>
                                      </w:rPr>
                                      <w:t>Chakira M'Houmadi (2322832)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BB9DC3C" id="_x0000_t202" coordsize="21600,21600" o:spt="202" path="m,l,21600r21600,l21600,xe">
                    <v:stroke joinstyle="miter"/>
                    <v:path gradientshapeok="t" o:connecttype="rect"/>
                  </v:shapetype>
                  <v:shape id="Text Box 2" o:spid="_x0000_s1027"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v98IAIAAEE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" filled="f" stroked="f" strokeweight=".5pt">
                    <v:textbox style="mso-fit-shape-to-text:t">
                      <w:txbxContent>
                        <w:p w14:paraId="0EB7EAB3" w14:textId="45783E8A" w:rsidR="009D3025"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D3025">
                                <w:rPr>
                                  <w:noProof/>
                                  <w:color w:val="0E2841" w:themeColor="text2"/>
                                </w:rPr>
                                <w:t>Chakira M'Houmadi (2322832)</w:t>
                              </w:r>
                            </w:sdtContent>
                          </w:sdt>
                        </w:p>
                      </w:txbxContent>
                    </v:textbox>
                    <w10:wrap type="square" anchorx="page" anchory="page"/>
                  </v:shape>
                </w:pict>
              </mc:Fallback>
            </mc:AlternateContent>
          </w:r>
          <w:r w:rsidR="009D3025">
            <w:rPr>
              <w:noProof/>
            </w:rPr>
            <mc:AlternateContent>
              <mc:Choice Requires="wps">
                <w:drawing>
                  <wp:anchor distT="0" distB="0" distL="114300" distR="114300" simplePos="0" relativeHeight="251658244" behindDoc="1" locked="0" layoutInCell="1" allowOverlap="1" wp14:anchorId="4B7E4DC1" wp14:editId="3125B33D">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22A1672" w14:textId="50E8A7D8" w:rsidR="004E3DBC" w:rsidRPr="004E3DBC" w:rsidRDefault="004E3DBC" w:rsidP="004E3DBC">
                                <w:pPr>
                                  <w:rPr>
                                    <w:color w:val="000000" w:themeColor="text1"/>
                                  </w:rPr>
                                </w:pPr>
                                <w:r w:rsidRPr="004E3DBC">
                                  <w:rPr>
                                    <w:color w:val="000000" w:themeColor="text1"/>
                                  </w:rPr>
                                  <w:t>first name</w:t>
                                </w:r>
                                <w:r w:rsidR="007E3ECC">
                                  <w:rPr>
                                    <w:color w:val="000000" w:themeColor="text1"/>
                                  </w:rPr>
                                  <w:t>:</w:t>
                                </w:r>
                                <w:r w:rsidRPr="004E3DBC">
                                  <w:rPr>
                                    <w:color w:val="000000" w:themeColor="text1"/>
                                  </w:rPr>
                                  <w:t xml:space="preserve"> </w:t>
                                </w:r>
                                <w:proofErr w:type="spellStart"/>
                                <w:r w:rsidRPr="004E3DBC">
                                  <w:rPr>
                                    <w:color w:val="000000" w:themeColor="text1"/>
                                  </w:rPr>
                                  <w:t>Chakira</w:t>
                                </w:r>
                                <w:proofErr w:type="spellEnd"/>
                              </w:p>
                              <w:p w14:paraId="73ABC52A" w14:textId="087BE6E8" w:rsidR="004E3DBC" w:rsidRPr="004E3DBC" w:rsidRDefault="004E3DBC" w:rsidP="004E3DBC">
                                <w:pPr>
                                  <w:rPr>
                                    <w:color w:val="000000" w:themeColor="text1"/>
                                  </w:rPr>
                                </w:pPr>
                                <w:r w:rsidRPr="004E3DBC">
                                  <w:rPr>
                                    <w:color w:val="000000" w:themeColor="text1"/>
                                  </w:rPr>
                                  <w:t>surname</w:t>
                                </w:r>
                                <w:r w:rsidR="007E3ECC">
                                  <w:rPr>
                                    <w:color w:val="000000" w:themeColor="text1"/>
                                  </w:rPr>
                                  <w:t>:</w:t>
                                </w:r>
                                <w:r w:rsidRPr="004E3DBC">
                                  <w:rPr>
                                    <w:color w:val="000000" w:themeColor="text1"/>
                                  </w:rPr>
                                  <w:t xml:space="preserve"> M’houmadi</w:t>
                                </w:r>
                              </w:p>
                              <w:p w14:paraId="1FB7CD7A" w14:textId="77777777" w:rsidR="004E3DBC" w:rsidRPr="004E3DBC" w:rsidRDefault="004E3DBC" w:rsidP="004E3DBC">
                                <w:pPr>
                                  <w:rPr>
                                    <w:color w:val="000000" w:themeColor="text1"/>
                                  </w:rPr>
                                </w:pPr>
                                <w:r w:rsidRPr="004E3DBC">
                                  <w:rPr>
                                    <w:color w:val="000000" w:themeColor="text1"/>
                                  </w:rPr>
                                  <w:t>Student ID: 2322832</w:t>
                                </w:r>
                              </w:p>
                              <w:p w14:paraId="6952867A" w14:textId="071F0E30" w:rsidR="004E3DBC" w:rsidRDefault="004E3DBC" w:rsidP="004E3DBC">
                                <w:pPr>
                                  <w:rPr>
                                    <w:color w:val="000000" w:themeColor="text1"/>
                                  </w:rPr>
                                </w:pPr>
                                <w:r w:rsidRPr="004E3DBC">
                                  <w:rPr>
                                    <w:color w:val="000000" w:themeColor="text1"/>
                                  </w:rPr>
                                  <w:t>Module</w:t>
                                </w:r>
                                <w:r w:rsidR="00AA0FB3">
                                  <w:rPr>
                                    <w:color w:val="000000" w:themeColor="text1"/>
                                  </w:rPr>
                                  <w:t xml:space="preserve"> code</w:t>
                                </w:r>
                                <w:r w:rsidR="00532F08">
                                  <w:rPr>
                                    <w:color w:val="000000" w:themeColor="text1"/>
                                  </w:rPr>
                                  <w:t>:</w:t>
                                </w:r>
                                <w:r w:rsidRPr="004E3DBC">
                                  <w:rPr>
                                    <w:color w:val="000000" w:themeColor="text1"/>
                                  </w:rPr>
                                  <w:t xml:space="preserve"> BMHP6026</w:t>
                                </w:r>
                              </w:p>
                              <w:p w14:paraId="5BFCBC6B" w14:textId="6D4EB18B" w:rsidR="0092662F" w:rsidRPr="00E66250" w:rsidRDefault="00970AD7" w:rsidP="004E3DBC">
                                <w:pPr>
                                  <w:rPr>
                                    <w:bCs/>
                                    <w:color w:val="000000" w:themeColor="text1"/>
                                    <w:rtl/>
                                  </w:rPr>
                                </w:pPr>
                                <w:r>
                                  <w:rPr>
                                    <w:rFonts w:ascii="Arial" w:hAnsi="Arial" w:cs="Arial"/>
                                    <w:bCs/>
                                    <w:color w:val="000000" w:themeColor="text1"/>
                                    <w:sz w:val="22"/>
                                    <w:szCs w:val="22"/>
                                  </w:rPr>
                                  <w:t>Pro</w:t>
                                </w:r>
                                <w:r w:rsidR="000C511A">
                                  <w:rPr>
                                    <w:rFonts w:ascii="Arial" w:hAnsi="Arial" w:cs="Arial"/>
                                    <w:bCs/>
                                    <w:color w:val="000000" w:themeColor="text1"/>
                                    <w:sz w:val="22"/>
                                    <w:szCs w:val="22"/>
                                  </w:rPr>
                                  <w:t xml:space="preserve">g: </w:t>
                                </w:r>
                                <w:r w:rsidR="00E66250" w:rsidRPr="00E66250">
                                  <w:rPr>
                                    <w:rFonts w:ascii="Arial" w:hAnsi="Arial" w:cs="Arial"/>
                                    <w:bCs/>
                                    <w:color w:val="000000" w:themeColor="text1"/>
                                    <w:sz w:val="22"/>
                                    <w:szCs w:val="22"/>
                                  </w:rPr>
                                  <w:t>BSc (Hons) Health and Social Care</w:t>
                                </w:r>
                              </w:p>
                              <w:p w14:paraId="537FB145" w14:textId="5DE16378" w:rsidR="001F1ADC" w:rsidRDefault="001F1ADC" w:rsidP="004E3DBC">
                                <w:pPr>
                                  <w:rPr>
                                    <w:color w:val="000000" w:themeColor="text1"/>
                                  </w:rPr>
                                </w:pPr>
                                <w:r>
                                  <w:rPr>
                                    <w:color w:val="000000" w:themeColor="text1"/>
                                  </w:rPr>
                                  <w:t>Level</w:t>
                                </w:r>
                                <w:r w:rsidR="009A381B">
                                  <w:rPr>
                                    <w:color w:val="000000" w:themeColor="text1"/>
                                  </w:rPr>
                                  <w:t xml:space="preserve">: </w:t>
                                </w:r>
                                <w:r>
                                  <w:rPr>
                                    <w:color w:val="000000" w:themeColor="text1"/>
                                  </w:rPr>
                                  <w:t>6</w:t>
                                </w:r>
                              </w:p>
                              <w:p w14:paraId="76761AA1" w14:textId="03809E8B" w:rsidR="001F1ADC" w:rsidRDefault="001F1ADC" w:rsidP="004E3DBC">
                                <w:pPr>
                                  <w:rPr>
                                    <w:color w:val="000000" w:themeColor="text1"/>
                                  </w:rPr>
                                </w:pPr>
                                <w:r>
                                  <w:rPr>
                                    <w:color w:val="000000" w:themeColor="text1"/>
                                  </w:rPr>
                                  <w:t>Component</w:t>
                                </w:r>
                                <w:r w:rsidR="009A381B">
                                  <w:rPr>
                                    <w:color w:val="000000" w:themeColor="text1"/>
                                  </w:rPr>
                                  <w:t>:</w:t>
                                </w:r>
                                <w:r>
                                  <w:rPr>
                                    <w:color w:val="000000" w:themeColor="text1"/>
                                  </w:rPr>
                                  <w:t>1</w:t>
                                </w:r>
                              </w:p>
                              <w:p w14:paraId="30EA7B3E" w14:textId="77777777" w:rsidR="004E3DBC" w:rsidRPr="004E3DBC" w:rsidRDefault="004E3DBC" w:rsidP="004E3DBC">
                                <w:pPr>
                                  <w:rPr>
                                    <w:color w:val="000000" w:themeColor="text1"/>
                                  </w:rPr>
                                </w:pPr>
                                <w:r w:rsidRPr="004E3DBC">
                                  <w:rPr>
                                    <w:color w:val="000000" w:themeColor="text1"/>
                                  </w:rPr>
                                  <w:t>Lecturer: Martin Svejda</w:t>
                                </w:r>
                              </w:p>
                              <w:p w14:paraId="40B383DC" w14:textId="579A35AF" w:rsidR="009D3025" w:rsidRPr="004E3DBC" w:rsidRDefault="009D3025" w:rsidP="004E3DBC">
                                <w:pPr>
                                  <w:rPr>
                                    <w:color w:val="000000" w:themeColor="text1"/>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7E4DC1" id="Rectangle 3" o:spid="_x0000_s1028"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" fillcolor="#c1e4f5 [660]" stroked="f" strokeweight="1pt">
                    <v:fill color2="#45b0e1 [1940]" rotate="t" focus="100%" type="gradient">
                      <o:fill v:ext="view" type="gradientUnscaled"/>
                    </v:fill>
                    <v:textbox inset="21.6pt,,21.6pt">
                      <w:txbxContent>
                        <w:p w14:paraId="122A1672" w14:textId="50E8A7D8" w:rsidR="004E3DBC" w:rsidRPr="004E3DBC" w:rsidRDefault="004E3DBC" w:rsidP="004E3DBC">
                          <w:pPr>
                            <w:rPr>
                              <w:color w:val="000000" w:themeColor="text1"/>
                            </w:rPr>
                          </w:pPr>
                          <w:r w:rsidRPr="004E3DBC">
                            <w:rPr>
                              <w:color w:val="000000" w:themeColor="text1"/>
                            </w:rPr>
                            <w:t>first name</w:t>
                          </w:r>
                          <w:r w:rsidR="007E3ECC">
                            <w:rPr>
                              <w:color w:val="000000" w:themeColor="text1"/>
                            </w:rPr>
                            <w:t>:</w:t>
                          </w:r>
                          <w:r w:rsidRPr="004E3DBC">
                            <w:rPr>
                              <w:color w:val="000000" w:themeColor="text1"/>
                            </w:rPr>
                            <w:t xml:space="preserve"> </w:t>
                          </w:r>
                          <w:proofErr w:type="spellStart"/>
                          <w:r w:rsidRPr="004E3DBC">
                            <w:rPr>
                              <w:color w:val="000000" w:themeColor="text1"/>
                            </w:rPr>
                            <w:t>Chakira</w:t>
                          </w:r>
                          <w:proofErr w:type="spellEnd"/>
                        </w:p>
                        <w:p w14:paraId="73ABC52A" w14:textId="087BE6E8" w:rsidR="004E3DBC" w:rsidRPr="004E3DBC" w:rsidRDefault="004E3DBC" w:rsidP="004E3DBC">
                          <w:pPr>
                            <w:rPr>
                              <w:color w:val="000000" w:themeColor="text1"/>
                            </w:rPr>
                          </w:pPr>
                          <w:r w:rsidRPr="004E3DBC">
                            <w:rPr>
                              <w:color w:val="000000" w:themeColor="text1"/>
                            </w:rPr>
                            <w:t>surname</w:t>
                          </w:r>
                          <w:r w:rsidR="007E3ECC">
                            <w:rPr>
                              <w:color w:val="000000" w:themeColor="text1"/>
                            </w:rPr>
                            <w:t>:</w:t>
                          </w:r>
                          <w:r w:rsidRPr="004E3DBC">
                            <w:rPr>
                              <w:color w:val="000000" w:themeColor="text1"/>
                            </w:rPr>
                            <w:t xml:space="preserve"> M’houmadi</w:t>
                          </w:r>
                        </w:p>
                        <w:p w14:paraId="1FB7CD7A" w14:textId="77777777" w:rsidR="004E3DBC" w:rsidRPr="004E3DBC" w:rsidRDefault="004E3DBC" w:rsidP="004E3DBC">
                          <w:pPr>
                            <w:rPr>
                              <w:color w:val="000000" w:themeColor="text1"/>
                            </w:rPr>
                          </w:pPr>
                          <w:r w:rsidRPr="004E3DBC">
                            <w:rPr>
                              <w:color w:val="000000" w:themeColor="text1"/>
                            </w:rPr>
                            <w:t>Student ID: 2322832</w:t>
                          </w:r>
                        </w:p>
                        <w:p w14:paraId="6952867A" w14:textId="071F0E30" w:rsidR="004E3DBC" w:rsidRDefault="004E3DBC" w:rsidP="004E3DBC">
                          <w:pPr>
                            <w:rPr>
                              <w:color w:val="000000" w:themeColor="text1"/>
                            </w:rPr>
                          </w:pPr>
                          <w:r w:rsidRPr="004E3DBC">
                            <w:rPr>
                              <w:color w:val="000000" w:themeColor="text1"/>
                            </w:rPr>
                            <w:t>Module</w:t>
                          </w:r>
                          <w:r w:rsidR="00AA0FB3">
                            <w:rPr>
                              <w:color w:val="000000" w:themeColor="text1"/>
                            </w:rPr>
                            <w:t xml:space="preserve"> code</w:t>
                          </w:r>
                          <w:r w:rsidR="00532F08">
                            <w:rPr>
                              <w:color w:val="000000" w:themeColor="text1"/>
                            </w:rPr>
                            <w:t>:</w:t>
                          </w:r>
                          <w:r w:rsidRPr="004E3DBC">
                            <w:rPr>
                              <w:color w:val="000000" w:themeColor="text1"/>
                            </w:rPr>
                            <w:t xml:space="preserve"> BMHP6026</w:t>
                          </w:r>
                        </w:p>
                        <w:p w14:paraId="5BFCBC6B" w14:textId="6D4EB18B" w:rsidR="0092662F" w:rsidRPr="00E66250" w:rsidRDefault="00970AD7" w:rsidP="004E3DBC">
                          <w:pPr>
                            <w:rPr>
                              <w:bCs/>
                              <w:color w:val="000000" w:themeColor="text1"/>
                              <w:rtl/>
                            </w:rPr>
                          </w:pPr>
                          <w:r>
                            <w:rPr>
                              <w:rFonts w:ascii="Arial" w:hAnsi="Arial" w:cs="Arial"/>
                              <w:bCs/>
                              <w:color w:val="000000" w:themeColor="text1"/>
                              <w:sz w:val="22"/>
                              <w:szCs w:val="22"/>
                            </w:rPr>
                            <w:t>Pro</w:t>
                          </w:r>
                          <w:r w:rsidR="000C511A">
                            <w:rPr>
                              <w:rFonts w:ascii="Arial" w:hAnsi="Arial" w:cs="Arial"/>
                              <w:bCs/>
                              <w:color w:val="000000" w:themeColor="text1"/>
                              <w:sz w:val="22"/>
                              <w:szCs w:val="22"/>
                            </w:rPr>
                            <w:t xml:space="preserve">g: </w:t>
                          </w:r>
                          <w:r w:rsidR="00E66250" w:rsidRPr="00E66250">
                            <w:rPr>
                              <w:rFonts w:ascii="Arial" w:hAnsi="Arial" w:cs="Arial"/>
                              <w:bCs/>
                              <w:color w:val="000000" w:themeColor="text1"/>
                              <w:sz w:val="22"/>
                              <w:szCs w:val="22"/>
                            </w:rPr>
                            <w:t>BSc (Hons) Health and Social Care</w:t>
                          </w:r>
                        </w:p>
                        <w:p w14:paraId="537FB145" w14:textId="5DE16378" w:rsidR="001F1ADC" w:rsidRDefault="001F1ADC" w:rsidP="004E3DBC">
                          <w:pPr>
                            <w:rPr>
                              <w:color w:val="000000" w:themeColor="text1"/>
                            </w:rPr>
                          </w:pPr>
                          <w:r>
                            <w:rPr>
                              <w:color w:val="000000" w:themeColor="text1"/>
                            </w:rPr>
                            <w:t>Level</w:t>
                          </w:r>
                          <w:r w:rsidR="009A381B">
                            <w:rPr>
                              <w:color w:val="000000" w:themeColor="text1"/>
                            </w:rPr>
                            <w:t xml:space="preserve">: </w:t>
                          </w:r>
                          <w:r>
                            <w:rPr>
                              <w:color w:val="000000" w:themeColor="text1"/>
                            </w:rPr>
                            <w:t>6</w:t>
                          </w:r>
                        </w:p>
                        <w:p w14:paraId="76761AA1" w14:textId="03809E8B" w:rsidR="001F1ADC" w:rsidRDefault="001F1ADC" w:rsidP="004E3DBC">
                          <w:pPr>
                            <w:rPr>
                              <w:color w:val="000000" w:themeColor="text1"/>
                            </w:rPr>
                          </w:pPr>
                          <w:r>
                            <w:rPr>
                              <w:color w:val="000000" w:themeColor="text1"/>
                            </w:rPr>
                            <w:t>Component</w:t>
                          </w:r>
                          <w:r w:rsidR="009A381B">
                            <w:rPr>
                              <w:color w:val="000000" w:themeColor="text1"/>
                            </w:rPr>
                            <w:t>:</w:t>
                          </w:r>
                          <w:r>
                            <w:rPr>
                              <w:color w:val="000000" w:themeColor="text1"/>
                            </w:rPr>
                            <w:t>1</w:t>
                          </w:r>
                        </w:p>
                        <w:p w14:paraId="30EA7B3E" w14:textId="77777777" w:rsidR="004E3DBC" w:rsidRPr="004E3DBC" w:rsidRDefault="004E3DBC" w:rsidP="004E3DBC">
                          <w:pPr>
                            <w:rPr>
                              <w:color w:val="000000" w:themeColor="text1"/>
                            </w:rPr>
                          </w:pPr>
                          <w:r w:rsidRPr="004E3DBC">
                            <w:rPr>
                              <w:color w:val="000000" w:themeColor="text1"/>
                            </w:rPr>
                            <w:t>Lecturer: Martin Svejda</w:t>
                          </w:r>
                        </w:p>
                        <w:p w14:paraId="40B383DC" w14:textId="579A35AF" w:rsidR="009D3025" w:rsidRPr="004E3DBC" w:rsidRDefault="009D3025" w:rsidP="004E3DBC">
                          <w:pPr>
                            <w:rPr>
                              <w:color w:val="000000" w:themeColor="text1"/>
                            </w:rPr>
                          </w:pPr>
                        </w:p>
                      </w:txbxContent>
                    </v:textbox>
                    <w10:wrap anchorx="page" anchory="page"/>
                  </v:rect>
                </w:pict>
              </mc:Fallback>
            </mc:AlternateContent>
          </w:r>
          <w:r w:rsidR="009D3025">
            <w:rPr>
              <w:noProof/>
            </w:rPr>
            <mc:AlternateContent>
              <mc:Choice Requires="wps">
                <w:drawing>
                  <wp:anchor distT="0" distB="0" distL="114300" distR="114300" simplePos="0" relativeHeight="251658240" behindDoc="0" locked="0" layoutInCell="1" allowOverlap="1" wp14:anchorId="460FDF53" wp14:editId="69F7507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57D7B89" id="Rectangle 5"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37373 [1614]" strokeweight="1.25pt">
                    <w10:wrap anchorx="page" anchory="page"/>
                  </v:rect>
                </w:pict>
              </mc:Fallback>
            </mc:AlternateContent>
          </w:r>
          <w:r w:rsidR="009D3025">
            <w:rPr>
              <w:noProof/>
            </w:rPr>
            <mc:AlternateContent>
              <mc:Choice Requires="wps">
                <w:drawing>
                  <wp:anchor distT="0" distB="0" distL="114300" distR="114300" simplePos="0" relativeHeight="251658243" behindDoc="0" locked="0" layoutInCell="1" allowOverlap="1" wp14:anchorId="4FD5B7FF" wp14:editId="55008D4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1D2A191" id="Rectangle 6" o:spid="_x0000_s1026"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p>
        <w:p w14:paraId="26726C77" w14:textId="29C63C5A" w:rsidR="00504F31" w:rsidRPr="00EB1804" w:rsidRDefault="00F577EC" w:rsidP="00EB1804">
          <w:pPr>
            <w:spacing w:after="160" w:line="278" w:lineRule="auto"/>
          </w:pPr>
          <w:r>
            <w:rPr>
              <w:noProof/>
            </w:rPr>
            <mc:AlternateContent>
              <mc:Choice Requires="wps">
                <w:drawing>
                  <wp:anchor distT="0" distB="0" distL="114300" distR="114300" simplePos="0" relativeHeight="251658242" behindDoc="0" locked="0" layoutInCell="1" allowOverlap="1" wp14:anchorId="113895E4" wp14:editId="35316658">
                    <wp:simplePos x="0" y="0"/>
                    <wp:positionH relativeFrom="page">
                      <wp:posOffset>3382889</wp:posOffset>
                    </wp:positionH>
                    <wp:positionV relativeFrom="page">
                      <wp:posOffset>5169779</wp:posOffset>
                    </wp:positionV>
                    <wp:extent cx="2797810" cy="1667021"/>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1667021"/>
                            </a:xfrm>
                            <a:prstGeom prst="rect">
                              <a:avLst/>
                            </a:prstGeom>
                            <a:noFill/>
                            <a:ln w="6350">
                              <a:noFill/>
                            </a:ln>
                            <a:effectLst/>
                          </wps:spPr>
                          <wps:txbx>
                            <w:txbxContent>
                              <w:sdt>
                                <w:sdtPr>
                                  <w:rPr>
                                    <w:rFonts w:asciiTheme="majorHAnsi" w:eastAsiaTheme="majorEastAsia" w:hAnsiTheme="majorHAnsi" w:cstheme="majorBidi"/>
                                    <w:noProof/>
                                    <w:color w:val="0E2841" w:themeColor="text2"/>
                                    <w:sz w:val="22"/>
                                    <w:szCs w:val="2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E2B418D" w14:textId="10F18628" w:rsidR="009D3025" w:rsidRPr="003C6E84" w:rsidRDefault="001515A1">
                                    <w:pPr>
                                      <w:rPr>
                                        <w:rFonts w:asciiTheme="majorHAnsi" w:eastAsiaTheme="majorEastAsia" w:hAnsiTheme="majorHAnsi" w:cstheme="majorBidi"/>
                                        <w:noProof/>
                                        <w:color w:val="0E2841" w:themeColor="text2"/>
                                        <w:sz w:val="22"/>
                                        <w:szCs w:val="22"/>
                                      </w:rPr>
                                    </w:pPr>
                                    <w:r w:rsidRPr="003C6E84">
                                      <w:rPr>
                                        <w:rFonts w:asciiTheme="majorHAnsi" w:eastAsiaTheme="majorEastAsia" w:hAnsiTheme="majorHAnsi" w:cstheme="majorBidi"/>
                                        <w:noProof/>
                                        <w:color w:val="0E2841" w:themeColor="text2"/>
                                        <w:sz w:val="22"/>
                                        <w:szCs w:val="22"/>
                                      </w:rPr>
                                      <w:t xml:space="preserve">A Critical Evaluation of Digital GP and Online Consultation Systems </w:t>
                                    </w:r>
                                    <w:r w:rsidR="009A381B" w:rsidRPr="003C6E84">
                                      <w:rPr>
                                        <w:rFonts w:asciiTheme="majorHAnsi" w:eastAsiaTheme="majorEastAsia" w:hAnsiTheme="majorHAnsi" w:cstheme="majorBidi"/>
                                        <w:noProof/>
                                        <w:color w:val="0E2841" w:themeColor="text2"/>
                                        <w:sz w:val="22"/>
                                        <w:szCs w:val="22"/>
                                      </w:rPr>
                                      <w:t xml:space="preserve">in UK Health &amp; social care </w:t>
                                    </w:r>
                                    <w:r w:rsidR="005D0D05" w:rsidRPr="003C6E84">
                                      <w:rPr>
                                        <w:rFonts w:asciiTheme="majorHAnsi" w:eastAsiaTheme="majorEastAsia" w:hAnsiTheme="majorHAnsi" w:cstheme="majorBidi"/>
                                        <w:noProof/>
                                        <w:color w:val="0E2841" w:themeColor="text2"/>
                                        <w:sz w:val="22"/>
                                        <w:szCs w:val="22"/>
                                      </w:rPr>
                                      <w:t>and impact</w:t>
                                    </w:r>
                                    <w:r w:rsidR="001E744C" w:rsidRPr="003C6E84">
                                      <w:rPr>
                                        <w:rFonts w:asciiTheme="majorHAnsi" w:eastAsiaTheme="majorEastAsia" w:hAnsiTheme="majorHAnsi" w:cstheme="majorBidi"/>
                                        <w:noProof/>
                                        <w:color w:val="0E2841" w:themeColor="text2"/>
                                        <w:sz w:val="22"/>
                                        <w:szCs w:val="22"/>
                                      </w:rPr>
                                      <w:t xml:space="preserve"> </w:t>
                                    </w:r>
                                    <w:r w:rsidR="004B1C0B" w:rsidRPr="003C6E84">
                                      <w:rPr>
                                        <w:rFonts w:asciiTheme="majorHAnsi" w:eastAsiaTheme="majorEastAsia" w:hAnsiTheme="majorHAnsi" w:cstheme="majorBidi"/>
                                        <w:noProof/>
                                        <w:color w:val="0E2841" w:themeColor="text2"/>
                                        <w:sz w:val="22"/>
                                        <w:szCs w:val="22"/>
                                      </w:rPr>
                                      <w:t>o</w:t>
                                    </w:r>
                                    <w:r w:rsidR="00B24B96" w:rsidRPr="003C6E84">
                                      <w:rPr>
                                        <w:rFonts w:asciiTheme="majorHAnsi" w:eastAsiaTheme="majorEastAsia" w:hAnsiTheme="majorHAnsi" w:cstheme="majorBidi"/>
                                        <w:noProof/>
                                        <w:color w:val="0E2841" w:themeColor="text2"/>
                                        <w:sz w:val="22"/>
                                        <w:szCs w:val="22"/>
                                      </w:rPr>
                                      <w:t xml:space="preserve">n </w:t>
                                    </w:r>
                                    <w:r w:rsidR="004B1C0B" w:rsidRPr="003C6E84">
                                      <w:rPr>
                                        <w:rFonts w:asciiTheme="majorHAnsi" w:eastAsiaTheme="majorEastAsia" w:hAnsiTheme="majorHAnsi" w:cstheme="majorBidi"/>
                                        <w:noProof/>
                                        <w:color w:val="0E2841" w:themeColor="text2"/>
                                        <w:sz w:val="22"/>
                                        <w:szCs w:val="22"/>
                                      </w:rPr>
                                      <w:t>commu</w:t>
                                    </w:r>
                                    <w:r w:rsidR="00B24B96" w:rsidRPr="003C6E84">
                                      <w:rPr>
                                        <w:rFonts w:asciiTheme="majorHAnsi" w:eastAsiaTheme="majorEastAsia" w:hAnsiTheme="majorHAnsi" w:cstheme="majorBidi"/>
                                        <w:noProof/>
                                        <w:color w:val="0E2841" w:themeColor="text2"/>
                                        <w:sz w:val="22"/>
                                        <w:szCs w:val="22"/>
                                      </w:rPr>
                                      <w:t>nity</w:t>
                                    </w:r>
                                    <w:r w:rsidR="00970AD7">
                                      <w:rPr>
                                        <w:rFonts w:asciiTheme="majorHAnsi" w:eastAsiaTheme="majorEastAsia" w:hAnsiTheme="majorHAnsi" w:cstheme="majorBidi"/>
                                        <w:noProof/>
                                        <w:color w:val="0E2841" w:themeColor="text2"/>
                                        <w:sz w:val="22"/>
                                        <w:szCs w:val="22"/>
                                      </w:rPr>
                                      <w:t>.</w:t>
                                    </w:r>
                                  </w:p>
                                </w:sdtContent>
                              </w:sdt>
                              <w:p w14:paraId="157FBA1C" w14:textId="7B989389" w:rsidR="00F577EC" w:rsidRDefault="00F577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113895E4" id="Text Box 7" o:spid="_x0000_s1029" type="#_x0000_t202" style="position:absolute;margin-left:266.35pt;margin-top:407.05pt;width:220.3pt;height:131.25pt;z-index:25165824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" filled="f" stroked="f" strokeweight=".5pt">
                    <v:textbox>
                      <w:txbxContent>
                        <w:sdt>
                          <w:sdtPr>
                            <w:rPr>
                              <w:rFonts w:asciiTheme="majorHAnsi" w:eastAsiaTheme="majorEastAsia" w:hAnsiTheme="majorHAnsi" w:cstheme="majorBidi"/>
                              <w:noProof/>
                              <w:color w:val="0E2841" w:themeColor="text2"/>
                              <w:sz w:val="22"/>
                              <w:szCs w:val="2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E2B418D" w14:textId="10F18628" w:rsidR="009D3025" w:rsidRPr="003C6E84" w:rsidRDefault="001515A1">
                              <w:pPr>
                                <w:rPr>
                                  <w:rFonts w:asciiTheme="majorHAnsi" w:eastAsiaTheme="majorEastAsia" w:hAnsiTheme="majorHAnsi" w:cstheme="majorBidi"/>
                                  <w:noProof/>
                                  <w:color w:val="0E2841" w:themeColor="text2"/>
                                  <w:sz w:val="22"/>
                                  <w:szCs w:val="22"/>
                                </w:rPr>
                              </w:pPr>
                              <w:r w:rsidRPr="003C6E84">
                                <w:rPr>
                                  <w:rFonts w:asciiTheme="majorHAnsi" w:eastAsiaTheme="majorEastAsia" w:hAnsiTheme="majorHAnsi" w:cstheme="majorBidi"/>
                                  <w:noProof/>
                                  <w:color w:val="0E2841" w:themeColor="text2"/>
                                  <w:sz w:val="22"/>
                                  <w:szCs w:val="22"/>
                                </w:rPr>
                                <w:t xml:space="preserve">A Critical Evaluation of Digital GP and Online Consultation Systems </w:t>
                              </w:r>
                              <w:r w:rsidR="009A381B" w:rsidRPr="003C6E84">
                                <w:rPr>
                                  <w:rFonts w:asciiTheme="majorHAnsi" w:eastAsiaTheme="majorEastAsia" w:hAnsiTheme="majorHAnsi" w:cstheme="majorBidi"/>
                                  <w:noProof/>
                                  <w:color w:val="0E2841" w:themeColor="text2"/>
                                  <w:sz w:val="22"/>
                                  <w:szCs w:val="22"/>
                                </w:rPr>
                                <w:t xml:space="preserve">in UK Health &amp; social care </w:t>
                              </w:r>
                              <w:r w:rsidR="005D0D05" w:rsidRPr="003C6E84">
                                <w:rPr>
                                  <w:rFonts w:asciiTheme="majorHAnsi" w:eastAsiaTheme="majorEastAsia" w:hAnsiTheme="majorHAnsi" w:cstheme="majorBidi"/>
                                  <w:noProof/>
                                  <w:color w:val="0E2841" w:themeColor="text2"/>
                                  <w:sz w:val="22"/>
                                  <w:szCs w:val="22"/>
                                </w:rPr>
                                <w:t>and impact</w:t>
                              </w:r>
                              <w:r w:rsidR="001E744C" w:rsidRPr="003C6E84">
                                <w:rPr>
                                  <w:rFonts w:asciiTheme="majorHAnsi" w:eastAsiaTheme="majorEastAsia" w:hAnsiTheme="majorHAnsi" w:cstheme="majorBidi"/>
                                  <w:noProof/>
                                  <w:color w:val="0E2841" w:themeColor="text2"/>
                                  <w:sz w:val="22"/>
                                  <w:szCs w:val="22"/>
                                </w:rPr>
                                <w:t xml:space="preserve"> </w:t>
                              </w:r>
                              <w:r w:rsidR="004B1C0B" w:rsidRPr="003C6E84">
                                <w:rPr>
                                  <w:rFonts w:asciiTheme="majorHAnsi" w:eastAsiaTheme="majorEastAsia" w:hAnsiTheme="majorHAnsi" w:cstheme="majorBidi"/>
                                  <w:noProof/>
                                  <w:color w:val="0E2841" w:themeColor="text2"/>
                                  <w:sz w:val="22"/>
                                  <w:szCs w:val="22"/>
                                </w:rPr>
                                <w:t>o</w:t>
                              </w:r>
                              <w:r w:rsidR="00B24B96" w:rsidRPr="003C6E84">
                                <w:rPr>
                                  <w:rFonts w:asciiTheme="majorHAnsi" w:eastAsiaTheme="majorEastAsia" w:hAnsiTheme="majorHAnsi" w:cstheme="majorBidi"/>
                                  <w:noProof/>
                                  <w:color w:val="0E2841" w:themeColor="text2"/>
                                  <w:sz w:val="22"/>
                                  <w:szCs w:val="22"/>
                                </w:rPr>
                                <w:t xml:space="preserve">n </w:t>
                              </w:r>
                              <w:r w:rsidR="004B1C0B" w:rsidRPr="003C6E84">
                                <w:rPr>
                                  <w:rFonts w:asciiTheme="majorHAnsi" w:eastAsiaTheme="majorEastAsia" w:hAnsiTheme="majorHAnsi" w:cstheme="majorBidi"/>
                                  <w:noProof/>
                                  <w:color w:val="0E2841" w:themeColor="text2"/>
                                  <w:sz w:val="22"/>
                                  <w:szCs w:val="22"/>
                                </w:rPr>
                                <w:t>commu</w:t>
                              </w:r>
                              <w:r w:rsidR="00B24B96" w:rsidRPr="003C6E84">
                                <w:rPr>
                                  <w:rFonts w:asciiTheme="majorHAnsi" w:eastAsiaTheme="majorEastAsia" w:hAnsiTheme="majorHAnsi" w:cstheme="majorBidi"/>
                                  <w:noProof/>
                                  <w:color w:val="0E2841" w:themeColor="text2"/>
                                  <w:sz w:val="22"/>
                                  <w:szCs w:val="22"/>
                                </w:rPr>
                                <w:t>nity</w:t>
                              </w:r>
                              <w:r w:rsidR="00970AD7">
                                <w:rPr>
                                  <w:rFonts w:asciiTheme="majorHAnsi" w:eastAsiaTheme="majorEastAsia" w:hAnsiTheme="majorHAnsi" w:cstheme="majorBidi"/>
                                  <w:noProof/>
                                  <w:color w:val="0E2841" w:themeColor="text2"/>
                                  <w:sz w:val="22"/>
                                  <w:szCs w:val="22"/>
                                </w:rPr>
                                <w:t>.</w:t>
                              </w:r>
                            </w:p>
                          </w:sdtContent>
                        </w:sdt>
                        <w:p w14:paraId="157FBA1C" w14:textId="7B989389" w:rsidR="00F577EC" w:rsidRDefault="00F577EC"/>
                      </w:txbxContent>
                    </v:textbox>
                    <w10:wrap type="square" anchorx="page" anchory="page"/>
                  </v:shape>
                </w:pict>
              </mc:Fallback>
            </mc:AlternateContent>
          </w:r>
          <w:r w:rsidR="009D3025">
            <w:br w:type="page"/>
          </w:r>
        </w:p>
      </w:sdtContent>
    </w:sdt>
    <w:bookmarkStart w:id="0" w:name="OLE_LINK6" w:displacedByCustomXml="next"/>
    <w:bookmarkStart w:id="1" w:name="OLE_LINK5" w:displacedByCustomXml="next"/>
    <w:sdt>
      <w:sdtPr>
        <w:id w:val="197216195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66E5F35" w14:textId="357DEBA8" w:rsidR="007010C5" w:rsidRDefault="007010C5">
          <w:pPr>
            <w:pStyle w:val="TOCHeading"/>
          </w:pPr>
          <w:r>
            <w:t>Table of Contents</w:t>
          </w:r>
        </w:p>
        <w:p w14:paraId="1A272982" w14:textId="549CA760" w:rsidR="007010C5" w:rsidRDefault="007010C5">
          <w:pPr>
            <w:pStyle w:val="TOC1"/>
            <w:tabs>
              <w:tab w:val="right" w:leader="dot" w:pos="9016"/>
            </w:tabs>
            <w:rPr>
              <w:rFonts w:eastAsiaTheme="minorEastAsia" w:cstheme="minorBidi"/>
              <w:b w:val="0"/>
              <w:bCs w:val="0"/>
              <w:caps w:val="0"/>
              <w:noProof/>
              <w:kern w:val="2"/>
              <w:sz w:val="24"/>
              <w:szCs w:val="24"/>
              <w:u w:val="none"/>
              <w14:ligatures w14:val="standardContextual"/>
            </w:rPr>
          </w:pPr>
          <w:r>
            <w:rPr>
              <w:b w:val="0"/>
              <w:bCs w:val="0"/>
            </w:rPr>
            <w:fldChar w:fldCharType="begin"/>
          </w:r>
          <w:r>
            <w:instrText xml:space="preserve"> TOC \o "1-3" \h \z \u </w:instrText>
          </w:r>
          <w:r>
            <w:rPr>
              <w:b w:val="0"/>
              <w:bCs w:val="0"/>
            </w:rPr>
            <w:fldChar w:fldCharType="separate"/>
          </w:r>
          <w:hyperlink w:anchor="_Toc223232035" w:history="1">
            <w:r w:rsidRPr="005D3B89">
              <w:rPr>
                <w:rStyle w:val="Hyperlink"/>
                <w:noProof/>
              </w:rPr>
              <w:t>Introduction:</w:t>
            </w:r>
            <w:r>
              <w:rPr>
                <w:noProof/>
                <w:webHidden/>
              </w:rPr>
              <w:tab/>
            </w:r>
            <w:r>
              <w:rPr>
                <w:noProof/>
                <w:webHidden/>
              </w:rPr>
              <w:fldChar w:fldCharType="begin"/>
            </w:r>
            <w:r>
              <w:rPr>
                <w:noProof/>
                <w:webHidden/>
              </w:rPr>
              <w:instrText xml:space="preserve"> PAGEREF _Toc223232035 \h </w:instrText>
            </w:r>
            <w:r>
              <w:rPr>
                <w:noProof/>
                <w:webHidden/>
              </w:rPr>
            </w:r>
            <w:r>
              <w:rPr>
                <w:noProof/>
                <w:webHidden/>
              </w:rPr>
              <w:fldChar w:fldCharType="separate"/>
            </w:r>
            <w:r w:rsidR="00E11A09">
              <w:rPr>
                <w:noProof/>
                <w:webHidden/>
              </w:rPr>
              <w:t>1</w:t>
            </w:r>
            <w:r>
              <w:rPr>
                <w:noProof/>
                <w:webHidden/>
              </w:rPr>
              <w:fldChar w:fldCharType="end"/>
            </w:r>
          </w:hyperlink>
        </w:p>
        <w:p w14:paraId="6B70223C" w14:textId="31E83EFE" w:rsidR="007010C5" w:rsidRDefault="007010C5">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23232036" w:history="1">
            <w:r w:rsidRPr="005D3B89">
              <w:rPr>
                <w:rStyle w:val="Hyperlink"/>
                <w:noProof/>
              </w:rPr>
              <w:t>Impact on Service Delivery:</w:t>
            </w:r>
            <w:r>
              <w:rPr>
                <w:noProof/>
                <w:webHidden/>
              </w:rPr>
              <w:tab/>
            </w:r>
            <w:r>
              <w:rPr>
                <w:noProof/>
                <w:webHidden/>
              </w:rPr>
              <w:fldChar w:fldCharType="begin"/>
            </w:r>
            <w:r>
              <w:rPr>
                <w:noProof/>
                <w:webHidden/>
              </w:rPr>
              <w:instrText xml:space="preserve"> PAGEREF _Toc223232036 \h </w:instrText>
            </w:r>
            <w:r>
              <w:rPr>
                <w:noProof/>
                <w:webHidden/>
              </w:rPr>
            </w:r>
            <w:r>
              <w:rPr>
                <w:noProof/>
                <w:webHidden/>
              </w:rPr>
              <w:fldChar w:fldCharType="separate"/>
            </w:r>
            <w:r w:rsidR="00E11A09">
              <w:rPr>
                <w:noProof/>
                <w:webHidden/>
              </w:rPr>
              <w:t>2</w:t>
            </w:r>
            <w:r>
              <w:rPr>
                <w:noProof/>
                <w:webHidden/>
              </w:rPr>
              <w:fldChar w:fldCharType="end"/>
            </w:r>
          </w:hyperlink>
        </w:p>
        <w:p w14:paraId="47DE58F9" w14:textId="723CDC46" w:rsidR="007010C5" w:rsidRDefault="007010C5">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23232037" w:history="1">
            <w:r w:rsidRPr="005D3B89">
              <w:rPr>
                <w:rStyle w:val="Hyperlink"/>
                <w:rFonts w:asciiTheme="minorBidi" w:hAnsiTheme="minorBidi"/>
                <w:noProof/>
              </w:rPr>
              <w:t>Impact on Patient and Service User Experience:</w:t>
            </w:r>
            <w:r>
              <w:rPr>
                <w:noProof/>
                <w:webHidden/>
              </w:rPr>
              <w:tab/>
            </w:r>
            <w:r>
              <w:rPr>
                <w:noProof/>
                <w:webHidden/>
              </w:rPr>
              <w:fldChar w:fldCharType="begin"/>
            </w:r>
            <w:r>
              <w:rPr>
                <w:noProof/>
                <w:webHidden/>
              </w:rPr>
              <w:instrText xml:space="preserve"> PAGEREF _Toc223232037 \h </w:instrText>
            </w:r>
            <w:r>
              <w:rPr>
                <w:noProof/>
                <w:webHidden/>
              </w:rPr>
            </w:r>
            <w:r>
              <w:rPr>
                <w:noProof/>
                <w:webHidden/>
              </w:rPr>
              <w:fldChar w:fldCharType="separate"/>
            </w:r>
            <w:r w:rsidR="00E11A09">
              <w:rPr>
                <w:noProof/>
                <w:webHidden/>
              </w:rPr>
              <w:t>4</w:t>
            </w:r>
            <w:r>
              <w:rPr>
                <w:noProof/>
                <w:webHidden/>
              </w:rPr>
              <w:fldChar w:fldCharType="end"/>
            </w:r>
          </w:hyperlink>
        </w:p>
        <w:p w14:paraId="380827FE" w14:textId="31C11100" w:rsidR="007010C5" w:rsidRDefault="007010C5">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23232038" w:history="1">
            <w:r w:rsidRPr="005D3B89">
              <w:rPr>
                <w:rStyle w:val="Hyperlink"/>
                <w:noProof/>
              </w:rPr>
              <w:t>Impact on the Community:</w:t>
            </w:r>
            <w:r>
              <w:rPr>
                <w:noProof/>
                <w:webHidden/>
              </w:rPr>
              <w:tab/>
            </w:r>
            <w:r>
              <w:rPr>
                <w:noProof/>
                <w:webHidden/>
              </w:rPr>
              <w:fldChar w:fldCharType="begin"/>
            </w:r>
            <w:r>
              <w:rPr>
                <w:noProof/>
                <w:webHidden/>
              </w:rPr>
              <w:instrText xml:space="preserve"> PAGEREF _Toc223232038 \h </w:instrText>
            </w:r>
            <w:r>
              <w:rPr>
                <w:noProof/>
                <w:webHidden/>
              </w:rPr>
            </w:r>
            <w:r>
              <w:rPr>
                <w:noProof/>
                <w:webHidden/>
              </w:rPr>
              <w:fldChar w:fldCharType="separate"/>
            </w:r>
            <w:r w:rsidR="00E11A09">
              <w:rPr>
                <w:noProof/>
                <w:webHidden/>
              </w:rPr>
              <w:t>5</w:t>
            </w:r>
            <w:r>
              <w:rPr>
                <w:noProof/>
                <w:webHidden/>
              </w:rPr>
              <w:fldChar w:fldCharType="end"/>
            </w:r>
          </w:hyperlink>
        </w:p>
        <w:p w14:paraId="2BF30574" w14:textId="1C12473E" w:rsidR="007010C5" w:rsidRDefault="007010C5">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23232039" w:history="1">
            <w:r w:rsidRPr="005D3B89">
              <w:rPr>
                <w:rStyle w:val="Hyperlink"/>
                <w:noProof/>
              </w:rPr>
              <w:t>Conclusion:</w:t>
            </w:r>
            <w:r>
              <w:rPr>
                <w:noProof/>
                <w:webHidden/>
              </w:rPr>
              <w:tab/>
            </w:r>
            <w:r>
              <w:rPr>
                <w:noProof/>
                <w:webHidden/>
              </w:rPr>
              <w:fldChar w:fldCharType="begin"/>
            </w:r>
            <w:r>
              <w:rPr>
                <w:noProof/>
                <w:webHidden/>
              </w:rPr>
              <w:instrText xml:space="preserve"> PAGEREF _Toc223232039 \h </w:instrText>
            </w:r>
            <w:r>
              <w:rPr>
                <w:noProof/>
                <w:webHidden/>
              </w:rPr>
            </w:r>
            <w:r>
              <w:rPr>
                <w:noProof/>
                <w:webHidden/>
              </w:rPr>
              <w:fldChar w:fldCharType="separate"/>
            </w:r>
            <w:r w:rsidR="00E11A09">
              <w:rPr>
                <w:noProof/>
                <w:webHidden/>
              </w:rPr>
              <w:t>8</w:t>
            </w:r>
            <w:r>
              <w:rPr>
                <w:noProof/>
                <w:webHidden/>
              </w:rPr>
              <w:fldChar w:fldCharType="end"/>
            </w:r>
          </w:hyperlink>
        </w:p>
        <w:p w14:paraId="2525063D" w14:textId="39E15B63" w:rsidR="007010C5" w:rsidRDefault="007010C5">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23232040" w:history="1">
            <w:r w:rsidRPr="005D3B89">
              <w:rPr>
                <w:rStyle w:val="Hyperlink"/>
                <w:noProof/>
              </w:rPr>
              <w:t>References:</w:t>
            </w:r>
            <w:r>
              <w:rPr>
                <w:noProof/>
                <w:webHidden/>
              </w:rPr>
              <w:tab/>
            </w:r>
            <w:r>
              <w:rPr>
                <w:noProof/>
                <w:webHidden/>
              </w:rPr>
              <w:fldChar w:fldCharType="begin"/>
            </w:r>
            <w:r>
              <w:rPr>
                <w:noProof/>
                <w:webHidden/>
              </w:rPr>
              <w:instrText xml:space="preserve"> PAGEREF _Toc223232040 \h </w:instrText>
            </w:r>
            <w:r>
              <w:rPr>
                <w:noProof/>
                <w:webHidden/>
              </w:rPr>
            </w:r>
            <w:r>
              <w:rPr>
                <w:noProof/>
                <w:webHidden/>
              </w:rPr>
              <w:fldChar w:fldCharType="separate"/>
            </w:r>
            <w:r w:rsidR="00E11A09">
              <w:rPr>
                <w:noProof/>
                <w:webHidden/>
              </w:rPr>
              <w:t>10</w:t>
            </w:r>
            <w:r>
              <w:rPr>
                <w:noProof/>
                <w:webHidden/>
              </w:rPr>
              <w:fldChar w:fldCharType="end"/>
            </w:r>
          </w:hyperlink>
        </w:p>
        <w:p w14:paraId="0347610E" w14:textId="5D558937" w:rsidR="007010C5" w:rsidRDefault="007010C5">
          <w:r>
            <w:rPr>
              <w:b/>
              <w:bCs/>
              <w:noProof/>
            </w:rPr>
            <w:fldChar w:fldCharType="end"/>
          </w:r>
        </w:p>
      </w:sdtContent>
    </w:sdt>
    <w:p w14:paraId="097F6B91" w14:textId="77777777" w:rsidR="00543BC1" w:rsidRDefault="00543BC1" w:rsidP="00875BB2">
      <w:pPr>
        <w:pStyle w:val="Heading1"/>
      </w:pPr>
      <w:bookmarkStart w:id="2" w:name="_Toc223232035"/>
    </w:p>
    <w:p w14:paraId="6F31DFFE" w14:textId="77777777" w:rsidR="00543BC1" w:rsidRDefault="00543BC1" w:rsidP="00875BB2">
      <w:pPr>
        <w:pStyle w:val="Heading1"/>
      </w:pPr>
    </w:p>
    <w:p w14:paraId="1B3840BD" w14:textId="77777777" w:rsidR="00A9276F" w:rsidRDefault="00A9276F" w:rsidP="00875BB2">
      <w:pPr>
        <w:pStyle w:val="Heading1"/>
      </w:pPr>
    </w:p>
    <w:p w14:paraId="3B0A478E" w14:textId="77777777" w:rsidR="00A9276F" w:rsidRDefault="00A9276F" w:rsidP="00875BB2">
      <w:pPr>
        <w:pStyle w:val="Heading1"/>
      </w:pPr>
    </w:p>
    <w:p w14:paraId="6EAFC841" w14:textId="77777777" w:rsidR="00A9276F" w:rsidRDefault="00A9276F" w:rsidP="00875BB2">
      <w:pPr>
        <w:pStyle w:val="Heading1"/>
      </w:pPr>
    </w:p>
    <w:p w14:paraId="377F67D0" w14:textId="77777777" w:rsidR="00A9276F" w:rsidRDefault="00A9276F" w:rsidP="00875BB2">
      <w:pPr>
        <w:pStyle w:val="Heading1"/>
      </w:pPr>
    </w:p>
    <w:p w14:paraId="7E4F8C8F" w14:textId="77777777" w:rsidR="00A9276F" w:rsidRDefault="00A9276F" w:rsidP="00875BB2">
      <w:pPr>
        <w:pStyle w:val="Heading1"/>
      </w:pPr>
    </w:p>
    <w:p w14:paraId="278BCE87" w14:textId="77777777" w:rsidR="002468D4" w:rsidRDefault="002468D4" w:rsidP="00875BB2">
      <w:pPr>
        <w:pStyle w:val="Heading1"/>
      </w:pPr>
    </w:p>
    <w:bookmarkEnd w:id="2"/>
    <w:p w14:paraId="303B6277" w14:textId="317185A6" w:rsidR="00504F31" w:rsidRDefault="00504F31" w:rsidP="00875BB2">
      <w:pPr>
        <w:pStyle w:val="Heading1"/>
      </w:pPr>
    </w:p>
    <w:p w14:paraId="6F06E799" w14:textId="77777777" w:rsidR="002468D4" w:rsidRDefault="002468D4" w:rsidP="002468D4">
      <w:pPr>
        <w:rPr>
          <w:lang w:eastAsia="en-US"/>
        </w:rPr>
      </w:pPr>
    </w:p>
    <w:p w14:paraId="664BD795" w14:textId="77777777" w:rsidR="002468D4" w:rsidRDefault="002468D4" w:rsidP="002468D4">
      <w:pPr>
        <w:rPr>
          <w:lang w:eastAsia="en-US"/>
        </w:rPr>
      </w:pPr>
    </w:p>
    <w:p w14:paraId="68445FE2" w14:textId="6F7AE28B" w:rsidR="002468D4" w:rsidRPr="002468D4" w:rsidRDefault="008B2F66" w:rsidP="00E11A09">
      <w:pPr>
        <w:pStyle w:val="Heading1"/>
      </w:pPr>
      <w:r>
        <w:lastRenderedPageBreak/>
        <w:t>Introduction</w:t>
      </w:r>
      <w:r w:rsidR="00E11A09">
        <w:t>:</w:t>
      </w:r>
    </w:p>
    <w:p w14:paraId="713D32F7" w14:textId="6640F602" w:rsidR="00504F31" w:rsidRPr="00AE159E" w:rsidRDefault="00543729"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As healthcare services deal with growing demand, staffing shortages, and budgetary constraints, digital innovation has taken center stage in UK policy. Consequently, over the past ten years, primary care has experienced a substantial digital transformation, mainly due to the growth of digital general practitioners and online consultation platforms like AskMyGP, eConsult, and the NHS App. With the goal of enhancing access to care and service effectiveness, these platforms allow patients to schedule appointments, request repeat prescriptions, submit symptom questionnaires, and consult clinicians remotely.</w:t>
      </w:r>
      <w:r w:rsidR="00504F31" w:rsidRPr="00AE159E">
        <w:rPr>
          <w:rFonts w:asciiTheme="minorBidi" w:hAnsiTheme="minorBidi" w:cstheme="minorBidi"/>
          <w:sz w:val="22"/>
          <w:szCs w:val="22"/>
        </w:rPr>
        <w:t xml:space="preserve"> (NHS England, 2023).</w:t>
      </w:r>
    </w:p>
    <w:p w14:paraId="3DC82A8B" w14:textId="77777777" w:rsidR="00466FEB" w:rsidRPr="00AE159E" w:rsidRDefault="00466FEB"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Rapid digital adoption was greatly accelerated by the COVID-19 pandemic, with remote consultations taking precedence over other access methods during lockdowns (Greenhalgh et al., 2020). This guaranteed continuity of care, but it also revealed digital infrastructure flaws and disparities in access to digital resources among various demographic groups (ONS, 2021). In order to enhance patient flow and system resilience in primary care, digital GP systems are now seen as both technological tools and policy mechanisms (DHSC, 2022).</w:t>
      </w:r>
    </w:p>
    <w:p w14:paraId="492F3056" w14:textId="6A6B9F39"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However, evidence suggests that digital consultations do not automatically reduce workload and may increase demand due to lower barriers to access (Bakhai et al., 2020). Concerns also remain regarding diagnostic safety, continuity of care and exclusion of digitally marginalised populations (The King’s Fund, 2021). Therefore, critical evaluation is required to assess whether these systems genuinely enhance care quality or merely redistribute pressures within overstretched services.</w:t>
      </w:r>
    </w:p>
    <w:p w14:paraId="325E2D02"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This report critically evaluates the impact of digital GP and online consultation systems on service delivery, patient and service user experience, and the wider community, drawing on recent UK-based research and policy evidence.</w:t>
      </w:r>
    </w:p>
    <w:p w14:paraId="61F1706E" w14:textId="13C1B4ED" w:rsidR="00504F31" w:rsidRPr="00AE159E" w:rsidRDefault="00504F31" w:rsidP="00AE159E">
      <w:pPr>
        <w:spacing w:line="360" w:lineRule="auto"/>
        <w:rPr>
          <w:rFonts w:asciiTheme="minorBidi" w:hAnsiTheme="minorBidi" w:cstheme="minorBidi"/>
          <w:sz w:val="22"/>
          <w:szCs w:val="22"/>
        </w:rPr>
      </w:pPr>
    </w:p>
    <w:p w14:paraId="0673097A" w14:textId="331B2304" w:rsidR="00504F31" w:rsidRPr="00F93CC9" w:rsidRDefault="00504F31" w:rsidP="00F93CC9">
      <w:pPr>
        <w:pStyle w:val="Heading1"/>
      </w:pPr>
      <w:r w:rsidRPr="00F93CC9">
        <w:t xml:space="preserve"> </w:t>
      </w:r>
      <w:bookmarkStart w:id="3" w:name="_Toc223232036"/>
      <w:r w:rsidRPr="00F93CC9">
        <w:t>Impact on Service Delivery</w:t>
      </w:r>
      <w:r w:rsidR="00F13B57" w:rsidRPr="00F93CC9">
        <w:t>:</w:t>
      </w:r>
      <w:bookmarkEnd w:id="3"/>
      <w:r w:rsidRPr="00F93CC9">
        <w:t xml:space="preserve"> </w:t>
      </w:r>
    </w:p>
    <w:p w14:paraId="5DEEBDA9" w14:textId="77F682D8" w:rsidR="00CB610D" w:rsidRPr="00AE159E" w:rsidRDefault="00CB610D"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The way that primary care services handle patient demand and workflow has been profoundly changed by digital GP systems. Using online triage tools, which enable clinicians to assign appointments more efficiently and prioritise urgent cases, is one significant benefit. </w:t>
      </w:r>
      <w:r w:rsidRPr="00AE159E">
        <w:rPr>
          <w:rFonts w:asciiTheme="minorBidi" w:hAnsiTheme="minorBidi" w:cstheme="minorBidi"/>
          <w:sz w:val="22"/>
          <w:szCs w:val="22"/>
        </w:rPr>
        <w:lastRenderedPageBreak/>
        <w:t>By detecting high-risk symptoms early, digital triage may help reduce needless ER visits, according to</w:t>
      </w:r>
      <w:r w:rsidR="00CB2509" w:rsidRPr="00AE159E">
        <w:rPr>
          <w:rFonts w:asciiTheme="minorBidi" w:hAnsiTheme="minorBidi" w:cstheme="minorBidi"/>
          <w:sz w:val="22"/>
          <w:szCs w:val="22"/>
        </w:rPr>
        <w:t>(</w:t>
      </w:r>
      <w:r w:rsidRPr="00AE159E">
        <w:rPr>
          <w:rFonts w:asciiTheme="minorBidi" w:hAnsiTheme="minorBidi" w:cstheme="minorBidi"/>
          <w:sz w:val="22"/>
          <w:szCs w:val="22"/>
        </w:rPr>
        <w:t>NHS England 2023).</w:t>
      </w:r>
    </w:p>
    <w:p w14:paraId="41D9B879" w14:textId="2F189A93"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Digital systems also enable flexible working patterns for clinicians, including remote working and asynchronous consultations. This can improve workforce sustainability by allowing staff to manage workloads more flexibly and reducing burnout, particularly among GPs facing high patient volumes (RCGP, 2021). Additionally, administrative efficiencies may improve through automated prescription requests and integrated patient records, reducing duplication of tasks.</w:t>
      </w:r>
    </w:p>
    <w:p w14:paraId="5886DA8A"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However, evidence indicates that digital access can generate increased overall demand rather than replacing face-to-face appointments. Bakhai et al. (2020) found that online systems often produce additional consultation layers, as clinicians still need to contact patients to clarify symptoms or arrange physical examinations. This may lead to longer working hours and increased cognitive load for staff reviewing high volumes of digital requests.</w:t>
      </w:r>
    </w:p>
    <w:p w14:paraId="487ABF24"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Another concern is diagnostic risk. Remote consultations restrict physical assessment, which may lead to missed symptoms or delayed diagnoses, particularly for complex or multimorbid patients (Shaw et al., 2018). Defensive practice may increase, with clinicians arranging unnecessary investigations or follow-up appointments to manage clinical uncertainty, reducing efficiency gains.</w:t>
      </w:r>
    </w:p>
    <w:p w14:paraId="2803AE35"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Integration challenges further complicate service delivery. Many GP practices use different digital platforms that do not fully integrate with NHS systems, increasing administrative workload and risking data fragmentation (The King’s Fund, 2021). Staff training also varies, and inconsistent digital literacy among healthcare workers may hinder effective use of systems.</w:t>
      </w:r>
    </w:p>
    <w:p w14:paraId="303EF0D6"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While digital consultations support rapid access, they may undermine continuity of care, particularly when patients are routed to different clinicians rather than their usual GP. Continuity is strongly linked to better outcomes, reduced hospital admissions and improved patient satisfaction (RCGP, 2021). Therefore, excessive reliance on digital triage may compromise relational aspects of primary care.</w:t>
      </w:r>
    </w:p>
    <w:p w14:paraId="79AA0373" w14:textId="1A9896D1"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Overall, digital GP systems offer clear logistical benefits, but without adequate staffing, </w:t>
      </w:r>
      <w:r w:rsidR="00CE1A1D" w:rsidRPr="00AE159E">
        <w:rPr>
          <w:rFonts w:asciiTheme="minorBidi" w:hAnsiTheme="minorBidi" w:cstheme="minorBidi"/>
          <w:sz w:val="22"/>
          <w:szCs w:val="22"/>
        </w:rPr>
        <w:t>integration,</w:t>
      </w:r>
      <w:r w:rsidRPr="00AE159E">
        <w:rPr>
          <w:rFonts w:asciiTheme="minorBidi" w:hAnsiTheme="minorBidi" w:cstheme="minorBidi"/>
          <w:sz w:val="22"/>
          <w:szCs w:val="22"/>
        </w:rPr>
        <w:t xml:space="preserve"> and governance, they may intensify service pressures rather than relieve them. </w:t>
      </w:r>
      <w:r w:rsidRPr="00AE159E">
        <w:rPr>
          <w:rFonts w:asciiTheme="minorBidi" w:hAnsiTheme="minorBidi" w:cstheme="minorBidi"/>
          <w:sz w:val="22"/>
          <w:szCs w:val="22"/>
        </w:rPr>
        <w:lastRenderedPageBreak/>
        <w:t>A blended model combining digital triage with protected face-to-face capacity appears most effective for maintaining safety and sustainability.</w:t>
      </w:r>
    </w:p>
    <w:p w14:paraId="3B5B0512" w14:textId="33DC14CC" w:rsidR="00504F31" w:rsidRPr="00AE159E" w:rsidRDefault="00504F31" w:rsidP="00AE159E">
      <w:pPr>
        <w:spacing w:before="100" w:beforeAutospacing="1" w:after="100" w:afterAutospacing="1" w:line="360" w:lineRule="auto"/>
        <w:outlineLvl w:val="1"/>
        <w:rPr>
          <w:rFonts w:asciiTheme="minorBidi" w:hAnsiTheme="minorBidi" w:cstheme="minorBidi"/>
          <w:sz w:val="22"/>
          <w:szCs w:val="22"/>
        </w:rPr>
      </w:pPr>
      <w:r w:rsidRPr="00AE159E">
        <w:rPr>
          <w:rFonts w:asciiTheme="minorBidi" w:hAnsiTheme="minorBidi" w:cstheme="minorBidi"/>
          <w:b/>
          <w:bCs/>
          <w:sz w:val="22"/>
          <w:szCs w:val="22"/>
        </w:rPr>
        <w:t xml:space="preserve"> </w:t>
      </w:r>
      <w:bookmarkStart w:id="4" w:name="_Toc223232037"/>
      <w:r w:rsidRPr="00AE159E">
        <w:rPr>
          <w:rFonts w:asciiTheme="minorBidi" w:hAnsiTheme="minorBidi" w:cstheme="minorBidi"/>
          <w:sz w:val="22"/>
          <w:szCs w:val="22"/>
        </w:rPr>
        <w:t>Impact on Patient and Service User Experience</w:t>
      </w:r>
      <w:r w:rsidR="00F13B57" w:rsidRPr="00AE159E">
        <w:rPr>
          <w:rFonts w:asciiTheme="minorBidi" w:hAnsiTheme="minorBidi" w:cstheme="minorBidi"/>
          <w:sz w:val="22"/>
          <w:szCs w:val="22"/>
        </w:rPr>
        <w:t>:</w:t>
      </w:r>
      <w:bookmarkEnd w:id="4"/>
    </w:p>
    <w:p w14:paraId="2DDE4C39"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Digital GP services have improved convenience and accessibility for many patients. The NHS App enables users to book appointments, view medical records and request prescriptions, supporting self-management and reducing administrative delays (NHS Digital, 2022). For working adults and carers, digital access reduces time off work and travel costs, improving engagement with preventive care.</w:t>
      </w:r>
    </w:p>
    <w:p w14:paraId="441EE187"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Remote consultations may also benefit individuals with mobility limitations, anxiety disorders or long-term conditions who struggle to attend in-person appointments (Ipsos, 2022). Faster access to advice can reduce anxiety and encourage earlier intervention, particularly for minor illnesses.</w:t>
      </w:r>
    </w:p>
    <w:p w14:paraId="6FBEC212" w14:textId="454359AC"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However, digital inclusion remains a major concern. </w:t>
      </w:r>
      <w:r w:rsidR="00C912C6" w:rsidRPr="00AE159E">
        <w:rPr>
          <w:rFonts w:asciiTheme="minorBidi" w:hAnsiTheme="minorBidi" w:cstheme="minorBidi"/>
          <w:sz w:val="22"/>
          <w:szCs w:val="22"/>
        </w:rPr>
        <w:t>(</w:t>
      </w:r>
      <w:r w:rsidRPr="00AE159E">
        <w:rPr>
          <w:rFonts w:asciiTheme="minorBidi" w:hAnsiTheme="minorBidi" w:cstheme="minorBidi"/>
          <w:sz w:val="22"/>
          <w:szCs w:val="22"/>
        </w:rPr>
        <w:t>ONS 2021) reports that older adults, people with disabilities, low-income households and some ethnic minority groups are more likely to lack internet access or digital skills. If digital routes become the default, these groups risk reduced access to care, exacerbating health inequalities.</w:t>
      </w:r>
    </w:p>
    <w:p w14:paraId="04281811" w14:textId="1E640AB6"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Patient safety and quality of communication are also debated. Some patients report difficulties explaining symptoms through online forms, particularly when experiencing pain, mental </w:t>
      </w:r>
      <w:r w:rsidR="00EA6479" w:rsidRPr="00AE159E">
        <w:rPr>
          <w:rFonts w:asciiTheme="minorBidi" w:hAnsiTheme="minorBidi" w:cstheme="minorBidi"/>
          <w:sz w:val="22"/>
          <w:szCs w:val="22"/>
        </w:rPr>
        <w:t>distress,</w:t>
      </w:r>
      <w:r w:rsidRPr="00AE159E">
        <w:rPr>
          <w:rFonts w:asciiTheme="minorBidi" w:hAnsiTheme="minorBidi" w:cstheme="minorBidi"/>
          <w:sz w:val="22"/>
          <w:szCs w:val="22"/>
        </w:rPr>
        <w:t xml:space="preserve"> or complex conditions (Shaw et al., 2018). Lack of visual cues and physical assessment may reduce clinician understanding and patient confidence in diagnoses.</w:t>
      </w:r>
    </w:p>
    <w:p w14:paraId="112FEA78"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Privacy concerns also affect patient experience. Not all patients have private home environments to discuss sensitive health issues, particularly those experiencing domestic abuse or living in overcrowded housing (The King’s Fund, 2021). Digital consultations may therefore limit disclosure of safeguarding concerns.</w:t>
      </w:r>
    </w:p>
    <w:p w14:paraId="78D8D0D7" w14:textId="77777777" w:rsidR="009D2423" w:rsidRPr="00AE159E" w:rsidRDefault="007A5A66"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Contact that is transactional rather than relational may result in a diminished therapeutic connection for people receiving mental health services. Digital tools can help with monitoring, but they might not be able to replace the emotional comfort that comes from face-to-face communication, which could cause crisis situations to go unnoticed.</w:t>
      </w:r>
    </w:p>
    <w:p w14:paraId="76847D3C" w14:textId="17D59C45"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Furthermore, patients may perceive digital systems as barriers rather than gateways to care, particularly when automated triage rejects appointment requests or delays clinician contact. This can lead to frustration, repeat submissions and loss of trust in services (Ipsos, 2022).</w:t>
      </w:r>
    </w:p>
    <w:p w14:paraId="56F07E0A" w14:textId="0DCFCB61" w:rsidR="00504F31" w:rsidRPr="00AE159E" w:rsidRDefault="00AB499C" w:rsidP="00AE159E">
      <w:pPr>
        <w:spacing w:line="360" w:lineRule="auto"/>
        <w:rPr>
          <w:rFonts w:asciiTheme="minorBidi" w:hAnsiTheme="minorBidi" w:cstheme="minorBidi"/>
          <w:sz w:val="22"/>
          <w:szCs w:val="22"/>
        </w:rPr>
      </w:pPr>
      <w:r w:rsidRPr="00AE159E">
        <w:rPr>
          <w:rFonts w:asciiTheme="minorBidi" w:hAnsiTheme="minorBidi" w:cstheme="minorBidi"/>
          <w:sz w:val="22"/>
          <w:szCs w:val="22"/>
        </w:rPr>
        <w:lastRenderedPageBreak/>
        <w:t>As a result, although digital general practitioner systems make life easier for some, they run the risk of establishing a system of access that favours patients who are more comfortable using technology. In order to maintain equity and patient-cantered care, alternative access routes, such as walk-in and phone options, must be maintained.</w:t>
      </w:r>
    </w:p>
    <w:p w14:paraId="632028D6" w14:textId="778CC5DB" w:rsidR="00504F31" w:rsidRPr="00153575" w:rsidRDefault="00504F31" w:rsidP="00153575">
      <w:pPr>
        <w:pStyle w:val="Heading1"/>
      </w:pPr>
      <w:bookmarkStart w:id="5" w:name="_Toc223232038"/>
      <w:r w:rsidRPr="00153575">
        <w:t>Impact on the Community</w:t>
      </w:r>
      <w:r w:rsidR="00F13B57" w:rsidRPr="00153575">
        <w:t>:</w:t>
      </w:r>
      <w:bookmarkEnd w:id="5"/>
      <w:r w:rsidRPr="00153575">
        <w:t xml:space="preserve"> </w:t>
      </w:r>
    </w:p>
    <w:p w14:paraId="46B0EA70" w14:textId="77777777" w:rsidR="00E74723" w:rsidRPr="00AE159E" w:rsidRDefault="00D0111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Digital general practitioner systems have the potential to enhance community access in underserved and rural areas with limited physical healthcare facilities. For populations that are geographically isolated, remote consultations facilitate continuity of care and lower travel barriers (DHSC, 2022). By facilitating earlier primary care intervention, this can alleviate the strain on emergency departments. </w:t>
      </w:r>
      <w:r w:rsidRPr="00AE159E">
        <w:rPr>
          <w:rFonts w:asciiTheme="minorBidi" w:hAnsiTheme="minorBidi" w:cstheme="minorBidi"/>
          <w:sz w:val="22"/>
          <w:szCs w:val="22"/>
        </w:rPr>
        <w:br/>
        <w:t>Campaigns for health promotion, immunisation reminders, and public health communication are also made easier by digital platforms. Digital systems helped with population-level disease management during the COVID-19 pandemic by facilitating the quick distribution of advice and symptom monitoring (Greenhalgh et al., 2020).</w:t>
      </w:r>
    </w:p>
    <w:p w14:paraId="17628A50" w14:textId="599F1336"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However, digital innovation may widen community-level inequalities. Areas with limited broadband infrastructure or socioeconomic deprivation may experience reduced access if in-person services are reduced in parallel with digital expansion (ONS, 2021). Community organisations have expressed concern that digital-first models risk undermining local health hubs that provide social support alongside clinical care.</w:t>
      </w:r>
    </w:p>
    <w:p w14:paraId="3A60D89C"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Reduced face-to-face contact may also impact social cohesion, particularly for older adults who rely on GP visits for social interaction and reassurance. Loneliness is strongly associated with poor health outcomes, and digital substitution may unintentionally contribute to social isolation (The King’s Fund, 2021).</w:t>
      </w:r>
    </w:p>
    <w:p w14:paraId="30629F55"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Community trust in healthcare services may also be affected if patients perceive digital systems as impersonal or inaccessible. Public engagement and co-production are therefore essential to ensure that digital services reflect community needs rather than imposing technological solutions without local consultation.</w:t>
      </w:r>
    </w:p>
    <w:p w14:paraId="52873E5E" w14:textId="77777777" w:rsidR="00504F31" w:rsidRPr="00AE159E" w:rsidRDefault="00504F31"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Partnerships with libraries, community centres and voluntary organisations can support digital literacy training and access to devices, improving inclusion (DHSC, 2022). Without such investment, digital healthcare risks reinforcing structural inequalities rather than reducing them.</w:t>
      </w:r>
    </w:p>
    <w:p w14:paraId="67AA4AC7" w14:textId="37696AA5" w:rsidR="004418D3" w:rsidRPr="00AE159E" w:rsidRDefault="00504F31" w:rsidP="00042E87">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lastRenderedPageBreak/>
        <w:t>Thus, digital GP systems can support community health when implemented alongside social infrastructure, but they cannot replace the social value of local healthcare presence.</w:t>
      </w:r>
    </w:p>
    <w:p w14:paraId="45EA8754" w14:textId="0C5F94F1" w:rsidR="009B06C6" w:rsidRPr="00AE159E" w:rsidRDefault="008D1BAF" w:rsidP="00AE159E">
      <w:pPr>
        <w:spacing w:beforeAutospacing="1" w:afterAutospacing="1" w:line="360" w:lineRule="auto"/>
        <w:rPr>
          <w:rFonts w:asciiTheme="minorBidi" w:hAnsiTheme="minorBidi" w:cstheme="minorBidi"/>
          <w:i/>
          <w:iCs/>
          <w:sz w:val="22"/>
          <w:szCs w:val="22"/>
        </w:rPr>
      </w:pPr>
      <w:r w:rsidRPr="00AE159E">
        <w:rPr>
          <w:rFonts w:asciiTheme="minorBidi" w:hAnsiTheme="minorBidi" w:cstheme="minorBidi"/>
          <w:b/>
          <w:bCs/>
          <w:sz w:val="22"/>
          <w:szCs w:val="22"/>
        </w:rPr>
        <w:t xml:space="preserve"> </w:t>
      </w:r>
      <w:r w:rsidR="004418D3" w:rsidRPr="00AE159E">
        <w:rPr>
          <w:rFonts w:asciiTheme="minorBidi" w:hAnsiTheme="minorBidi" w:cstheme="minorBidi"/>
          <w:i/>
          <w:iCs/>
          <w:sz w:val="22"/>
          <w:szCs w:val="22"/>
        </w:rPr>
        <w:t xml:space="preserve">Recent NHS data shows rapid uptake and widespread use of digital GP and online </w:t>
      </w:r>
    </w:p>
    <w:p w14:paraId="31DF0BD0" w14:textId="7752FE16" w:rsidR="004418D3" w:rsidRPr="00AE159E" w:rsidRDefault="004418D3" w:rsidP="00AE159E">
      <w:pPr>
        <w:spacing w:beforeAutospacing="1" w:afterAutospacing="1" w:line="360" w:lineRule="auto"/>
        <w:rPr>
          <w:rFonts w:asciiTheme="minorBidi" w:hAnsiTheme="minorBidi" w:cstheme="minorBidi"/>
          <w:sz w:val="22"/>
          <w:szCs w:val="22"/>
        </w:rPr>
      </w:pPr>
      <w:r w:rsidRPr="00AE159E">
        <w:rPr>
          <w:rFonts w:asciiTheme="minorBidi" w:hAnsiTheme="minorBidi" w:cstheme="minorBidi"/>
          <w:i/>
          <w:iCs/>
          <w:sz w:val="22"/>
          <w:szCs w:val="22"/>
        </w:rPr>
        <w:t>consultation systems in the UK, highlighting their increasing role in primary care delivery (see Table X). These figures demonstrate both the scale of usage and important trends that support the innovation’s relevance.</w:t>
      </w:r>
    </w:p>
    <w:p w14:paraId="686BD979" w14:textId="77777777" w:rsidR="00C51661" w:rsidRDefault="00C51661" w:rsidP="00620D0E">
      <w:r w:rsidRPr="00AE159E">
        <w:t>Key Statistics on Digital GP / Online Consultation Usage in UK (2024–2025)</w:t>
      </w:r>
    </w:p>
    <w:p w14:paraId="71614023" w14:textId="77777777" w:rsidR="00951480" w:rsidRPr="00951480" w:rsidRDefault="00951480" w:rsidP="00620D0E">
      <w:pPr>
        <w:rPr>
          <w:lang w:eastAsia="en-US"/>
        </w:rPr>
      </w:pPr>
    </w:p>
    <w:tbl>
      <w:tblPr>
        <w:tblStyle w:val="TableGrid"/>
        <w:tblW w:w="0" w:type="auto"/>
        <w:tblLook w:val="04A0" w:firstRow="1" w:lastRow="0" w:firstColumn="1" w:lastColumn="0" w:noHBand="0" w:noVBand="1"/>
      </w:tblPr>
      <w:tblGrid>
        <w:gridCol w:w="3005"/>
        <w:gridCol w:w="3005"/>
        <w:gridCol w:w="3006"/>
      </w:tblGrid>
      <w:tr w:rsidR="00420C70" w:rsidRPr="00AE159E" w14:paraId="483CDA6B" w14:textId="77777777" w:rsidTr="00420C70">
        <w:tc>
          <w:tcPr>
            <w:tcW w:w="3005" w:type="dxa"/>
          </w:tcPr>
          <w:p w14:paraId="0E0FB618" w14:textId="3411B620" w:rsidR="00420C70" w:rsidRPr="00AE159E" w:rsidRDefault="009D2843" w:rsidP="00AB450A">
            <w:r w:rsidRPr="00AE159E">
              <w:t>S</w:t>
            </w:r>
            <w:r w:rsidR="00AD3FD3" w:rsidRPr="00AE159E">
              <w:t>tatistic</w:t>
            </w:r>
          </w:p>
        </w:tc>
        <w:tc>
          <w:tcPr>
            <w:tcW w:w="3005" w:type="dxa"/>
          </w:tcPr>
          <w:p w14:paraId="0BC97656" w14:textId="3FFC4CD8" w:rsidR="00420C70" w:rsidRPr="00AE159E" w:rsidRDefault="003279BA" w:rsidP="00AB450A">
            <w:r w:rsidRPr="00AE159E">
              <w:t>V</w:t>
            </w:r>
            <w:r w:rsidR="00AD3FD3" w:rsidRPr="00AE159E">
              <w:t>alue</w:t>
            </w:r>
          </w:p>
        </w:tc>
        <w:tc>
          <w:tcPr>
            <w:tcW w:w="3006" w:type="dxa"/>
          </w:tcPr>
          <w:p w14:paraId="4ACD7CE3" w14:textId="4EF23667" w:rsidR="00420C70" w:rsidRPr="00AE159E" w:rsidRDefault="009D2843" w:rsidP="00AB450A">
            <w:r w:rsidRPr="00AE159E">
              <w:t>S</w:t>
            </w:r>
            <w:r w:rsidR="00AD3FD3" w:rsidRPr="00AE159E">
              <w:t>our</w:t>
            </w:r>
            <w:r w:rsidR="00461107" w:rsidRPr="00AE159E">
              <w:t xml:space="preserve">ce </w:t>
            </w:r>
          </w:p>
        </w:tc>
      </w:tr>
      <w:tr w:rsidR="00420C70" w:rsidRPr="00AE159E" w14:paraId="5FE2A026" w14:textId="77777777" w:rsidTr="00420C70">
        <w:tc>
          <w:tcPr>
            <w:tcW w:w="3005" w:type="dxa"/>
          </w:tcPr>
          <w:p w14:paraId="61941F6C" w14:textId="7BEFF715" w:rsidR="00420C70" w:rsidRPr="00AE159E" w:rsidRDefault="00B722AF" w:rsidP="00AB450A">
            <w:pPr>
              <w:rPr>
                <w:rFonts w:asciiTheme="minorBidi" w:hAnsiTheme="minorBidi" w:cstheme="minorBidi"/>
                <w:sz w:val="22"/>
                <w:szCs w:val="22"/>
              </w:rPr>
            </w:pPr>
            <w:r w:rsidRPr="00AE159E">
              <w:rPr>
                <w:rFonts w:asciiTheme="minorBidi" w:hAnsiTheme="minorBidi" w:cstheme="minorBidi"/>
                <w:sz w:val="22"/>
                <w:szCs w:val="22"/>
              </w:rPr>
              <w:t>R</w:t>
            </w:r>
            <w:r w:rsidR="001066B5" w:rsidRPr="00AE159E">
              <w:rPr>
                <w:rFonts w:asciiTheme="minorBidi" w:hAnsiTheme="minorBidi" w:cstheme="minorBidi"/>
                <w:sz w:val="22"/>
                <w:szCs w:val="22"/>
              </w:rPr>
              <w:t>egistered</w:t>
            </w:r>
            <w:r w:rsidRPr="00AE159E">
              <w:rPr>
                <w:rFonts w:asciiTheme="minorBidi" w:hAnsiTheme="minorBidi" w:cstheme="minorBidi"/>
                <w:sz w:val="22"/>
                <w:szCs w:val="22"/>
              </w:rPr>
              <w:t xml:space="preserve"> </w:t>
            </w:r>
            <w:r w:rsidR="00406413" w:rsidRPr="00AE159E">
              <w:rPr>
                <w:rFonts w:asciiTheme="minorBidi" w:hAnsiTheme="minorBidi" w:cstheme="minorBidi"/>
                <w:sz w:val="22"/>
                <w:szCs w:val="22"/>
              </w:rPr>
              <w:t xml:space="preserve">app </w:t>
            </w:r>
            <w:r w:rsidRPr="00AE159E">
              <w:rPr>
                <w:rFonts w:asciiTheme="minorBidi" w:hAnsiTheme="minorBidi" w:cstheme="minorBidi"/>
                <w:sz w:val="22"/>
                <w:szCs w:val="22"/>
              </w:rPr>
              <w:t>NH</w:t>
            </w:r>
            <w:r w:rsidR="003F6831" w:rsidRPr="00AE159E">
              <w:rPr>
                <w:rFonts w:asciiTheme="minorBidi" w:hAnsiTheme="minorBidi" w:cstheme="minorBidi"/>
                <w:sz w:val="22"/>
                <w:szCs w:val="22"/>
              </w:rPr>
              <w:t>S</w:t>
            </w:r>
            <w:r w:rsidRPr="00AE159E">
              <w:rPr>
                <w:rFonts w:asciiTheme="minorBidi" w:hAnsiTheme="minorBidi" w:cstheme="minorBidi"/>
                <w:sz w:val="22"/>
                <w:szCs w:val="22"/>
              </w:rPr>
              <w:t xml:space="preserve"> users in</w:t>
            </w:r>
            <w:r w:rsidR="00941D62" w:rsidRPr="00AE159E">
              <w:rPr>
                <w:rFonts w:asciiTheme="minorBidi" w:hAnsiTheme="minorBidi" w:cstheme="minorBidi"/>
                <w:sz w:val="22"/>
                <w:szCs w:val="22"/>
              </w:rPr>
              <w:t xml:space="preserve"> </w:t>
            </w:r>
            <w:r w:rsidR="003E6FC5" w:rsidRPr="00AE159E">
              <w:rPr>
                <w:rFonts w:asciiTheme="minorBidi" w:hAnsiTheme="minorBidi" w:cstheme="minorBidi"/>
                <w:sz w:val="22"/>
                <w:szCs w:val="22"/>
              </w:rPr>
              <w:t>E</w:t>
            </w:r>
            <w:r w:rsidR="00941D62" w:rsidRPr="00AE159E">
              <w:rPr>
                <w:rFonts w:asciiTheme="minorBidi" w:hAnsiTheme="minorBidi" w:cstheme="minorBidi"/>
                <w:sz w:val="22"/>
                <w:szCs w:val="22"/>
              </w:rPr>
              <w:t>ngland</w:t>
            </w:r>
          </w:p>
        </w:tc>
        <w:tc>
          <w:tcPr>
            <w:tcW w:w="3005" w:type="dxa"/>
          </w:tcPr>
          <w:p w14:paraId="0A86694D" w14:textId="709A160F" w:rsidR="00420C70" w:rsidRPr="00AE159E" w:rsidRDefault="008C01ED" w:rsidP="00AB450A">
            <w:pPr>
              <w:rPr>
                <w:rFonts w:asciiTheme="minorBidi" w:hAnsiTheme="minorBidi" w:cstheme="minorBidi"/>
                <w:sz w:val="22"/>
                <w:szCs w:val="22"/>
              </w:rPr>
            </w:pPr>
            <w:r w:rsidRPr="00AE159E">
              <w:rPr>
                <w:rFonts w:asciiTheme="minorBidi" w:hAnsiTheme="minorBidi" w:cstheme="minorBidi"/>
                <w:sz w:val="22"/>
                <w:szCs w:val="22"/>
              </w:rPr>
              <w:t>39</w:t>
            </w:r>
            <w:r w:rsidR="0061133D" w:rsidRPr="00AE159E">
              <w:rPr>
                <w:rFonts w:asciiTheme="minorBidi" w:hAnsiTheme="minorBidi" w:cstheme="minorBidi"/>
                <w:sz w:val="22"/>
                <w:szCs w:val="22"/>
              </w:rPr>
              <w:t xml:space="preserve"> </w:t>
            </w:r>
            <w:r w:rsidR="002B0008" w:rsidRPr="00AE159E">
              <w:rPr>
                <w:rFonts w:asciiTheme="minorBidi" w:hAnsiTheme="minorBidi" w:cstheme="minorBidi"/>
                <w:sz w:val="22"/>
                <w:szCs w:val="22"/>
              </w:rPr>
              <w:t>millio</w:t>
            </w:r>
            <w:r w:rsidR="0061133D" w:rsidRPr="00AE159E">
              <w:rPr>
                <w:rFonts w:asciiTheme="minorBidi" w:hAnsiTheme="minorBidi" w:cstheme="minorBidi"/>
                <w:sz w:val="22"/>
                <w:szCs w:val="22"/>
              </w:rPr>
              <w:t>n+</w:t>
            </w:r>
          </w:p>
        </w:tc>
        <w:tc>
          <w:tcPr>
            <w:tcW w:w="3006" w:type="dxa"/>
          </w:tcPr>
          <w:p w14:paraId="61825423" w14:textId="4887379E" w:rsidR="00420C70" w:rsidRPr="00AE159E" w:rsidRDefault="0061133D" w:rsidP="00AB450A">
            <w:pPr>
              <w:rPr>
                <w:rFonts w:asciiTheme="minorBidi" w:hAnsiTheme="minorBidi" w:cstheme="minorBidi"/>
                <w:sz w:val="22"/>
                <w:szCs w:val="22"/>
              </w:rPr>
            </w:pPr>
            <w:r w:rsidRPr="00AE159E">
              <w:rPr>
                <w:rFonts w:asciiTheme="minorBidi" w:hAnsiTheme="minorBidi" w:cstheme="minorBidi"/>
                <w:sz w:val="22"/>
                <w:szCs w:val="22"/>
              </w:rPr>
              <w:t>NHS</w:t>
            </w:r>
            <w:r w:rsidR="00A14684" w:rsidRPr="00AE159E">
              <w:rPr>
                <w:rFonts w:asciiTheme="minorBidi" w:hAnsiTheme="minorBidi" w:cstheme="minorBidi"/>
                <w:sz w:val="22"/>
                <w:szCs w:val="22"/>
              </w:rPr>
              <w:t xml:space="preserve"> England</w:t>
            </w:r>
            <w:r w:rsidR="00E30F88" w:rsidRPr="00AE159E">
              <w:rPr>
                <w:rFonts w:asciiTheme="minorBidi" w:hAnsiTheme="minorBidi" w:cstheme="minorBidi"/>
                <w:sz w:val="22"/>
                <w:szCs w:val="22"/>
              </w:rPr>
              <w:t>,</w:t>
            </w:r>
            <w:r w:rsidR="00A14684" w:rsidRPr="00AE159E">
              <w:rPr>
                <w:rFonts w:asciiTheme="minorBidi" w:hAnsiTheme="minorBidi" w:cstheme="minorBidi"/>
                <w:sz w:val="22"/>
                <w:szCs w:val="22"/>
              </w:rPr>
              <w:t xml:space="preserve"> 2025 </w:t>
            </w:r>
          </w:p>
        </w:tc>
      </w:tr>
      <w:tr w:rsidR="00420C70" w:rsidRPr="00AE159E" w14:paraId="7C3BA256" w14:textId="77777777" w:rsidTr="00420C70">
        <w:tc>
          <w:tcPr>
            <w:tcW w:w="3005" w:type="dxa"/>
          </w:tcPr>
          <w:p w14:paraId="1426BF0E" w14:textId="767D5499" w:rsidR="00420C70" w:rsidRPr="00AE159E" w:rsidRDefault="006422A0" w:rsidP="00AB450A">
            <w:pPr>
              <w:rPr>
                <w:rFonts w:asciiTheme="minorBidi" w:hAnsiTheme="minorBidi" w:cstheme="minorBidi"/>
                <w:sz w:val="22"/>
                <w:szCs w:val="22"/>
              </w:rPr>
            </w:pPr>
            <w:r w:rsidRPr="00AE159E">
              <w:rPr>
                <w:rFonts w:asciiTheme="minorBidi" w:hAnsiTheme="minorBidi" w:cstheme="minorBidi"/>
                <w:sz w:val="22"/>
                <w:szCs w:val="22"/>
              </w:rPr>
              <w:t xml:space="preserve">NHS </w:t>
            </w:r>
            <w:r w:rsidR="008244DF" w:rsidRPr="00AE159E">
              <w:rPr>
                <w:rFonts w:asciiTheme="minorBidi" w:hAnsiTheme="minorBidi" w:cstheme="minorBidi"/>
                <w:sz w:val="22"/>
                <w:szCs w:val="22"/>
              </w:rPr>
              <w:t xml:space="preserve">App </w:t>
            </w:r>
            <w:r w:rsidR="00947510" w:rsidRPr="00AE159E">
              <w:rPr>
                <w:rFonts w:asciiTheme="minorBidi" w:hAnsiTheme="minorBidi" w:cstheme="minorBidi"/>
                <w:sz w:val="22"/>
                <w:szCs w:val="22"/>
              </w:rPr>
              <w:t>repeat</w:t>
            </w:r>
            <w:r w:rsidR="008244DF" w:rsidRPr="00AE159E">
              <w:rPr>
                <w:rFonts w:asciiTheme="minorBidi" w:hAnsiTheme="minorBidi" w:cstheme="minorBidi"/>
                <w:sz w:val="22"/>
                <w:szCs w:val="22"/>
              </w:rPr>
              <w:t xml:space="preserve"> prescription </w:t>
            </w:r>
            <w:r w:rsidR="00293ADA" w:rsidRPr="00AE159E">
              <w:rPr>
                <w:rFonts w:asciiTheme="minorBidi" w:hAnsiTheme="minorBidi" w:cstheme="minorBidi"/>
                <w:sz w:val="22"/>
                <w:szCs w:val="22"/>
              </w:rPr>
              <w:t xml:space="preserve">ordered </w:t>
            </w:r>
            <w:r w:rsidR="00801B9B" w:rsidRPr="00AE159E">
              <w:rPr>
                <w:rFonts w:asciiTheme="minorBidi" w:hAnsiTheme="minorBidi" w:cstheme="minorBidi"/>
                <w:sz w:val="22"/>
                <w:szCs w:val="22"/>
              </w:rPr>
              <w:t>(12 months</w:t>
            </w:r>
            <w:r w:rsidR="002F6D68" w:rsidRPr="00AE159E">
              <w:rPr>
                <w:rFonts w:asciiTheme="minorBidi" w:hAnsiTheme="minorBidi" w:cstheme="minorBidi"/>
                <w:sz w:val="22"/>
                <w:szCs w:val="22"/>
              </w:rPr>
              <w:t>)</w:t>
            </w:r>
          </w:p>
        </w:tc>
        <w:tc>
          <w:tcPr>
            <w:tcW w:w="3005" w:type="dxa"/>
          </w:tcPr>
          <w:p w14:paraId="2D7C291F" w14:textId="348FF71F" w:rsidR="00420C70" w:rsidRPr="00AE159E" w:rsidRDefault="00AF4D3E" w:rsidP="00AB450A">
            <w:pPr>
              <w:rPr>
                <w:rFonts w:asciiTheme="minorBidi" w:hAnsiTheme="minorBidi" w:cstheme="minorBidi"/>
                <w:sz w:val="22"/>
                <w:szCs w:val="22"/>
              </w:rPr>
            </w:pPr>
            <w:r w:rsidRPr="00AE159E">
              <w:rPr>
                <w:rFonts w:asciiTheme="minorBidi" w:hAnsiTheme="minorBidi" w:cstheme="minorBidi"/>
                <w:sz w:val="22"/>
                <w:szCs w:val="22"/>
              </w:rPr>
              <w:t xml:space="preserve">67.8 million </w:t>
            </w:r>
            <w:r w:rsidR="00B35644" w:rsidRPr="00AE159E">
              <w:rPr>
                <w:rFonts w:asciiTheme="minorBidi" w:hAnsiTheme="minorBidi" w:cstheme="minorBidi"/>
                <w:sz w:val="22"/>
                <w:szCs w:val="22"/>
              </w:rPr>
              <w:t>+</w:t>
            </w:r>
          </w:p>
        </w:tc>
        <w:tc>
          <w:tcPr>
            <w:tcW w:w="3006" w:type="dxa"/>
          </w:tcPr>
          <w:p w14:paraId="0F42441C" w14:textId="3343E329" w:rsidR="00420C70" w:rsidRPr="00AE159E" w:rsidRDefault="00B35644" w:rsidP="00AB450A">
            <w:pPr>
              <w:rPr>
                <w:rFonts w:asciiTheme="minorBidi" w:hAnsiTheme="minorBidi" w:cstheme="minorBidi"/>
                <w:sz w:val="22"/>
                <w:szCs w:val="22"/>
              </w:rPr>
            </w:pPr>
            <w:r w:rsidRPr="00AE159E">
              <w:rPr>
                <w:rFonts w:asciiTheme="minorBidi" w:hAnsiTheme="minorBidi" w:cstheme="minorBidi"/>
                <w:sz w:val="22"/>
                <w:szCs w:val="22"/>
              </w:rPr>
              <w:t>NHS England</w:t>
            </w:r>
            <w:r w:rsidR="00492FE6" w:rsidRPr="00AE159E">
              <w:rPr>
                <w:rFonts w:asciiTheme="minorBidi" w:hAnsiTheme="minorBidi" w:cstheme="minorBidi"/>
                <w:sz w:val="22"/>
                <w:szCs w:val="22"/>
              </w:rPr>
              <w:t xml:space="preserve"> </w:t>
            </w:r>
          </w:p>
        </w:tc>
      </w:tr>
      <w:tr w:rsidR="00420C70" w:rsidRPr="00AE159E" w14:paraId="20702007" w14:textId="77777777" w:rsidTr="00420C70">
        <w:tc>
          <w:tcPr>
            <w:tcW w:w="3005" w:type="dxa"/>
          </w:tcPr>
          <w:p w14:paraId="16CFB7FA" w14:textId="6DA8BCAC" w:rsidR="00420C70" w:rsidRPr="00AE159E" w:rsidRDefault="0010481C" w:rsidP="00AB450A">
            <w:pPr>
              <w:rPr>
                <w:rFonts w:asciiTheme="minorBidi" w:hAnsiTheme="minorBidi" w:cstheme="minorBidi"/>
                <w:sz w:val="22"/>
                <w:szCs w:val="22"/>
              </w:rPr>
            </w:pPr>
            <w:r w:rsidRPr="00AE159E">
              <w:rPr>
                <w:rFonts w:asciiTheme="minorBidi" w:hAnsiTheme="minorBidi" w:cstheme="minorBidi"/>
                <w:sz w:val="22"/>
                <w:szCs w:val="22"/>
              </w:rPr>
              <w:t xml:space="preserve">NHS App login </w:t>
            </w:r>
            <w:r w:rsidR="00730045" w:rsidRPr="00AE159E">
              <w:rPr>
                <w:rFonts w:asciiTheme="minorBidi" w:hAnsiTheme="minorBidi" w:cstheme="minorBidi"/>
                <w:sz w:val="22"/>
                <w:szCs w:val="22"/>
              </w:rPr>
              <w:t xml:space="preserve">in one month ordered </w:t>
            </w:r>
            <w:r w:rsidR="009A3A66" w:rsidRPr="00AE159E">
              <w:rPr>
                <w:rFonts w:asciiTheme="minorBidi" w:hAnsiTheme="minorBidi" w:cstheme="minorBidi"/>
                <w:sz w:val="22"/>
                <w:szCs w:val="22"/>
              </w:rPr>
              <w:t>(</w:t>
            </w:r>
            <w:r w:rsidR="00E4234D" w:rsidRPr="00AE159E">
              <w:rPr>
                <w:rFonts w:asciiTheme="minorBidi" w:hAnsiTheme="minorBidi" w:cstheme="minorBidi"/>
                <w:sz w:val="22"/>
                <w:szCs w:val="22"/>
              </w:rPr>
              <w:t>Nov 20</w:t>
            </w:r>
            <w:r w:rsidR="009A3A66" w:rsidRPr="00AE159E">
              <w:rPr>
                <w:rFonts w:asciiTheme="minorBidi" w:hAnsiTheme="minorBidi" w:cstheme="minorBidi"/>
                <w:sz w:val="22"/>
                <w:szCs w:val="22"/>
              </w:rPr>
              <w:t>25)</w:t>
            </w:r>
          </w:p>
        </w:tc>
        <w:tc>
          <w:tcPr>
            <w:tcW w:w="3005" w:type="dxa"/>
          </w:tcPr>
          <w:p w14:paraId="39D1B987" w14:textId="4EF77736" w:rsidR="00420C70" w:rsidRPr="00AE159E" w:rsidRDefault="002751FD" w:rsidP="00AB450A">
            <w:pPr>
              <w:rPr>
                <w:rFonts w:asciiTheme="minorBidi" w:hAnsiTheme="minorBidi" w:cstheme="minorBidi"/>
                <w:sz w:val="22"/>
                <w:szCs w:val="22"/>
              </w:rPr>
            </w:pPr>
            <w:r w:rsidRPr="00AE159E">
              <w:rPr>
                <w:rFonts w:asciiTheme="minorBidi" w:hAnsiTheme="minorBidi" w:cstheme="minorBidi"/>
                <w:sz w:val="22"/>
                <w:szCs w:val="22"/>
              </w:rPr>
              <w:t>62 .3 million</w:t>
            </w:r>
          </w:p>
        </w:tc>
        <w:tc>
          <w:tcPr>
            <w:tcW w:w="3006" w:type="dxa"/>
          </w:tcPr>
          <w:p w14:paraId="16D49FAA" w14:textId="75FDF061" w:rsidR="00420C70" w:rsidRPr="00AE159E" w:rsidRDefault="002A37EA" w:rsidP="00AB450A">
            <w:pPr>
              <w:rPr>
                <w:rFonts w:asciiTheme="minorBidi" w:hAnsiTheme="minorBidi" w:cstheme="minorBidi"/>
                <w:sz w:val="22"/>
                <w:szCs w:val="22"/>
              </w:rPr>
            </w:pPr>
            <w:r w:rsidRPr="00AE159E">
              <w:rPr>
                <w:rFonts w:asciiTheme="minorBidi" w:hAnsiTheme="minorBidi" w:cstheme="minorBidi"/>
                <w:sz w:val="22"/>
                <w:szCs w:val="22"/>
              </w:rPr>
              <w:t xml:space="preserve">NHS </w:t>
            </w:r>
            <w:r w:rsidR="00400EA1" w:rsidRPr="00AE159E">
              <w:rPr>
                <w:rFonts w:asciiTheme="minorBidi" w:hAnsiTheme="minorBidi" w:cstheme="minorBidi"/>
                <w:sz w:val="22"/>
                <w:szCs w:val="22"/>
              </w:rPr>
              <w:t xml:space="preserve">England </w:t>
            </w:r>
            <w:r w:rsidR="009F4C2B" w:rsidRPr="00AE159E">
              <w:rPr>
                <w:rFonts w:asciiTheme="minorBidi" w:hAnsiTheme="minorBidi" w:cstheme="minorBidi"/>
                <w:sz w:val="22"/>
                <w:szCs w:val="22"/>
              </w:rPr>
              <w:t>2025</w:t>
            </w:r>
          </w:p>
          <w:p w14:paraId="3DC7435D" w14:textId="4E6E610E" w:rsidR="00E30F88" w:rsidRPr="00AE159E" w:rsidRDefault="00E30F88" w:rsidP="00AB450A">
            <w:pPr>
              <w:rPr>
                <w:rFonts w:asciiTheme="minorBidi" w:hAnsiTheme="minorBidi" w:cstheme="minorBidi"/>
                <w:sz w:val="22"/>
                <w:szCs w:val="22"/>
              </w:rPr>
            </w:pPr>
          </w:p>
        </w:tc>
      </w:tr>
      <w:tr w:rsidR="00420C70" w:rsidRPr="00AE159E" w14:paraId="67F8965E" w14:textId="77777777" w:rsidTr="00420C70">
        <w:tc>
          <w:tcPr>
            <w:tcW w:w="3005" w:type="dxa"/>
          </w:tcPr>
          <w:p w14:paraId="08896CD6" w14:textId="52A49171" w:rsidR="00420C70" w:rsidRPr="00AE159E" w:rsidRDefault="00364927" w:rsidP="00AB450A">
            <w:pPr>
              <w:rPr>
                <w:rFonts w:asciiTheme="minorBidi" w:hAnsiTheme="minorBidi" w:cstheme="minorBidi"/>
                <w:sz w:val="22"/>
                <w:szCs w:val="22"/>
              </w:rPr>
            </w:pPr>
            <w:r w:rsidRPr="00AE159E">
              <w:rPr>
                <w:rFonts w:asciiTheme="minorBidi" w:hAnsiTheme="minorBidi" w:cstheme="minorBidi"/>
                <w:sz w:val="22"/>
                <w:szCs w:val="22"/>
              </w:rPr>
              <w:t>Online GP</w:t>
            </w:r>
            <w:r w:rsidR="007753DB" w:rsidRPr="00AE159E">
              <w:rPr>
                <w:rFonts w:asciiTheme="minorBidi" w:hAnsiTheme="minorBidi" w:cstheme="minorBidi"/>
                <w:sz w:val="22"/>
                <w:szCs w:val="22"/>
              </w:rPr>
              <w:t xml:space="preserve"> </w:t>
            </w:r>
            <w:r w:rsidR="00C117C1" w:rsidRPr="00AE159E">
              <w:rPr>
                <w:rFonts w:asciiTheme="minorBidi" w:hAnsiTheme="minorBidi" w:cstheme="minorBidi"/>
                <w:sz w:val="22"/>
                <w:szCs w:val="22"/>
              </w:rPr>
              <w:t>consultation</w:t>
            </w:r>
            <w:r w:rsidR="007753DB" w:rsidRPr="00AE159E">
              <w:rPr>
                <w:rFonts w:asciiTheme="minorBidi" w:hAnsiTheme="minorBidi" w:cstheme="minorBidi"/>
                <w:sz w:val="22"/>
                <w:szCs w:val="22"/>
              </w:rPr>
              <w:t xml:space="preserve"> requests </w:t>
            </w:r>
            <w:r w:rsidR="00C117C1" w:rsidRPr="00AE159E">
              <w:rPr>
                <w:rFonts w:asciiTheme="minorBidi" w:hAnsiTheme="minorBidi" w:cstheme="minorBidi"/>
                <w:sz w:val="22"/>
                <w:szCs w:val="22"/>
              </w:rPr>
              <w:t xml:space="preserve">( </w:t>
            </w:r>
            <w:r w:rsidR="00E633F1" w:rsidRPr="00AE159E">
              <w:rPr>
                <w:rFonts w:asciiTheme="minorBidi" w:hAnsiTheme="minorBidi" w:cstheme="minorBidi"/>
                <w:sz w:val="22"/>
                <w:szCs w:val="22"/>
              </w:rPr>
              <w:t>September 2025</w:t>
            </w:r>
            <w:r w:rsidR="00E647D1" w:rsidRPr="00AE159E">
              <w:rPr>
                <w:rFonts w:asciiTheme="minorBidi" w:hAnsiTheme="minorBidi" w:cstheme="minorBidi"/>
                <w:sz w:val="22"/>
                <w:szCs w:val="22"/>
              </w:rPr>
              <w:t>)</w:t>
            </w:r>
          </w:p>
        </w:tc>
        <w:tc>
          <w:tcPr>
            <w:tcW w:w="3005" w:type="dxa"/>
          </w:tcPr>
          <w:p w14:paraId="1B20FB60" w14:textId="32328DFF" w:rsidR="00420C70" w:rsidRPr="00AE159E" w:rsidRDefault="00D97945" w:rsidP="00AB450A">
            <w:pPr>
              <w:rPr>
                <w:rFonts w:asciiTheme="minorBidi" w:hAnsiTheme="minorBidi" w:cstheme="minorBidi"/>
                <w:sz w:val="22"/>
                <w:szCs w:val="22"/>
              </w:rPr>
            </w:pPr>
            <w:r w:rsidRPr="00AE159E">
              <w:rPr>
                <w:rFonts w:asciiTheme="minorBidi" w:hAnsiTheme="minorBidi" w:cstheme="minorBidi"/>
                <w:sz w:val="22"/>
                <w:szCs w:val="22"/>
              </w:rPr>
              <w:t xml:space="preserve">6.5 million </w:t>
            </w:r>
          </w:p>
        </w:tc>
        <w:tc>
          <w:tcPr>
            <w:tcW w:w="3006" w:type="dxa"/>
          </w:tcPr>
          <w:p w14:paraId="5B585D1A" w14:textId="5FDE6D2D" w:rsidR="00420C70" w:rsidRPr="00AE159E" w:rsidRDefault="00161F71" w:rsidP="00AB450A">
            <w:pPr>
              <w:rPr>
                <w:rFonts w:asciiTheme="minorBidi" w:hAnsiTheme="minorBidi" w:cstheme="minorBidi"/>
                <w:sz w:val="22"/>
                <w:szCs w:val="22"/>
              </w:rPr>
            </w:pPr>
            <w:r w:rsidRPr="00AE159E">
              <w:rPr>
                <w:rFonts w:asciiTheme="minorBidi" w:hAnsiTheme="minorBidi" w:cstheme="minorBidi"/>
                <w:sz w:val="22"/>
                <w:szCs w:val="22"/>
              </w:rPr>
              <w:t>NHS</w:t>
            </w:r>
            <w:r w:rsidR="00807E03" w:rsidRPr="00AE159E">
              <w:rPr>
                <w:rFonts w:asciiTheme="minorBidi" w:hAnsiTheme="minorBidi" w:cstheme="minorBidi"/>
                <w:sz w:val="22"/>
                <w:szCs w:val="22"/>
              </w:rPr>
              <w:t xml:space="preserve"> England 2025 </w:t>
            </w:r>
          </w:p>
        </w:tc>
      </w:tr>
      <w:tr w:rsidR="00420C70" w:rsidRPr="00AE159E" w14:paraId="64CF1AAA" w14:textId="77777777" w:rsidTr="00420C70">
        <w:tc>
          <w:tcPr>
            <w:tcW w:w="3005" w:type="dxa"/>
          </w:tcPr>
          <w:p w14:paraId="46AD91E1" w14:textId="7C1DEED2" w:rsidR="00420C70" w:rsidRPr="00AE159E" w:rsidRDefault="00E647D1" w:rsidP="00AB450A">
            <w:pPr>
              <w:rPr>
                <w:rFonts w:asciiTheme="minorBidi" w:hAnsiTheme="minorBidi" w:cstheme="minorBidi"/>
                <w:sz w:val="22"/>
                <w:szCs w:val="22"/>
              </w:rPr>
            </w:pPr>
            <w:r w:rsidRPr="00AE159E">
              <w:rPr>
                <w:rFonts w:asciiTheme="minorBidi" w:hAnsiTheme="minorBidi" w:cstheme="minorBidi"/>
                <w:sz w:val="22"/>
                <w:szCs w:val="22"/>
              </w:rPr>
              <w:t>Online request r</w:t>
            </w:r>
            <w:r w:rsidR="004610F4" w:rsidRPr="00AE159E">
              <w:rPr>
                <w:rFonts w:asciiTheme="minorBidi" w:hAnsiTheme="minorBidi" w:cstheme="minorBidi"/>
                <w:sz w:val="22"/>
                <w:szCs w:val="22"/>
              </w:rPr>
              <w:t>ise vs</w:t>
            </w:r>
            <w:r w:rsidR="00471B99" w:rsidRPr="00AE159E">
              <w:rPr>
                <w:rFonts w:asciiTheme="minorBidi" w:hAnsiTheme="minorBidi" w:cstheme="minorBidi"/>
                <w:sz w:val="22"/>
                <w:szCs w:val="22"/>
              </w:rPr>
              <w:t xml:space="preserve"> </w:t>
            </w:r>
            <w:r w:rsidR="008B0602" w:rsidRPr="00AE159E">
              <w:rPr>
                <w:rFonts w:asciiTheme="minorBidi" w:hAnsiTheme="minorBidi" w:cstheme="minorBidi"/>
                <w:sz w:val="22"/>
                <w:szCs w:val="22"/>
              </w:rPr>
              <w:t>last year</w:t>
            </w:r>
          </w:p>
        </w:tc>
        <w:tc>
          <w:tcPr>
            <w:tcW w:w="3005" w:type="dxa"/>
          </w:tcPr>
          <w:p w14:paraId="0BC236A3" w14:textId="47C2030A" w:rsidR="00420C70" w:rsidRPr="00AE159E" w:rsidRDefault="00160254" w:rsidP="00AB450A">
            <w:pPr>
              <w:rPr>
                <w:rFonts w:asciiTheme="minorBidi" w:hAnsiTheme="minorBidi" w:cstheme="minorBidi"/>
                <w:sz w:val="22"/>
                <w:szCs w:val="22"/>
              </w:rPr>
            </w:pPr>
            <w:r w:rsidRPr="00AE159E">
              <w:rPr>
                <w:rFonts w:asciiTheme="minorBidi" w:hAnsiTheme="minorBidi" w:cstheme="minorBidi"/>
                <w:sz w:val="22"/>
                <w:szCs w:val="22"/>
              </w:rPr>
              <w:t>+49.9</w:t>
            </w:r>
            <w:r w:rsidR="00FC452B" w:rsidRPr="00AE159E">
              <w:rPr>
                <w:rFonts w:asciiTheme="minorBidi" w:hAnsiTheme="minorBidi" w:cstheme="minorBidi"/>
                <w:sz w:val="22"/>
                <w:szCs w:val="22"/>
              </w:rPr>
              <w:t>%</w:t>
            </w:r>
          </w:p>
        </w:tc>
        <w:tc>
          <w:tcPr>
            <w:tcW w:w="3006" w:type="dxa"/>
          </w:tcPr>
          <w:p w14:paraId="34B6D326" w14:textId="5F0745C1" w:rsidR="00420C70" w:rsidRPr="00AE159E" w:rsidRDefault="00FC452B" w:rsidP="00AB450A">
            <w:pPr>
              <w:rPr>
                <w:rFonts w:asciiTheme="minorBidi" w:hAnsiTheme="minorBidi" w:cstheme="minorBidi"/>
                <w:sz w:val="22"/>
                <w:szCs w:val="22"/>
              </w:rPr>
            </w:pPr>
            <w:r w:rsidRPr="00AE159E">
              <w:rPr>
                <w:rFonts w:asciiTheme="minorBidi" w:hAnsiTheme="minorBidi" w:cstheme="minorBidi"/>
                <w:sz w:val="22"/>
                <w:szCs w:val="22"/>
              </w:rPr>
              <w:t>BMJ</w:t>
            </w:r>
            <w:r w:rsidR="00D83382" w:rsidRPr="00AE159E">
              <w:rPr>
                <w:rFonts w:asciiTheme="minorBidi" w:hAnsiTheme="minorBidi" w:cstheme="minorBidi"/>
                <w:sz w:val="22"/>
                <w:szCs w:val="22"/>
              </w:rPr>
              <w:t>, 2025</w:t>
            </w:r>
            <w:r w:rsidR="00E30F88" w:rsidRPr="00AE159E">
              <w:rPr>
                <w:rFonts w:asciiTheme="minorBidi" w:hAnsiTheme="minorBidi" w:cstheme="minorBidi"/>
                <w:sz w:val="22"/>
                <w:szCs w:val="22"/>
              </w:rPr>
              <w:t xml:space="preserve"> </w:t>
            </w:r>
          </w:p>
        </w:tc>
      </w:tr>
      <w:tr w:rsidR="00420C70" w:rsidRPr="00AE159E" w14:paraId="20F2B433" w14:textId="77777777" w:rsidTr="00420C70">
        <w:tc>
          <w:tcPr>
            <w:tcW w:w="3005" w:type="dxa"/>
          </w:tcPr>
          <w:p w14:paraId="783EDEFF" w14:textId="769D32D4" w:rsidR="00420C70" w:rsidRPr="00AE159E" w:rsidRDefault="00184F05" w:rsidP="00AB450A">
            <w:pPr>
              <w:rPr>
                <w:rFonts w:asciiTheme="minorBidi" w:hAnsiTheme="minorBidi" w:cstheme="minorBidi"/>
                <w:sz w:val="22"/>
                <w:szCs w:val="22"/>
              </w:rPr>
            </w:pPr>
            <w:r w:rsidRPr="00AE159E">
              <w:rPr>
                <w:rFonts w:asciiTheme="minorBidi" w:hAnsiTheme="minorBidi" w:cstheme="minorBidi"/>
                <w:sz w:val="22"/>
                <w:szCs w:val="22"/>
              </w:rPr>
              <w:t xml:space="preserve">Online GP </w:t>
            </w:r>
            <w:r w:rsidR="00DE47C4" w:rsidRPr="00AE159E">
              <w:rPr>
                <w:rFonts w:asciiTheme="minorBidi" w:hAnsiTheme="minorBidi" w:cstheme="minorBidi"/>
                <w:sz w:val="22"/>
                <w:szCs w:val="22"/>
              </w:rPr>
              <w:t xml:space="preserve">requests in October </w:t>
            </w:r>
            <w:r w:rsidR="00E06433" w:rsidRPr="00AE159E">
              <w:rPr>
                <w:rFonts w:asciiTheme="minorBidi" w:hAnsiTheme="minorBidi" w:cstheme="minorBidi"/>
                <w:sz w:val="22"/>
                <w:szCs w:val="22"/>
              </w:rPr>
              <w:t xml:space="preserve">2025 </w:t>
            </w:r>
          </w:p>
        </w:tc>
        <w:tc>
          <w:tcPr>
            <w:tcW w:w="3005" w:type="dxa"/>
          </w:tcPr>
          <w:p w14:paraId="1EFDC46A" w14:textId="20058F04" w:rsidR="00420C70" w:rsidRPr="00AE159E" w:rsidRDefault="00E06433" w:rsidP="00AB450A">
            <w:pPr>
              <w:rPr>
                <w:rFonts w:asciiTheme="minorBidi" w:hAnsiTheme="minorBidi" w:cstheme="minorBidi"/>
                <w:sz w:val="22"/>
                <w:szCs w:val="22"/>
              </w:rPr>
            </w:pPr>
            <w:r w:rsidRPr="00AE159E">
              <w:rPr>
                <w:rFonts w:asciiTheme="minorBidi" w:hAnsiTheme="minorBidi" w:cstheme="minorBidi"/>
                <w:sz w:val="22"/>
                <w:szCs w:val="22"/>
              </w:rPr>
              <w:t xml:space="preserve">8 million </w:t>
            </w:r>
            <w:r w:rsidR="004A4304" w:rsidRPr="00AE159E">
              <w:rPr>
                <w:rFonts w:asciiTheme="minorBidi" w:hAnsiTheme="minorBidi" w:cstheme="minorBidi"/>
                <w:sz w:val="22"/>
                <w:szCs w:val="22"/>
              </w:rPr>
              <w:t>+</w:t>
            </w:r>
          </w:p>
        </w:tc>
        <w:tc>
          <w:tcPr>
            <w:tcW w:w="3006" w:type="dxa"/>
          </w:tcPr>
          <w:p w14:paraId="0864E004" w14:textId="4A478E75" w:rsidR="00420C70" w:rsidRPr="00AE159E" w:rsidRDefault="004A4304" w:rsidP="00AB450A">
            <w:pPr>
              <w:rPr>
                <w:rFonts w:asciiTheme="minorBidi" w:hAnsiTheme="minorBidi" w:cstheme="minorBidi"/>
                <w:sz w:val="22"/>
                <w:szCs w:val="22"/>
              </w:rPr>
            </w:pPr>
            <w:r w:rsidRPr="00AE159E">
              <w:rPr>
                <w:rFonts w:asciiTheme="minorBidi" w:hAnsiTheme="minorBidi" w:cstheme="minorBidi"/>
                <w:sz w:val="22"/>
                <w:szCs w:val="22"/>
              </w:rPr>
              <w:t>NHS England 2025</w:t>
            </w:r>
            <w:r w:rsidR="00E30F88" w:rsidRPr="00AE159E">
              <w:rPr>
                <w:rFonts w:asciiTheme="minorBidi" w:hAnsiTheme="minorBidi" w:cstheme="minorBidi"/>
                <w:sz w:val="22"/>
                <w:szCs w:val="22"/>
              </w:rPr>
              <w:t xml:space="preserve"> </w:t>
            </w:r>
          </w:p>
        </w:tc>
      </w:tr>
      <w:tr w:rsidR="00420C70" w:rsidRPr="00AE159E" w14:paraId="11B8D9CC" w14:textId="77777777" w:rsidTr="00420C70">
        <w:trPr>
          <w:trHeight w:val="442"/>
        </w:trPr>
        <w:tc>
          <w:tcPr>
            <w:tcW w:w="3005" w:type="dxa"/>
          </w:tcPr>
          <w:p w14:paraId="19F7CB97" w14:textId="558EBAD0" w:rsidR="00420C70" w:rsidRPr="00AE159E" w:rsidRDefault="0075292E" w:rsidP="00AB450A">
            <w:pPr>
              <w:rPr>
                <w:rFonts w:asciiTheme="minorBidi" w:hAnsiTheme="minorBidi" w:cstheme="minorBidi"/>
                <w:sz w:val="22"/>
                <w:szCs w:val="22"/>
              </w:rPr>
            </w:pPr>
            <w:r w:rsidRPr="00AE159E">
              <w:rPr>
                <w:rFonts w:asciiTheme="minorBidi" w:hAnsiTheme="minorBidi" w:cstheme="minorBidi"/>
                <w:sz w:val="22"/>
                <w:szCs w:val="22"/>
              </w:rPr>
              <w:t xml:space="preserve">Proportion of remote GP </w:t>
            </w:r>
            <w:r w:rsidR="0006627D" w:rsidRPr="00AE159E">
              <w:rPr>
                <w:rFonts w:asciiTheme="minorBidi" w:hAnsiTheme="minorBidi" w:cstheme="minorBidi"/>
                <w:sz w:val="22"/>
                <w:szCs w:val="22"/>
              </w:rPr>
              <w:t>appointments ( J</w:t>
            </w:r>
            <w:r w:rsidR="00645132" w:rsidRPr="00AE159E">
              <w:rPr>
                <w:rFonts w:asciiTheme="minorBidi" w:hAnsiTheme="minorBidi" w:cstheme="minorBidi"/>
                <w:sz w:val="22"/>
                <w:szCs w:val="22"/>
              </w:rPr>
              <w:t>une 2025 )</w:t>
            </w:r>
          </w:p>
        </w:tc>
        <w:tc>
          <w:tcPr>
            <w:tcW w:w="3005" w:type="dxa"/>
          </w:tcPr>
          <w:p w14:paraId="524A2922" w14:textId="1D34A829" w:rsidR="00420C70" w:rsidRPr="00AE159E" w:rsidRDefault="009E39C0" w:rsidP="00AB450A">
            <w:pPr>
              <w:rPr>
                <w:rFonts w:asciiTheme="minorBidi" w:hAnsiTheme="minorBidi" w:cstheme="minorBidi"/>
                <w:sz w:val="22"/>
                <w:szCs w:val="22"/>
              </w:rPr>
            </w:pPr>
            <w:r w:rsidRPr="00AE159E">
              <w:rPr>
                <w:rFonts w:asciiTheme="minorBidi" w:hAnsiTheme="minorBidi" w:cstheme="minorBidi"/>
                <w:sz w:val="22"/>
                <w:szCs w:val="22"/>
              </w:rPr>
              <w:t>33.3%</w:t>
            </w:r>
          </w:p>
        </w:tc>
        <w:tc>
          <w:tcPr>
            <w:tcW w:w="3006" w:type="dxa"/>
          </w:tcPr>
          <w:p w14:paraId="0218EFEC" w14:textId="3630FEF0" w:rsidR="00420C70" w:rsidRPr="00AE159E" w:rsidRDefault="009E39C0" w:rsidP="00AB450A">
            <w:pPr>
              <w:rPr>
                <w:rFonts w:asciiTheme="minorBidi" w:hAnsiTheme="minorBidi" w:cstheme="minorBidi"/>
                <w:sz w:val="22"/>
                <w:szCs w:val="22"/>
              </w:rPr>
            </w:pPr>
            <w:r w:rsidRPr="00AE159E">
              <w:rPr>
                <w:rFonts w:asciiTheme="minorBidi" w:hAnsiTheme="minorBidi" w:cstheme="minorBidi"/>
                <w:sz w:val="22"/>
                <w:szCs w:val="22"/>
              </w:rPr>
              <w:t xml:space="preserve">PA Media </w:t>
            </w:r>
            <w:r w:rsidR="00A123E4" w:rsidRPr="00AE159E">
              <w:rPr>
                <w:rFonts w:asciiTheme="minorBidi" w:hAnsiTheme="minorBidi" w:cstheme="minorBidi"/>
                <w:sz w:val="22"/>
                <w:szCs w:val="22"/>
              </w:rPr>
              <w:t>analysis 2025) D</w:t>
            </w:r>
            <w:r w:rsidR="00C23315" w:rsidRPr="00AE159E">
              <w:rPr>
                <w:rFonts w:asciiTheme="minorBidi" w:hAnsiTheme="minorBidi" w:cstheme="minorBidi"/>
                <w:sz w:val="22"/>
                <w:szCs w:val="22"/>
              </w:rPr>
              <w:t xml:space="preserve">igital Health </w:t>
            </w:r>
          </w:p>
        </w:tc>
      </w:tr>
      <w:tr w:rsidR="00654004" w:rsidRPr="00AE159E" w14:paraId="12381F35" w14:textId="77777777" w:rsidTr="00420C70">
        <w:trPr>
          <w:trHeight w:val="442"/>
        </w:trPr>
        <w:tc>
          <w:tcPr>
            <w:tcW w:w="3005" w:type="dxa"/>
          </w:tcPr>
          <w:p w14:paraId="0ED20045" w14:textId="560AE978" w:rsidR="00654004" w:rsidRPr="00AE159E" w:rsidRDefault="008A428D" w:rsidP="00AB450A">
            <w:pPr>
              <w:rPr>
                <w:rFonts w:asciiTheme="minorBidi" w:hAnsiTheme="minorBidi" w:cstheme="minorBidi"/>
                <w:sz w:val="22"/>
                <w:szCs w:val="22"/>
              </w:rPr>
            </w:pPr>
            <w:r w:rsidRPr="00AE159E">
              <w:rPr>
                <w:rFonts w:asciiTheme="minorBidi" w:hAnsiTheme="minorBidi" w:cstheme="minorBidi"/>
                <w:sz w:val="22"/>
                <w:szCs w:val="22"/>
              </w:rPr>
              <w:t xml:space="preserve">Percentage of GP practices </w:t>
            </w:r>
            <w:r w:rsidR="008E3575" w:rsidRPr="00AE159E">
              <w:rPr>
                <w:rFonts w:asciiTheme="minorBidi" w:hAnsiTheme="minorBidi" w:cstheme="minorBidi"/>
                <w:sz w:val="22"/>
                <w:szCs w:val="22"/>
              </w:rPr>
              <w:t>with online access</w:t>
            </w:r>
          </w:p>
        </w:tc>
        <w:tc>
          <w:tcPr>
            <w:tcW w:w="3005" w:type="dxa"/>
          </w:tcPr>
          <w:p w14:paraId="296112A3" w14:textId="2639107F" w:rsidR="00654004" w:rsidRPr="00AE159E" w:rsidRDefault="00ED40FB" w:rsidP="00AB450A">
            <w:pPr>
              <w:rPr>
                <w:rFonts w:asciiTheme="minorBidi" w:hAnsiTheme="minorBidi" w:cstheme="minorBidi"/>
                <w:sz w:val="22"/>
                <w:szCs w:val="22"/>
              </w:rPr>
            </w:pPr>
            <w:r w:rsidRPr="00AE159E">
              <w:rPr>
                <w:rFonts w:asciiTheme="minorBidi" w:hAnsiTheme="minorBidi" w:cstheme="minorBidi"/>
                <w:sz w:val="22"/>
                <w:szCs w:val="22"/>
              </w:rPr>
              <w:t>= 9</w:t>
            </w:r>
            <w:r w:rsidR="003279BA" w:rsidRPr="00AE159E">
              <w:rPr>
                <w:rFonts w:asciiTheme="minorBidi" w:hAnsiTheme="minorBidi" w:cstheme="minorBidi"/>
                <w:sz w:val="22"/>
                <w:szCs w:val="22"/>
              </w:rPr>
              <w:t>8.7 %</w:t>
            </w:r>
          </w:p>
        </w:tc>
        <w:tc>
          <w:tcPr>
            <w:tcW w:w="3006" w:type="dxa"/>
          </w:tcPr>
          <w:p w14:paraId="0C14BA34" w14:textId="25C0D45E" w:rsidR="00654004" w:rsidRPr="00AE159E" w:rsidRDefault="00B96AC6" w:rsidP="00AB450A">
            <w:pPr>
              <w:rPr>
                <w:rFonts w:asciiTheme="minorBidi" w:hAnsiTheme="minorBidi" w:cstheme="minorBidi"/>
                <w:sz w:val="22"/>
                <w:szCs w:val="22"/>
              </w:rPr>
            </w:pPr>
            <w:r w:rsidRPr="00AE159E">
              <w:rPr>
                <w:rFonts w:asciiTheme="minorBidi" w:hAnsiTheme="minorBidi" w:cstheme="minorBidi"/>
                <w:sz w:val="22"/>
                <w:szCs w:val="22"/>
              </w:rPr>
              <w:t>Gov</w:t>
            </w:r>
            <w:r w:rsidR="003447AA" w:rsidRPr="00AE159E">
              <w:rPr>
                <w:rFonts w:asciiTheme="minorBidi" w:hAnsiTheme="minorBidi" w:cstheme="minorBidi"/>
                <w:sz w:val="22"/>
                <w:szCs w:val="22"/>
              </w:rPr>
              <w:t xml:space="preserve">. </w:t>
            </w:r>
            <w:r w:rsidR="0065147A" w:rsidRPr="00AE159E">
              <w:rPr>
                <w:rFonts w:asciiTheme="minorBidi" w:hAnsiTheme="minorBidi" w:cstheme="minorBidi"/>
                <w:sz w:val="22"/>
                <w:szCs w:val="22"/>
              </w:rPr>
              <w:t>U</w:t>
            </w:r>
            <w:r w:rsidR="003447AA" w:rsidRPr="00AE159E">
              <w:rPr>
                <w:rFonts w:asciiTheme="minorBidi" w:hAnsiTheme="minorBidi" w:cstheme="minorBidi"/>
                <w:sz w:val="22"/>
                <w:szCs w:val="22"/>
              </w:rPr>
              <w:t>K</w:t>
            </w:r>
            <w:r w:rsidRPr="00AE159E">
              <w:rPr>
                <w:rFonts w:asciiTheme="minorBidi" w:hAnsiTheme="minorBidi" w:cstheme="minorBidi"/>
                <w:sz w:val="22"/>
                <w:szCs w:val="22"/>
              </w:rPr>
              <w:t xml:space="preserve"> 2025 </w:t>
            </w:r>
          </w:p>
        </w:tc>
      </w:tr>
    </w:tbl>
    <w:p w14:paraId="168F99C7" w14:textId="77777777" w:rsidR="00B20CA8" w:rsidRDefault="00573287" w:rsidP="006A1A6F">
      <w:r w:rsidRPr="00AE159E">
        <w:t xml:space="preserve"> </w:t>
      </w:r>
    </w:p>
    <w:p w14:paraId="2ADDEB70" w14:textId="77777777" w:rsidR="00B20CA8" w:rsidRDefault="00B20CA8" w:rsidP="006A1A6F"/>
    <w:p w14:paraId="7499395F" w14:textId="1E0B197F" w:rsidR="00F13B57" w:rsidRDefault="00F13B57" w:rsidP="006A1A6F">
      <w:r w:rsidRPr="00AE159E">
        <w:t xml:space="preserve">Recommendations: </w:t>
      </w:r>
    </w:p>
    <w:p w14:paraId="47536272" w14:textId="77777777" w:rsidR="00B20CA8" w:rsidRPr="00AE159E" w:rsidRDefault="00B20CA8" w:rsidP="006A1A6F"/>
    <w:p w14:paraId="353AF11E" w14:textId="77777777" w:rsidR="00F13B57" w:rsidRPr="00AE159E" w:rsidRDefault="00F13B57"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Based on the critical evaluation presented in this report, several recommendations can be made to improve the effectiveness, safety and inclusivity of digital GP and online consultation systems in the UK.</w:t>
      </w:r>
    </w:p>
    <w:p w14:paraId="56AD0EA3" w14:textId="77777777" w:rsidR="00042E87" w:rsidRDefault="00F13B57" w:rsidP="00B20CA8">
      <w:r w:rsidRPr="00AA11D8">
        <w:t>Firstly</w:t>
      </w:r>
    </w:p>
    <w:p w14:paraId="3140CC43" w14:textId="6055CD2D" w:rsidR="00F13B57" w:rsidRPr="00042E87" w:rsidRDefault="00F13B57" w:rsidP="00042E87">
      <w:pPr>
        <w:spacing w:before="100" w:beforeAutospacing="1" w:after="100" w:afterAutospacing="1" w:line="360" w:lineRule="auto"/>
        <w:rPr>
          <w:rFonts w:asciiTheme="minorBidi" w:hAnsiTheme="minorBidi" w:cstheme="minorBidi"/>
          <w:b/>
          <w:bCs/>
          <w:sz w:val="22"/>
          <w:szCs w:val="22"/>
        </w:rPr>
      </w:pPr>
      <w:r w:rsidRPr="00AE159E">
        <w:rPr>
          <w:rFonts w:asciiTheme="minorBidi" w:hAnsiTheme="minorBidi" w:cstheme="minorBidi"/>
          <w:sz w:val="22"/>
          <w:szCs w:val="22"/>
        </w:rPr>
        <w:t xml:space="preserve">healthcare services should adopt and strengthen blended models of care that combine digital access with protected face-to-face appointments. Digital triage should be used to support prioritisation, not as a gatekeeping mechanism that limits access to in-person care. Clear clinical guidelines are needed to identify which symptoms and conditions are appropriate for remote assessment and when physical examination is essential. This would reduce diagnostic risk and ensure patient safety, particularly for complex and vulnerable </w:t>
      </w:r>
      <w:r w:rsidRPr="00AE159E">
        <w:rPr>
          <w:rFonts w:asciiTheme="minorBidi" w:hAnsiTheme="minorBidi" w:cstheme="minorBidi"/>
          <w:sz w:val="22"/>
          <w:szCs w:val="22"/>
        </w:rPr>
        <w:lastRenderedPageBreak/>
        <w:t>patients (RCGP, 2021). However, implementing blended care requires sufficient staffing and appointment capacity, which may be challenging under current workforce shortages.</w:t>
      </w:r>
    </w:p>
    <w:p w14:paraId="0206D888" w14:textId="2494B5E0" w:rsidR="00D526A0" w:rsidRPr="00D526A0" w:rsidRDefault="00F13B57" w:rsidP="00473091">
      <w:r w:rsidRPr="00D526A0">
        <w:t>Secondly</w:t>
      </w:r>
    </w:p>
    <w:p w14:paraId="1DE9014E" w14:textId="61909090" w:rsidR="00F13B57" w:rsidRPr="00AE159E" w:rsidRDefault="00F13B57"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workforce training and support must be expanded. Clinicians require not only technical training but also guidance on digital communication, risk assessment and safeguarding within remote consultations. Investment in continuous professional development would improve confidence and reduce errors. However, time pressures and funding limitations may restrict training opportunities, highlighting the need for national-level workforce investment rather than reliance on individual GP practices.</w:t>
      </w:r>
    </w:p>
    <w:p w14:paraId="2A6D3E03" w14:textId="78122385" w:rsidR="00D526A0" w:rsidRPr="00D526A0" w:rsidRDefault="00F13B57" w:rsidP="00473091">
      <w:r w:rsidRPr="00D526A0">
        <w:t>Thirdly</w:t>
      </w:r>
    </w:p>
    <w:p w14:paraId="0EE3D472" w14:textId="5BAD8251" w:rsidR="00F13B57" w:rsidRPr="00AE159E" w:rsidRDefault="00F13B57"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 improving digital system integration across NHS services should be prioritised. Fragmented platforms increase administrative workload and raise risks related to data quality and continuity of care. Standardised digital infrastructure would enable better information sharing between primary care, </w:t>
      </w:r>
      <w:r w:rsidR="00EA6479" w:rsidRPr="00AE159E">
        <w:rPr>
          <w:rFonts w:asciiTheme="minorBidi" w:hAnsiTheme="minorBidi" w:cstheme="minorBidi"/>
          <w:sz w:val="22"/>
          <w:szCs w:val="22"/>
        </w:rPr>
        <w:t>hospitals,</w:t>
      </w:r>
      <w:r w:rsidRPr="00AE159E">
        <w:rPr>
          <w:rFonts w:asciiTheme="minorBidi" w:hAnsiTheme="minorBidi" w:cstheme="minorBidi"/>
          <w:sz w:val="22"/>
          <w:szCs w:val="22"/>
        </w:rPr>
        <w:t xml:space="preserve"> and community services. While national integration is costly and complex, long-term efficiency and patient safety benefits justify this investment (DHSC, 2022).</w:t>
      </w:r>
    </w:p>
    <w:p w14:paraId="4F82B72C" w14:textId="469CBCC1" w:rsidR="0069384D" w:rsidRPr="0069384D" w:rsidRDefault="00F13B57" w:rsidP="00473091">
      <w:r w:rsidRPr="0069384D">
        <w:t xml:space="preserve">Fourthly </w:t>
      </w:r>
    </w:p>
    <w:p w14:paraId="5559DB5A" w14:textId="21B8F459" w:rsidR="00F13B57" w:rsidRPr="00AE159E" w:rsidRDefault="00F13B57"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digital inclusion strategies must be embedded into health policy. Community-based programmes offering digital skills training, free Wi-Fi access and device lending schemes could reduce exclusion among older adults and low-income groups. Partnerships with libraries, community centres and voluntary organisations could enhance reach and trust. However, digital inclusion requires sustained funding and cross-sector collaboration, which may be difficult during periods of financial constraint.</w:t>
      </w:r>
    </w:p>
    <w:p w14:paraId="46E70B81" w14:textId="06020D03" w:rsidR="00003C20" w:rsidRPr="00003C20" w:rsidRDefault="00F13B57" w:rsidP="00473091">
      <w:r w:rsidRPr="00003C20">
        <w:t>Fifthly</w:t>
      </w:r>
    </w:p>
    <w:p w14:paraId="7340DF8A" w14:textId="6D71EEE7" w:rsidR="00F13B57" w:rsidRPr="00AE159E" w:rsidRDefault="00F13B57"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 patient and community voices should be actively involved through co-production and feedback mechanisms. Service design should reflect local needs and preferences rather than assuming that technological solutions are universally acceptable. Engaging communities improves trust, </w:t>
      </w:r>
      <w:r w:rsidR="00EA55C5" w:rsidRPr="00AE159E">
        <w:rPr>
          <w:rFonts w:asciiTheme="minorBidi" w:hAnsiTheme="minorBidi" w:cstheme="minorBidi"/>
          <w:sz w:val="22"/>
          <w:szCs w:val="22"/>
        </w:rPr>
        <w:t>uptake,</w:t>
      </w:r>
      <w:r w:rsidRPr="00AE159E">
        <w:rPr>
          <w:rFonts w:asciiTheme="minorBidi" w:hAnsiTheme="minorBidi" w:cstheme="minorBidi"/>
          <w:sz w:val="22"/>
          <w:szCs w:val="22"/>
        </w:rPr>
        <w:t xml:space="preserve"> and service relevance. Yet, meaningful co-production requires time and organisational commitment, which may conflict with performance-driven service targets.</w:t>
      </w:r>
    </w:p>
    <w:p w14:paraId="1ACC94CA" w14:textId="693F0A4E" w:rsidR="00F13B57" w:rsidRPr="00AE159E" w:rsidRDefault="00F13B57"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lastRenderedPageBreak/>
        <w:t xml:space="preserve">Finally, policymakers should recognise that digital innovation cannot compensate for systemic underfunding in primary care. Without addressing workforce shortages, appointment capacity and social determinants of health, digital tools may only shift rather than solve access problems. Sustainable reform must integrate technology with broader investment in staff, </w:t>
      </w:r>
      <w:r w:rsidR="00EA55C5" w:rsidRPr="00AE159E">
        <w:rPr>
          <w:rFonts w:asciiTheme="minorBidi" w:hAnsiTheme="minorBidi" w:cstheme="minorBidi"/>
          <w:sz w:val="22"/>
          <w:szCs w:val="22"/>
        </w:rPr>
        <w:t>infrastructure,</w:t>
      </w:r>
      <w:r w:rsidRPr="00AE159E">
        <w:rPr>
          <w:rFonts w:asciiTheme="minorBidi" w:hAnsiTheme="minorBidi" w:cstheme="minorBidi"/>
          <w:sz w:val="22"/>
          <w:szCs w:val="22"/>
        </w:rPr>
        <w:t xml:space="preserve"> and community health services.</w:t>
      </w:r>
    </w:p>
    <w:p w14:paraId="3574D330" w14:textId="3C9556EE" w:rsidR="00F13B57" w:rsidRDefault="00F13B57" w:rsidP="00AE159E">
      <w:pPr>
        <w:spacing w:before="100" w:beforeAutospacing="1" w:after="100" w:afterAutospacing="1" w:line="360" w:lineRule="auto"/>
        <w:rPr>
          <w:rFonts w:asciiTheme="minorBidi" w:hAnsiTheme="minorBidi" w:cstheme="minorBidi"/>
          <w:sz w:val="22"/>
          <w:szCs w:val="22"/>
        </w:rPr>
      </w:pPr>
      <w:r w:rsidRPr="00AE159E">
        <w:rPr>
          <w:rFonts w:asciiTheme="minorBidi" w:hAnsiTheme="minorBidi" w:cstheme="minorBidi"/>
          <w:sz w:val="22"/>
          <w:szCs w:val="22"/>
        </w:rPr>
        <w:t xml:space="preserve">In conclusion, digital GP systems can improve access and flexibility, but only when implemented within a supportive, </w:t>
      </w:r>
      <w:r w:rsidR="00EA55C5" w:rsidRPr="00AE159E">
        <w:rPr>
          <w:rFonts w:asciiTheme="minorBidi" w:hAnsiTheme="minorBidi" w:cstheme="minorBidi"/>
          <w:sz w:val="22"/>
          <w:szCs w:val="22"/>
        </w:rPr>
        <w:t>inclusive,</w:t>
      </w:r>
      <w:r w:rsidRPr="00AE159E">
        <w:rPr>
          <w:rFonts w:asciiTheme="minorBidi" w:hAnsiTheme="minorBidi" w:cstheme="minorBidi"/>
          <w:sz w:val="22"/>
          <w:szCs w:val="22"/>
        </w:rPr>
        <w:t xml:space="preserve"> and well-resourced healthcare framework. Balanced investment across technology, workforce and community services is essential to ensure that digital innovation enhances, rather than undermines, equitable healthcare delivery.</w:t>
      </w:r>
    </w:p>
    <w:p w14:paraId="2479AF98" w14:textId="77777777" w:rsidR="000F6F30" w:rsidRDefault="000F6F30" w:rsidP="00AE159E">
      <w:pPr>
        <w:spacing w:before="100" w:beforeAutospacing="1" w:after="100" w:afterAutospacing="1" w:line="360" w:lineRule="auto"/>
        <w:rPr>
          <w:rFonts w:asciiTheme="minorBidi" w:hAnsiTheme="minorBidi" w:cstheme="minorBidi"/>
          <w:sz w:val="22"/>
          <w:szCs w:val="22"/>
        </w:rPr>
      </w:pPr>
    </w:p>
    <w:p w14:paraId="47D580F6" w14:textId="77777777" w:rsidR="000F6F30" w:rsidRDefault="000F6F30" w:rsidP="00AE159E">
      <w:pPr>
        <w:spacing w:before="100" w:beforeAutospacing="1" w:after="100" w:afterAutospacing="1" w:line="360" w:lineRule="auto"/>
        <w:rPr>
          <w:rFonts w:asciiTheme="minorBidi" w:hAnsiTheme="minorBidi" w:cstheme="minorBidi"/>
          <w:sz w:val="22"/>
          <w:szCs w:val="22"/>
        </w:rPr>
      </w:pPr>
    </w:p>
    <w:p w14:paraId="65C5A306" w14:textId="77777777" w:rsidR="000F6F30" w:rsidRDefault="000F6F30" w:rsidP="00AE159E">
      <w:pPr>
        <w:spacing w:before="100" w:beforeAutospacing="1" w:after="100" w:afterAutospacing="1" w:line="360" w:lineRule="auto"/>
        <w:rPr>
          <w:rFonts w:asciiTheme="minorBidi" w:hAnsiTheme="minorBidi" w:cstheme="minorBidi"/>
          <w:sz w:val="22"/>
          <w:szCs w:val="22"/>
        </w:rPr>
      </w:pPr>
    </w:p>
    <w:p w14:paraId="2182FCCC" w14:textId="77777777" w:rsidR="002A4A92" w:rsidRDefault="002A4A92" w:rsidP="00AE159E">
      <w:pPr>
        <w:spacing w:before="100" w:beforeAutospacing="1" w:after="100" w:afterAutospacing="1" w:line="360" w:lineRule="auto"/>
        <w:rPr>
          <w:rFonts w:asciiTheme="minorBidi" w:hAnsiTheme="minorBidi" w:cstheme="minorBidi"/>
          <w:sz w:val="22"/>
          <w:szCs w:val="22"/>
        </w:rPr>
      </w:pPr>
    </w:p>
    <w:p w14:paraId="68B06DCB" w14:textId="77777777" w:rsidR="006A6968" w:rsidRDefault="006A6968" w:rsidP="00AE159E">
      <w:pPr>
        <w:spacing w:before="100" w:beforeAutospacing="1" w:after="100" w:afterAutospacing="1" w:line="360" w:lineRule="auto"/>
        <w:rPr>
          <w:rFonts w:asciiTheme="minorBidi" w:hAnsiTheme="minorBidi" w:cstheme="minorBidi"/>
          <w:sz w:val="22"/>
          <w:szCs w:val="22"/>
        </w:rPr>
      </w:pPr>
    </w:p>
    <w:p w14:paraId="204662A5" w14:textId="77777777" w:rsidR="006A6968" w:rsidRDefault="006A6968" w:rsidP="00AE159E">
      <w:pPr>
        <w:spacing w:before="100" w:beforeAutospacing="1" w:after="100" w:afterAutospacing="1" w:line="360" w:lineRule="auto"/>
        <w:rPr>
          <w:rFonts w:asciiTheme="minorBidi" w:hAnsiTheme="minorBidi" w:cstheme="minorBidi"/>
          <w:sz w:val="22"/>
          <w:szCs w:val="22"/>
        </w:rPr>
      </w:pPr>
    </w:p>
    <w:p w14:paraId="5B1FFA62" w14:textId="77777777" w:rsidR="006A6968" w:rsidRDefault="006A6968" w:rsidP="00AE159E">
      <w:pPr>
        <w:spacing w:before="100" w:beforeAutospacing="1" w:after="100" w:afterAutospacing="1" w:line="360" w:lineRule="auto"/>
        <w:rPr>
          <w:rFonts w:asciiTheme="minorBidi" w:hAnsiTheme="minorBidi" w:cstheme="minorBidi"/>
          <w:sz w:val="22"/>
          <w:szCs w:val="22"/>
        </w:rPr>
      </w:pPr>
    </w:p>
    <w:p w14:paraId="1D7F4056" w14:textId="77777777" w:rsidR="006A6968" w:rsidRDefault="006A6968" w:rsidP="00AE159E">
      <w:pPr>
        <w:spacing w:before="100" w:beforeAutospacing="1" w:after="100" w:afterAutospacing="1" w:line="360" w:lineRule="auto"/>
        <w:rPr>
          <w:rFonts w:asciiTheme="minorBidi" w:hAnsiTheme="minorBidi" w:cstheme="minorBidi"/>
          <w:sz w:val="22"/>
          <w:szCs w:val="22"/>
        </w:rPr>
      </w:pPr>
    </w:p>
    <w:p w14:paraId="615E0C6F" w14:textId="77777777" w:rsidR="006A6968" w:rsidRDefault="006A6968" w:rsidP="00AE159E">
      <w:pPr>
        <w:spacing w:before="100" w:beforeAutospacing="1" w:after="100" w:afterAutospacing="1" w:line="360" w:lineRule="auto"/>
        <w:rPr>
          <w:rFonts w:asciiTheme="minorBidi" w:hAnsiTheme="minorBidi" w:cstheme="minorBidi"/>
          <w:sz w:val="22"/>
          <w:szCs w:val="22"/>
        </w:rPr>
      </w:pPr>
    </w:p>
    <w:p w14:paraId="23BBDC0B" w14:textId="77777777" w:rsidR="00473091" w:rsidRDefault="00473091" w:rsidP="002A4A92">
      <w:pPr>
        <w:pStyle w:val="Heading1"/>
        <w:rPr>
          <w:rStyle w:val="Strong"/>
          <w:b w:val="0"/>
          <w:bCs w:val="0"/>
        </w:rPr>
      </w:pPr>
    </w:p>
    <w:p w14:paraId="6D0F856A" w14:textId="68807957" w:rsidR="00F13B57" w:rsidRPr="002A4A92" w:rsidRDefault="00F13B57" w:rsidP="002A4A92">
      <w:pPr>
        <w:pStyle w:val="Heading1"/>
      </w:pPr>
      <w:bookmarkStart w:id="6" w:name="_Toc223232039"/>
      <w:r w:rsidRPr="002A4A92">
        <w:rPr>
          <w:rStyle w:val="Strong"/>
          <w:b w:val="0"/>
          <w:bCs w:val="0"/>
        </w:rPr>
        <w:t>Conclusion</w:t>
      </w:r>
      <w:r w:rsidR="00EA55C5" w:rsidRPr="002A4A92">
        <w:rPr>
          <w:rStyle w:val="Strong"/>
          <w:b w:val="0"/>
          <w:bCs w:val="0"/>
        </w:rPr>
        <w:t>:</w:t>
      </w:r>
      <w:bookmarkEnd w:id="6"/>
      <w:r w:rsidRPr="002A4A92">
        <w:rPr>
          <w:rStyle w:val="Strong"/>
          <w:b w:val="0"/>
          <w:bCs w:val="0"/>
        </w:rPr>
        <w:t xml:space="preserve"> </w:t>
      </w:r>
    </w:p>
    <w:p w14:paraId="077E3450" w14:textId="77777777" w:rsidR="00F13B57" w:rsidRPr="00AE159E" w:rsidRDefault="00F13B57" w:rsidP="00AE159E">
      <w:pPr>
        <w:pStyle w:val="NormalWeb"/>
        <w:spacing w:line="360" w:lineRule="auto"/>
        <w:rPr>
          <w:rFonts w:asciiTheme="minorBidi" w:hAnsiTheme="minorBidi" w:cstheme="minorBidi"/>
          <w:sz w:val="22"/>
          <w:szCs w:val="22"/>
        </w:rPr>
      </w:pPr>
      <w:r w:rsidRPr="00AE159E">
        <w:rPr>
          <w:rFonts w:asciiTheme="minorBidi" w:hAnsiTheme="minorBidi" w:cstheme="minorBidi"/>
          <w:sz w:val="22"/>
          <w:szCs w:val="22"/>
        </w:rPr>
        <w:t>This report has critically evaluated the impact of digital GP and online consultation systems on service delivery, patient and service user experience, and the wider community within the UK healthcare context. The findings suggest that while these digital innovations have improved convenience and access for many patients, they have also introduced new pressures and risks that challenge assumptions about efficiency and equity.</w:t>
      </w:r>
    </w:p>
    <w:p w14:paraId="0FA99DD5" w14:textId="07494B7E" w:rsidR="00F13B57" w:rsidRPr="00AE159E" w:rsidRDefault="00F13B57" w:rsidP="00AE159E">
      <w:pPr>
        <w:pStyle w:val="NormalWeb"/>
        <w:spacing w:line="360" w:lineRule="auto"/>
        <w:rPr>
          <w:rFonts w:asciiTheme="minorBidi" w:hAnsiTheme="minorBidi" w:cstheme="minorBidi"/>
          <w:sz w:val="22"/>
          <w:szCs w:val="22"/>
        </w:rPr>
      </w:pPr>
      <w:r w:rsidRPr="00AE159E">
        <w:rPr>
          <w:rFonts w:asciiTheme="minorBidi" w:hAnsiTheme="minorBidi" w:cstheme="minorBidi"/>
          <w:sz w:val="22"/>
          <w:szCs w:val="22"/>
        </w:rPr>
        <w:lastRenderedPageBreak/>
        <w:t xml:space="preserve">From a service delivery perspective, digital systems support rapid triage and flexible working which can be beneficial in managing high demand. However, evidence indicates that they may increase rather than reduce overall workload due to repeat consultations, clinical </w:t>
      </w:r>
      <w:r w:rsidR="00E146A9" w:rsidRPr="00AE159E">
        <w:rPr>
          <w:rFonts w:asciiTheme="minorBidi" w:hAnsiTheme="minorBidi" w:cstheme="minorBidi"/>
          <w:sz w:val="22"/>
          <w:szCs w:val="22"/>
        </w:rPr>
        <w:t>uncertainty,</w:t>
      </w:r>
      <w:r w:rsidRPr="00AE159E">
        <w:rPr>
          <w:rFonts w:asciiTheme="minorBidi" w:hAnsiTheme="minorBidi" w:cstheme="minorBidi"/>
          <w:sz w:val="22"/>
          <w:szCs w:val="22"/>
        </w:rPr>
        <w:t xml:space="preserve"> and the need for follow-up assessments (Bakhai et al., 2020). Limitations in system integration and variation in staff digital competence further reduce potential efficiency gains. Therefore, digital consultations cannot be viewed as a simple solution to workforce shortages and structural constraints within primary care.</w:t>
      </w:r>
    </w:p>
    <w:p w14:paraId="7918B3C4" w14:textId="56ECABA6" w:rsidR="00F13B57" w:rsidRPr="00AE159E" w:rsidRDefault="00F13B57" w:rsidP="00AE159E">
      <w:pPr>
        <w:pStyle w:val="NormalWeb"/>
        <w:spacing w:line="360" w:lineRule="auto"/>
        <w:rPr>
          <w:rFonts w:asciiTheme="minorBidi" w:hAnsiTheme="minorBidi" w:cstheme="minorBidi"/>
          <w:sz w:val="22"/>
          <w:szCs w:val="22"/>
        </w:rPr>
      </w:pPr>
      <w:r w:rsidRPr="00AE159E">
        <w:rPr>
          <w:rFonts w:asciiTheme="minorBidi" w:hAnsiTheme="minorBidi" w:cstheme="minorBidi"/>
          <w:sz w:val="22"/>
          <w:szCs w:val="22"/>
        </w:rPr>
        <w:t xml:space="preserve">For patients and service users, digital access offers greater convenience, particularly for those with mobility difficulties or caring responsibilities. Nevertheless, significant sections of the population remain digitally excluded, including older adults, people with disabilities and low-income households (ONS, 2021). The shift towards digital-first models risks widening health inequalities if alternative access routes are not maintained. Furthermore, reduced face-to-face interaction may affect communication quality, patient </w:t>
      </w:r>
      <w:r w:rsidR="00EA6479" w:rsidRPr="00AE159E">
        <w:rPr>
          <w:rFonts w:asciiTheme="minorBidi" w:hAnsiTheme="minorBidi" w:cstheme="minorBidi"/>
          <w:sz w:val="22"/>
          <w:szCs w:val="22"/>
        </w:rPr>
        <w:t>trust,</w:t>
      </w:r>
      <w:r w:rsidRPr="00AE159E">
        <w:rPr>
          <w:rFonts w:asciiTheme="minorBidi" w:hAnsiTheme="minorBidi" w:cstheme="minorBidi"/>
          <w:sz w:val="22"/>
          <w:szCs w:val="22"/>
        </w:rPr>
        <w:t xml:space="preserve"> and early identification of safeguarding or mental health risks.</w:t>
      </w:r>
    </w:p>
    <w:p w14:paraId="43B559AB" w14:textId="77777777" w:rsidR="00F13B57" w:rsidRPr="00AE159E" w:rsidRDefault="00F13B57" w:rsidP="00AE159E">
      <w:pPr>
        <w:pStyle w:val="NormalWeb"/>
        <w:spacing w:line="360" w:lineRule="auto"/>
        <w:rPr>
          <w:rFonts w:asciiTheme="minorBidi" w:hAnsiTheme="minorBidi" w:cstheme="minorBidi"/>
          <w:sz w:val="22"/>
          <w:szCs w:val="22"/>
        </w:rPr>
      </w:pPr>
      <w:r w:rsidRPr="00AE159E">
        <w:rPr>
          <w:rFonts w:asciiTheme="minorBidi" w:hAnsiTheme="minorBidi" w:cstheme="minorBidi"/>
          <w:sz w:val="22"/>
          <w:szCs w:val="22"/>
        </w:rPr>
        <w:t>At community level, digital GP services have potential to improve healthcare access in rural or underserved areas and to support public health communication. However, reliance on digital platforms may reduce investment in local services and weaken community-based health support networks. For some vulnerable individuals, particularly older adults, reduced in-person contact may contribute to social isolation, which is itself a major public health concern (The King’s Fund, 2021).</w:t>
      </w:r>
    </w:p>
    <w:p w14:paraId="1F3DCB84" w14:textId="16A870D7" w:rsidR="00F13B57" w:rsidRDefault="00F13B57" w:rsidP="00AE159E">
      <w:pPr>
        <w:pStyle w:val="NormalWeb"/>
        <w:spacing w:line="360" w:lineRule="auto"/>
        <w:rPr>
          <w:rFonts w:asciiTheme="minorBidi" w:hAnsiTheme="minorBidi" w:cstheme="minorBidi"/>
          <w:sz w:val="22"/>
          <w:szCs w:val="22"/>
        </w:rPr>
      </w:pPr>
      <w:r w:rsidRPr="00AE159E">
        <w:rPr>
          <w:rFonts w:asciiTheme="minorBidi" w:hAnsiTheme="minorBidi" w:cstheme="minorBidi"/>
          <w:sz w:val="22"/>
          <w:szCs w:val="22"/>
        </w:rPr>
        <w:t xml:space="preserve">Overall, this evaluation demonstrates that digital GP systems are neither wholly beneficial nor harmful. Their effectiveness depends on how they are implemented, </w:t>
      </w:r>
      <w:r w:rsidR="00EA6479" w:rsidRPr="00AE159E">
        <w:rPr>
          <w:rFonts w:asciiTheme="minorBidi" w:hAnsiTheme="minorBidi" w:cstheme="minorBidi"/>
          <w:sz w:val="22"/>
          <w:szCs w:val="22"/>
        </w:rPr>
        <w:t>integrated,</w:t>
      </w:r>
      <w:r w:rsidRPr="00AE159E">
        <w:rPr>
          <w:rFonts w:asciiTheme="minorBidi" w:hAnsiTheme="minorBidi" w:cstheme="minorBidi"/>
          <w:sz w:val="22"/>
          <w:szCs w:val="22"/>
        </w:rPr>
        <w:t xml:space="preserve"> and supported within broader health system structures. While digital innovation is essential for future healthcare sustainability, it must be used as a supportive tool rather than a replacement for person-centred, relational care. Without careful planning and targeted investment, digital transformation risks reinforcing existing inequalities and transferring pressures rather than resolving them.</w:t>
      </w:r>
    </w:p>
    <w:p w14:paraId="5B0F944E" w14:textId="77777777" w:rsidR="002A4A92" w:rsidRDefault="002A4A92" w:rsidP="00AE159E">
      <w:pPr>
        <w:pStyle w:val="NormalWeb"/>
        <w:spacing w:line="360" w:lineRule="auto"/>
        <w:rPr>
          <w:rFonts w:asciiTheme="minorBidi" w:hAnsiTheme="minorBidi" w:cstheme="minorBidi"/>
          <w:sz w:val="22"/>
          <w:szCs w:val="22"/>
        </w:rPr>
      </w:pPr>
    </w:p>
    <w:p w14:paraId="07097735" w14:textId="77777777" w:rsidR="002A4A92" w:rsidRDefault="002A4A92" w:rsidP="00AE159E">
      <w:pPr>
        <w:pStyle w:val="NormalWeb"/>
        <w:spacing w:line="360" w:lineRule="auto"/>
        <w:rPr>
          <w:rFonts w:asciiTheme="minorBidi" w:hAnsiTheme="minorBidi" w:cstheme="minorBidi"/>
          <w:sz w:val="22"/>
          <w:szCs w:val="22"/>
        </w:rPr>
      </w:pPr>
    </w:p>
    <w:p w14:paraId="4EDF53E1" w14:textId="77777777" w:rsidR="002A4A92" w:rsidRDefault="002A4A92" w:rsidP="00AE159E">
      <w:pPr>
        <w:pStyle w:val="NormalWeb"/>
        <w:spacing w:line="360" w:lineRule="auto"/>
        <w:rPr>
          <w:rFonts w:asciiTheme="minorBidi" w:hAnsiTheme="minorBidi" w:cstheme="minorBidi"/>
          <w:sz w:val="22"/>
          <w:szCs w:val="22"/>
        </w:rPr>
      </w:pPr>
    </w:p>
    <w:p w14:paraId="58ECCF03" w14:textId="77777777" w:rsidR="00331DBE" w:rsidRDefault="00331DBE" w:rsidP="00AE159E">
      <w:pPr>
        <w:pStyle w:val="NormalWeb"/>
        <w:spacing w:line="360" w:lineRule="auto"/>
        <w:rPr>
          <w:rFonts w:asciiTheme="minorBidi" w:hAnsiTheme="minorBidi" w:cstheme="minorBidi"/>
          <w:sz w:val="22"/>
          <w:szCs w:val="22"/>
        </w:rPr>
      </w:pPr>
    </w:p>
    <w:p w14:paraId="28AD5C55" w14:textId="0F5A7E3D" w:rsidR="00565343" w:rsidRPr="00623C69" w:rsidRDefault="00623C69" w:rsidP="002A4A92">
      <w:pPr>
        <w:pStyle w:val="Heading1"/>
      </w:pPr>
      <w:bookmarkStart w:id="7" w:name="_Toc223232040"/>
      <w:r w:rsidRPr="00623C69">
        <w:lastRenderedPageBreak/>
        <w:t>References</w:t>
      </w:r>
      <w:r>
        <w:t>:</w:t>
      </w:r>
      <w:bookmarkEnd w:id="7"/>
    </w:p>
    <w:p w14:paraId="019E2353" w14:textId="3787E18E" w:rsidR="00FC40C4" w:rsidRDefault="00D20C32" w:rsidP="00FD1E84">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Abel, G., Atherton, H., Sussex, J., Akter, N., Aminu, A.Q., Aminu, A., Bak, W., Bryce, C., Clark, C.E., Clark, C. and Cockcroft, E., 2024. Current experience and future potential of facilitating access to digital NHS primary care services in England: the Di-Facto mixed-methods study. </w:t>
      </w:r>
      <w:r>
        <w:rPr>
          <w:rFonts w:ascii="Arial" w:hAnsi="Arial" w:cs="Arial"/>
          <w:i/>
          <w:iCs/>
          <w:color w:val="222222"/>
          <w:sz w:val="20"/>
          <w:szCs w:val="20"/>
          <w:shd w:val="clear" w:color="auto" w:fill="FFFFFF"/>
        </w:rPr>
        <w:t>Health and Social Care Delivery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(32), pp.1-197.</w:t>
      </w:r>
      <w:r w:rsidR="00D44F2D">
        <w:rPr>
          <w:rFonts w:ascii="Arial" w:hAnsi="Arial" w:cs="Arial"/>
          <w:color w:val="222222"/>
          <w:sz w:val="20"/>
          <w:szCs w:val="20"/>
          <w:shd w:val="clear" w:color="auto" w:fill="FFFFFF"/>
        </w:rPr>
        <w:t xml:space="preserve"> </w:t>
      </w:r>
    </w:p>
    <w:bookmarkEnd w:id="1"/>
    <w:bookmarkEnd w:id="0"/>
    <w:p w14:paraId="284BCA17" w14:textId="5FA615C6" w:rsidR="00FD1E84" w:rsidRDefault="00FD1E84" w:rsidP="00FD1E84">
      <w:pPr>
        <w:pStyle w:val="NormalWeb"/>
      </w:pPr>
      <w:proofErr w:type="spellStart"/>
      <w:r>
        <w:t>Bakhai</w:t>
      </w:r>
      <w:proofErr w:type="spellEnd"/>
      <w:r>
        <w:t xml:space="preserve">, M., Atherton, H. and Dixon, A., 2020. </w:t>
      </w:r>
      <w:r>
        <w:rPr>
          <w:rStyle w:val="Emphasis"/>
          <w:rFonts w:eastAsiaTheme="majorEastAsia"/>
        </w:rPr>
        <w:t>Digital First Primary Care: Lessons from GP Online Consultation Systems</w:t>
      </w:r>
      <w:r>
        <w:t xml:space="preserve">. London: The Health Foundation. Available at: </w:t>
      </w:r>
      <w:hyperlink r:id="rId8" w:history="1">
        <w:r w:rsidR="00EB6F26" w:rsidRPr="003A2F3F">
          <w:rPr>
            <w:rStyle w:val="Hyperlink"/>
          </w:rPr>
          <w:t>https://www.health.org.uk/publications/</w:t>
        </w:r>
      </w:hyperlink>
      <w:r w:rsidR="00EB6F26">
        <w:t xml:space="preserve">. </w:t>
      </w:r>
      <w:r>
        <w:t xml:space="preserve">(Accessed: </w:t>
      </w:r>
      <w:r w:rsidR="00D5103A">
        <w:t xml:space="preserve">05 </w:t>
      </w:r>
      <w:r w:rsidR="00454E0C">
        <w:t>F</w:t>
      </w:r>
      <w:r w:rsidR="00D5103A">
        <w:t>eb</w:t>
      </w:r>
      <w:r>
        <w:t xml:space="preserve"> 2026).</w:t>
      </w:r>
    </w:p>
    <w:p w14:paraId="7E94A81F" w14:textId="073A2BFE" w:rsidR="00FD1E84" w:rsidRDefault="00FD1E84" w:rsidP="00FD1E84">
      <w:pPr>
        <w:pStyle w:val="NormalWeb"/>
      </w:pPr>
      <w:r>
        <w:t xml:space="preserve">BMJ, 2025. </w:t>
      </w:r>
      <w:r>
        <w:rPr>
          <w:rStyle w:val="Emphasis"/>
          <w:rFonts w:eastAsiaTheme="majorEastAsia"/>
        </w:rPr>
        <w:t>Rise in Online GP Consultation Requests Across England</w:t>
      </w:r>
      <w:r>
        <w:t xml:space="preserve">. London: British Medical Journal Publishing Group. Available at: </w:t>
      </w:r>
      <w:hyperlink r:id="rId9" w:tgtFrame="_new" w:history="1">
        <w:r>
          <w:rPr>
            <w:rStyle w:val="Hyperlink"/>
            <w:rFonts w:eastAsiaTheme="majorEastAsia"/>
          </w:rPr>
          <w:t>https://www.bmj.com</w:t>
        </w:r>
      </w:hyperlink>
      <w:r>
        <w:t xml:space="preserve"> (Accessed: </w:t>
      </w:r>
      <w:r w:rsidR="002362A9">
        <w:t>05</w:t>
      </w:r>
      <w:r w:rsidR="0017298F">
        <w:t xml:space="preserve"> </w:t>
      </w:r>
      <w:r w:rsidR="00454E0C">
        <w:t>Fe</w:t>
      </w:r>
      <w:r w:rsidR="002362A9">
        <w:t xml:space="preserve">b </w:t>
      </w:r>
      <w:r>
        <w:t>2026).</w:t>
      </w:r>
    </w:p>
    <w:p w14:paraId="2802B050" w14:textId="1B1B2C1F" w:rsidR="00FD1E84" w:rsidRDefault="00FD1E84" w:rsidP="00FD1E84">
      <w:pPr>
        <w:pStyle w:val="NormalWeb"/>
      </w:pPr>
      <w:r>
        <w:t xml:space="preserve">Department of Health and Social Care (DHSC), 2022. </w:t>
      </w:r>
      <w:r>
        <w:rPr>
          <w:rStyle w:val="Emphasis"/>
          <w:rFonts w:eastAsiaTheme="majorEastAsia"/>
        </w:rPr>
        <w:t>A Plan for Digital Health and Social Care</w:t>
      </w:r>
      <w:r>
        <w:t xml:space="preserve">. London: DHSC. Available at: </w:t>
      </w:r>
      <w:hyperlink r:id="rId10" w:tgtFrame="_new" w:history="1">
        <w:r>
          <w:rPr>
            <w:rStyle w:val="Hyperlink"/>
            <w:rFonts w:eastAsiaTheme="majorEastAsia"/>
          </w:rPr>
          <w:t>https://www.gov.uk/government/publications/a-plan-for-digital-health-and-social-care</w:t>
        </w:r>
      </w:hyperlink>
      <w:r>
        <w:t xml:space="preserve"> (Accessed: </w:t>
      </w:r>
      <w:r w:rsidR="008D09BD">
        <w:t>05</w:t>
      </w:r>
      <w:r>
        <w:t xml:space="preserve"> </w:t>
      </w:r>
      <w:r w:rsidR="008D09BD">
        <w:t xml:space="preserve">Feb </w:t>
      </w:r>
      <w:r>
        <w:t>2026).</w:t>
      </w:r>
    </w:p>
    <w:p w14:paraId="0A32BB11" w14:textId="21647734" w:rsidR="00FD1E84" w:rsidRPr="000E6FD4" w:rsidRDefault="00FD1E84" w:rsidP="00FD1E84">
      <w:pPr>
        <w:pStyle w:val="NormalWeb"/>
        <w:rPr>
          <w:sz w:val="22"/>
          <w:szCs w:val="22"/>
        </w:rPr>
      </w:pPr>
      <w:r>
        <w:t xml:space="preserve">Digital Health, 2025. </w:t>
      </w:r>
      <w:r>
        <w:rPr>
          <w:rStyle w:val="Emphasis"/>
          <w:rFonts w:eastAsiaTheme="majorEastAsia"/>
        </w:rPr>
        <w:t>Remote GP Appointment Statistics and Trends 2025</w:t>
      </w:r>
      <w:r>
        <w:t xml:space="preserve">. London: Digital Health Intelligence. Available at: </w:t>
      </w:r>
      <w:hyperlink r:id="rId11" w:tgtFrame="_new" w:history="1">
        <w:r>
          <w:rPr>
            <w:rStyle w:val="Hyperlink"/>
            <w:rFonts w:eastAsiaTheme="majorEastAsia"/>
          </w:rPr>
          <w:t>https://www.digitalhealth.net</w:t>
        </w:r>
      </w:hyperlink>
      <w:r>
        <w:t xml:space="preserve"> (</w:t>
      </w:r>
      <w:r w:rsidR="00214137">
        <w:t>Accessed: 05 Feb 2026</w:t>
      </w:r>
      <w:r>
        <w:t>).</w:t>
      </w:r>
    </w:p>
    <w:p w14:paraId="573F3206" w14:textId="5D36ACB9" w:rsidR="00FD1E84" w:rsidRDefault="00FD1E84" w:rsidP="00FD1E84">
      <w:pPr>
        <w:pStyle w:val="NormalWeb"/>
      </w:pPr>
      <w:r>
        <w:t xml:space="preserve">Greenhalgh, T., Wherton, J., Shaw, S. and Morrison, C., 2020. ‘Video consultations for COVID-19’, </w:t>
      </w:r>
      <w:r>
        <w:rPr>
          <w:rStyle w:val="Emphasis"/>
          <w:rFonts w:eastAsiaTheme="majorEastAsia"/>
        </w:rPr>
        <w:t>BMJ</w:t>
      </w:r>
      <w:r>
        <w:t xml:space="preserve">, 368. Available at: </w:t>
      </w:r>
      <w:hyperlink r:id="rId12" w:tgtFrame="_new" w:history="1">
        <w:r>
          <w:rPr>
            <w:rStyle w:val="Hyperlink"/>
            <w:rFonts w:eastAsiaTheme="majorEastAsia"/>
          </w:rPr>
          <w:t>https://www.bmj.com/content/368/bmj.m998</w:t>
        </w:r>
      </w:hyperlink>
      <w:r>
        <w:t xml:space="preserve"> (</w:t>
      </w:r>
      <w:r w:rsidR="00214137">
        <w:t>Accessed: 05 Feb 2026</w:t>
      </w:r>
      <w:r>
        <w:t>).</w:t>
      </w:r>
    </w:p>
    <w:p w14:paraId="2E6EE886" w14:textId="7907A8DD" w:rsidR="00FD1E84" w:rsidRDefault="00FD1E84" w:rsidP="00FD1E84">
      <w:pPr>
        <w:pStyle w:val="NormalWeb"/>
      </w:pPr>
      <w:r>
        <w:t xml:space="preserve">Ipsos, 2022. </w:t>
      </w:r>
      <w:r>
        <w:rPr>
          <w:rStyle w:val="Emphasis"/>
          <w:rFonts w:eastAsiaTheme="majorEastAsia"/>
        </w:rPr>
        <w:t>Public Perceptions of Digital Healthcare Access in the UK</w:t>
      </w:r>
      <w:r>
        <w:t xml:space="preserve">. London: Ipsos MORI. Available at: </w:t>
      </w:r>
      <w:hyperlink r:id="rId13" w:tgtFrame="_new" w:history="1">
        <w:r>
          <w:rPr>
            <w:rStyle w:val="Hyperlink"/>
            <w:rFonts w:eastAsiaTheme="majorEastAsia"/>
          </w:rPr>
          <w:t>https://www.ipsos.com/en-uk</w:t>
        </w:r>
      </w:hyperlink>
      <w:r>
        <w:t xml:space="preserve"> (</w:t>
      </w:r>
      <w:r w:rsidR="009702FB">
        <w:t>Accessed: 05 Feb 2026</w:t>
      </w:r>
      <w:r>
        <w:t>).</w:t>
      </w:r>
    </w:p>
    <w:p w14:paraId="6FDB1612" w14:textId="5731CB2C" w:rsidR="00FD1E84" w:rsidRDefault="00FD1E84" w:rsidP="00FD1E84">
      <w:pPr>
        <w:pStyle w:val="NormalWeb"/>
      </w:pPr>
      <w:r>
        <w:t xml:space="preserve">NHS Digital, 2022. </w:t>
      </w:r>
      <w:r>
        <w:rPr>
          <w:rStyle w:val="Emphasis"/>
          <w:rFonts w:eastAsiaTheme="majorEastAsia"/>
        </w:rPr>
        <w:t>NHS App Usage Statistics and Patient Access Data</w:t>
      </w:r>
      <w:r>
        <w:t xml:space="preserve">. Leeds: NHS Digital. Available at: </w:t>
      </w:r>
      <w:hyperlink r:id="rId14" w:tgtFrame="_new" w:history="1">
        <w:r>
          <w:rPr>
            <w:rStyle w:val="Hyperlink"/>
            <w:rFonts w:eastAsiaTheme="majorEastAsia"/>
          </w:rPr>
          <w:t>https://digital.nhs.uk/services/nhs-app/nhs-app-dashboard</w:t>
        </w:r>
      </w:hyperlink>
      <w:r>
        <w:t xml:space="preserve"> (</w:t>
      </w:r>
      <w:r w:rsidR="009702FB">
        <w:t>Accessed: 05 Feb 2026</w:t>
      </w:r>
      <w:r>
        <w:t>).</w:t>
      </w:r>
    </w:p>
    <w:p w14:paraId="42EAB5FD" w14:textId="0560D924" w:rsidR="00FD1E84" w:rsidRDefault="00FD1E84" w:rsidP="00FD1E84">
      <w:pPr>
        <w:pStyle w:val="NormalWeb"/>
      </w:pPr>
      <w:r>
        <w:t xml:space="preserve">NHS England, 2023. </w:t>
      </w:r>
      <w:r>
        <w:rPr>
          <w:rStyle w:val="Emphasis"/>
          <w:rFonts w:eastAsiaTheme="majorEastAsia"/>
        </w:rPr>
        <w:t>Primary Care Digital Transformation Strategy</w:t>
      </w:r>
      <w:r>
        <w:t xml:space="preserve">. London: NHS England. Available at: </w:t>
      </w:r>
      <w:hyperlink r:id="rId15" w:history="1">
        <w:r w:rsidR="00F43574" w:rsidRPr="003A2F3F">
          <w:rPr>
            <w:rStyle w:val="Hyperlink"/>
          </w:rPr>
          <w:t>https://www.england.nhs.uk/primary-care/digital-primary-care/</w:t>
        </w:r>
      </w:hyperlink>
      <w:r w:rsidR="00F43574">
        <w:t xml:space="preserve">. </w:t>
      </w:r>
      <w:r>
        <w:t xml:space="preserve"> (</w:t>
      </w:r>
      <w:r w:rsidR="009702FB">
        <w:t>Accessed: 05 Feb 2026</w:t>
      </w:r>
      <w:r>
        <w:t>).</w:t>
      </w:r>
    </w:p>
    <w:p w14:paraId="415471B8" w14:textId="7617553B" w:rsidR="00FD1E84" w:rsidRDefault="00FD1E84" w:rsidP="00FD1E84">
      <w:pPr>
        <w:pStyle w:val="NormalWeb"/>
      </w:pPr>
      <w:r>
        <w:t xml:space="preserve">NHS England, 2025. </w:t>
      </w:r>
      <w:r>
        <w:rPr>
          <w:rStyle w:val="Emphasis"/>
          <w:rFonts w:eastAsiaTheme="majorEastAsia"/>
        </w:rPr>
        <w:t>NHS App and Online Consultation Monthly Statistics</w:t>
      </w:r>
      <w:r>
        <w:t xml:space="preserve">. London: NHS England. Available at: </w:t>
      </w:r>
      <w:hyperlink r:id="rId16" w:history="1">
        <w:r w:rsidR="00D532CB" w:rsidRPr="003A2F3F">
          <w:rPr>
            <w:rStyle w:val="Hyperlink"/>
          </w:rPr>
          <w:t>https://www.england.nhs.uk/statistics/statistical-work-areas/nhs-app/</w:t>
        </w:r>
      </w:hyperlink>
      <w:r w:rsidR="00D532CB">
        <w:t xml:space="preserve">. </w:t>
      </w:r>
      <w:r>
        <w:t>(</w:t>
      </w:r>
      <w:r w:rsidR="00350464">
        <w:t>Accessed: 05 Feb 2026</w:t>
      </w:r>
      <w:r>
        <w:t>).</w:t>
      </w:r>
    </w:p>
    <w:p w14:paraId="5F9B6C45" w14:textId="0D5EB366" w:rsidR="00FD1E84" w:rsidRDefault="00FD1E84" w:rsidP="00FD1E84">
      <w:pPr>
        <w:pStyle w:val="NormalWeb"/>
      </w:pPr>
      <w:r>
        <w:t xml:space="preserve">Office for National Statistics (ONS), 2021. </w:t>
      </w:r>
      <w:r>
        <w:rPr>
          <w:rStyle w:val="Emphasis"/>
          <w:rFonts w:eastAsiaTheme="majorEastAsia"/>
        </w:rPr>
        <w:t>Internet Access – Households and Individuals, Great Britain</w:t>
      </w:r>
      <w:r>
        <w:t xml:space="preserve">. London: ONS. Available at: </w:t>
      </w:r>
      <w:hyperlink r:id="rId17" w:tgtFrame="_new" w:history="1">
        <w:r>
          <w:rPr>
            <w:rStyle w:val="Hyperlink"/>
            <w:rFonts w:eastAsiaTheme="majorEastAsia"/>
          </w:rPr>
          <w:t>https://www.ons.gov.uk/peoplepopulationandcommunity/householdcharacteristics/homeinternetandsocialmediausage</w:t>
        </w:r>
      </w:hyperlink>
      <w:r>
        <w:t xml:space="preserve"> (</w:t>
      </w:r>
      <w:r w:rsidR="00350464">
        <w:t>Accessed: 05 Feb 2026</w:t>
      </w:r>
      <w:r>
        <w:t>).</w:t>
      </w:r>
    </w:p>
    <w:p w14:paraId="68957765" w14:textId="12B98422" w:rsidR="00FD1E84" w:rsidRDefault="00FD1E84" w:rsidP="00FD1E84">
      <w:pPr>
        <w:pStyle w:val="NormalWeb"/>
      </w:pPr>
      <w:r>
        <w:t xml:space="preserve">PA Media, 2025. </w:t>
      </w:r>
      <w:r>
        <w:rPr>
          <w:rStyle w:val="Emphasis"/>
          <w:rFonts w:eastAsiaTheme="majorEastAsia"/>
        </w:rPr>
        <w:t>Analysis of Remote GP Appointment Proportions in England</w:t>
      </w:r>
      <w:r>
        <w:t xml:space="preserve">. London: PA Media. Available at: </w:t>
      </w:r>
      <w:hyperlink r:id="rId18" w:tgtFrame="_new" w:history="1">
        <w:r>
          <w:rPr>
            <w:rStyle w:val="Hyperlink"/>
            <w:rFonts w:eastAsiaTheme="majorEastAsia"/>
          </w:rPr>
          <w:t>https://www.pamedia.com</w:t>
        </w:r>
      </w:hyperlink>
      <w:r>
        <w:t xml:space="preserve"> (</w:t>
      </w:r>
      <w:r w:rsidR="00350464">
        <w:t>Accessed: 05 Feb 2026</w:t>
      </w:r>
      <w:r>
        <w:t>).</w:t>
      </w:r>
    </w:p>
    <w:p w14:paraId="49123FD9" w14:textId="6E38E786" w:rsidR="00FD1E84" w:rsidRDefault="00FD1E84" w:rsidP="00FD1E84">
      <w:pPr>
        <w:pStyle w:val="NormalWeb"/>
      </w:pPr>
      <w:r>
        <w:lastRenderedPageBreak/>
        <w:t xml:space="preserve">Royal College of General Practitioners (RCGP), 2021. </w:t>
      </w:r>
      <w:r>
        <w:rPr>
          <w:rStyle w:val="Emphasis"/>
          <w:rFonts w:eastAsiaTheme="majorEastAsia"/>
        </w:rPr>
        <w:t>The Value of Continuity in General Practice</w:t>
      </w:r>
      <w:r>
        <w:t xml:space="preserve">. London: RCGP. Available at: </w:t>
      </w:r>
      <w:hyperlink r:id="rId19" w:history="1">
        <w:r w:rsidR="00D532CB" w:rsidRPr="003A2F3F">
          <w:rPr>
            <w:rStyle w:val="Hyperlink"/>
          </w:rPr>
          <w:t>https://www.rcgp.org.uk/policy/rcgp-policy-areas/continuity-of-care/</w:t>
        </w:r>
      </w:hyperlink>
      <w:r w:rsidR="00D532CB">
        <w:t xml:space="preserve">. </w:t>
      </w:r>
      <w:r>
        <w:t>(</w:t>
      </w:r>
      <w:r w:rsidR="00371121">
        <w:t>Accessed: 05 Feb 2026</w:t>
      </w:r>
      <w:r>
        <w:t>).</w:t>
      </w:r>
    </w:p>
    <w:p w14:paraId="5C283FB9" w14:textId="4272D85D" w:rsidR="00FD1E84" w:rsidRDefault="00FD1E84" w:rsidP="00FD1E84">
      <w:pPr>
        <w:pStyle w:val="NormalWeb"/>
      </w:pPr>
      <w:r>
        <w:t xml:space="preserve">Shaw, S., Wherton, J., </w:t>
      </w:r>
      <w:r w:rsidR="00565343">
        <w:t>Vijaya Raghavan</w:t>
      </w:r>
      <w:r>
        <w:t xml:space="preserve">, S. and Greenhalgh, T., 2018. ‘Advantages and limitations of virtual online consultations in primary care’, </w:t>
      </w:r>
      <w:r>
        <w:rPr>
          <w:rStyle w:val="Emphasis"/>
          <w:rFonts w:eastAsiaTheme="majorEastAsia"/>
        </w:rPr>
        <w:t>British Journal of General Practice</w:t>
      </w:r>
      <w:r>
        <w:t xml:space="preserve">, 68(672), pp. e813–e819. Available at: </w:t>
      </w:r>
      <w:hyperlink r:id="rId20" w:history="1">
        <w:r w:rsidR="00F909D8" w:rsidRPr="00B92390">
          <w:rPr>
            <w:rStyle w:val="Hyperlink"/>
          </w:rPr>
          <w:t>https://bjgp.org/content/68/672/e813 /</w:t>
        </w:r>
      </w:hyperlink>
      <w:r w:rsidR="00F909D8">
        <w:t xml:space="preserve"> </w:t>
      </w:r>
      <w:r>
        <w:t>(</w:t>
      </w:r>
      <w:r w:rsidR="006A7D45">
        <w:t>Accessed: 05 Feb 2026</w:t>
      </w:r>
      <w:r>
        <w:t>).</w:t>
      </w:r>
    </w:p>
    <w:p w14:paraId="0F217886" w14:textId="571500D0" w:rsidR="00FD1E84" w:rsidRDefault="00FD1E84" w:rsidP="00FD1E84">
      <w:pPr>
        <w:pStyle w:val="NormalWeb"/>
      </w:pPr>
      <w:r>
        <w:t xml:space="preserve">The King’s Fund, 2021. </w:t>
      </w:r>
      <w:r>
        <w:rPr>
          <w:rStyle w:val="Emphasis"/>
          <w:rFonts w:eastAsiaTheme="majorEastAsia"/>
        </w:rPr>
        <w:t>Digital Technology and the Future of Primary Care</w:t>
      </w:r>
      <w:r>
        <w:t xml:space="preserve">. London: The King’s Fund. Available at: </w:t>
      </w:r>
      <w:hyperlink r:id="rId21" w:history="1">
        <w:r w:rsidR="00E1561E" w:rsidRPr="00B92390">
          <w:rPr>
            <w:rStyle w:val="Hyperlink"/>
          </w:rPr>
          <w:t>https://www.kingsfund.org.uk/publications/digital-technology-primary-care/</w:t>
        </w:r>
      </w:hyperlink>
      <w:r w:rsidR="00E1561E">
        <w:t xml:space="preserve"> </w:t>
      </w:r>
      <w:r>
        <w:t xml:space="preserve"> (</w:t>
      </w:r>
      <w:r w:rsidR="006A7D45">
        <w:t>Accessed: 05 Feb 2026</w:t>
      </w:r>
      <w:r>
        <w:t>).</w:t>
      </w:r>
    </w:p>
    <w:p w14:paraId="121957C4" w14:textId="2E20FA30" w:rsidR="00FD1E84" w:rsidRDefault="00FD1E84" w:rsidP="00FD1E84">
      <w:pPr>
        <w:pStyle w:val="NormalWeb"/>
        <w:rPr>
          <w:rtl/>
        </w:rPr>
      </w:pPr>
      <w:r>
        <w:t xml:space="preserve">Gov.uk, 2025. </w:t>
      </w:r>
      <w:r>
        <w:rPr>
          <w:rStyle w:val="Emphasis"/>
          <w:rFonts w:eastAsiaTheme="majorEastAsia"/>
        </w:rPr>
        <w:t>GP Online Services and Digital Access Statistics</w:t>
      </w:r>
      <w:r>
        <w:t xml:space="preserve">. London: HM Government. Available at: </w:t>
      </w:r>
      <w:hyperlink r:id="rId22" w:history="1">
        <w:r w:rsidR="001C41CD" w:rsidRPr="003A2F3F">
          <w:rPr>
            <w:rStyle w:val="Hyperlink"/>
          </w:rPr>
          <w:t>https://www.gov.uk/government/statistics/gp-online-services/</w:t>
        </w:r>
      </w:hyperlink>
      <w:r w:rsidR="001C41CD">
        <w:t xml:space="preserve">. </w:t>
      </w:r>
      <w:r>
        <w:t>(</w:t>
      </w:r>
      <w:r w:rsidR="006A7D45">
        <w:t>Accessed: 05 Feb 2026</w:t>
      </w:r>
      <w:r>
        <w:t>).</w:t>
      </w:r>
    </w:p>
    <w:p w14:paraId="7148BEAF" w14:textId="289D62E5" w:rsidR="00FD1E84" w:rsidRDefault="00FD1E84" w:rsidP="00FD1E84">
      <w:pPr>
        <w:pStyle w:val="NormalWeb"/>
      </w:pPr>
      <w:r>
        <w:t xml:space="preserve">Health Foundation, 2022. </w:t>
      </w:r>
      <w:r>
        <w:rPr>
          <w:rStyle w:val="Emphasis"/>
          <w:rFonts w:eastAsiaTheme="majorEastAsia"/>
        </w:rPr>
        <w:t>Technology and Innovation in UK Primary Care</w:t>
      </w:r>
      <w:r>
        <w:t xml:space="preserve">. London: The Health Foundation. Available at: </w:t>
      </w:r>
      <w:hyperlink r:id="rId23" w:history="1">
        <w:r w:rsidR="00F26C2D" w:rsidRPr="003A2F3F">
          <w:rPr>
            <w:rStyle w:val="Hyperlink"/>
          </w:rPr>
          <w:t>https://www.health.org.uk/publications/</w:t>
        </w:r>
      </w:hyperlink>
      <w:r w:rsidR="00F26C2D">
        <w:t xml:space="preserve">. </w:t>
      </w:r>
      <w:r>
        <w:t>(</w:t>
      </w:r>
      <w:r w:rsidR="00025E57">
        <w:t>Accessed: 05 Feb 2026</w:t>
      </w:r>
      <w:r>
        <w:t>).</w:t>
      </w:r>
    </w:p>
    <w:p w14:paraId="0EC84087" w14:textId="2AEC7EB5" w:rsidR="00FD1E84" w:rsidRDefault="00FD1E84" w:rsidP="00FD1E84">
      <w:pPr>
        <w:pStyle w:val="NormalWeb"/>
      </w:pPr>
      <w:r>
        <w:t xml:space="preserve">Nuffield Trust, 2023. </w:t>
      </w:r>
      <w:r>
        <w:rPr>
          <w:rStyle w:val="Emphasis"/>
          <w:rFonts w:eastAsiaTheme="majorEastAsia"/>
        </w:rPr>
        <w:t>Access to General Practice in England: Digital Trends</w:t>
      </w:r>
      <w:r>
        <w:t xml:space="preserve">. London: Nuffield Trust. Available at: </w:t>
      </w:r>
      <w:hyperlink r:id="rId24" w:history="1">
        <w:r w:rsidR="00F26C2D" w:rsidRPr="003A2F3F">
          <w:rPr>
            <w:rStyle w:val="Hyperlink"/>
          </w:rPr>
          <w:t>https://www.nuffieldtrust.org.uk/research/access-to-general-practice/</w:t>
        </w:r>
      </w:hyperlink>
      <w:r w:rsidR="00F26C2D">
        <w:t xml:space="preserve">. </w:t>
      </w:r>
      <w:r>
        <w:t xml:space="preserve"> (</w:t>
      </w:r>
      <w:r w:rsidR="00025E57">
        <w:t>Accessed: 05 Feb 2026</w:t>
      </w:r>
      <w:r>
        <w:t>).</w:t>
      </w:r>
    </w:p>
    <w:p w14:paraId="336045BF" w14:textId="7A6EFABE" w:rsidR="00FD1E84" w:rsidRDefault="00FD1E84" w:rsidP="00FD1E84">
      <w:pPr>
        <w:pStyle w:val="NormalWeb"/>
      </w:pPr>
      <w:r>
        <w:t xml:space="preserve">World Health Organization (WHO), 2021. </w:t>
      </w:r>
      <w:r>
        <w:rPr>
          <w:rStyle w:val="Emphasis"/>
          <w:rFonts w:eastAsiaTheme="majorEastAsia"/>
        </w:rPr>
        <w:t>Global Strategy on Digital Health 2020–2025</w:t>
      </w:r>
      <w:r>
        <w:t xml:space="preserve">. Geneva: WHO. Available at: </w:t>
      </w:r>
      <w:hyperlink r:id="rId25" w:tgtFrame="_new" w:history="1">
        <w:r>
          <w:rPr>
            <w:rStyle w:val="Hyperlink"/>
            <w:rFonts w:eastAsiaTheme="majorEastAsia"/>
          </w:rPr>
          <w:t>https://www.who.int/publications/i/item/9789240020924</w:t>
        </w:r>
      </w:hyperlink>
      <w:r>
        <w:t xml:space="preserve"> (</w:t>
      </w:r>
      <w:r w:rsidR="00EC1947">
        <w:t>Accessed: 05 Feb 2026</w:t>
      </w:r>
      <w:r>
        <w:t>).</w:t>
      </w:r>
    </w:p>
    <w:p w14:paraId="0F608DE7" w14:textId="36B1232A" w:rsidR="00FD1E84" w:rsidRDefault="00FD1E84" w:rsidP="00FD1E84">
      <w:pPr>
        <w:pStyle w:val="NormalWeb"/>
      </w:pPr>
      <w:r>
        <w:t xml:space="preserve">Public Health England, 2022. </w:t>
      </w:r>
      <w:r>
        <w:rPr>
          <w:rStyle w:val="Emphasis"/>
          <w:rFonts w:eastAsiaTheme="majorEastAsia"/>
        </w:rPr>
        <w:t>Digital Inclusion and Health Inequalities</w:t>
      </w:r>
      <w:r>
        <w:t xml:space="preserve">. London: PHE. Available at: </w:t>
      </w:r>
      <w:hyperlink r:id="rId26" w:tgtFrame="_new" w:history="1">
        <w:r>
          <w:rPr>
            <w:rStyle w:val="Hyperlink"/>
            <w:rFonts w:eastAsiaTheme="majorEastAsia"/>
          </w:rPr>
          <w:t>https://www.gov.uk/government/organisations/public-health-england</w:t>
        </w:r>
      </w:hyperlink>
      <w:r>
        <w:t xml:space="preserve"> (</w:t>
      </w:r>
      <w:r w:rsidR="00EC1947">
        <w:t>Accessed: 05 Feb 2026</w:t>
      </w:r>
      <w:r>
        <w:t>).</w:t>
      </w:r>
    </w:p>
    <w:p w14:paraId="06307E69" w14:textId="0B352421" w:rsidR="00FD1E84" w:rsidRDefault="00FD1E84" w:rsidP="00FD1E84">
      <w:pPr>
        <w:pStyle w:val="NormalWeb"/>
      </w:pPr>
      <w:r>
        <w:t xml:space="preserve">British Medical Association (BMA), 2023. </w:t>
      </w:r>
      <w:r>
        <w:rPr>
          <w:rStyle w:val="Emphasis"/>
          <w:rFonts w:eastAsiaTheme="majorEastAsia"/>
        </w:rPr>
        <w:t>The Future of General Practice: Digital and Workforce Pressures</w:t>
      </w:r>
      <w:r>
        <w:t xml:space="preserve">. London: BMA. Available at: </w:t>
      </w:r>
      <w:hyperlink r:id="rId27" w:tgtFrame="_new" w:history="1">
        <w:r>
          <w:rPr>
            <w:rStyle w:val="Hyperlink"/>
            <w:rFonts w:eastAsiaTheme="majorEastAsia"/>
          </w:rPr>
          <w:t>https://www.bma.org.uk/advice-and-support/gp-practices</w:t>
        </w:r>
      </w:hyperlink>
      <w:r>
        <w:t xml:space="preserve"> (</w:t>
      </w:r>
      <w:r w:rsidR="00DC1ACE">
        <w:t>Accessed: 05 Feb 2026</w:t>
      </w:r>
      <w:r>
        <w:t>).</w:t>
      </w:r>
    </w:p>
    <w:p w14:paraId="2AEBE1BE" w14:textId="77777777" w:rsidR="00504F31" w:rsidRDefault="00504F31"/>
    <w:sectPr w:rsidR="00504F31" w:rsidSect="00433585">
      <w:footerReference w:type="even" r:id="rId28"/>
      <w:footerReference w:type="default" r:id="rId2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CB4B8" w14:textId="77777777" w:rsidR="00DB7C74" w:rsidRDefault="00DB7C74" w:rsidP="00433585">
      <w:r>
        <w:separator/>
      </w:r>
    </w:p>
  </w:endnote>
  <w:endnote w:type="continuationSeparator" w:id="0">
    <w:p w14:paraId="0300EF2B" w14:textId="77777777" w:rsidR="00DB7C74" w:rsidRDefault="00DB7C74" w:rsidP="00433585">
      <w:r>
        <w:continuationSeparator/>
      </w:r>
    </w:p>
  </w:endnote>
  <w:endnote w:type="continuationNotice" w:id="1">
    <w:p w14:paraId="22FFC7CC" w14:textId="77777777" w:rsidR="00DB7C74" w:rsidRDefault="00DB7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842709"/>
      <w:docPartObj>
        <w:docPartGallery w:val="Page Numbers (Bottom of Page)"/>
        <w:docPartUnique/>
      </w:docPartObj>
    </w:sdtPr>
    <w:sdtContent>
      <w:p w14:paraId="5287716F" w14:textId="722BFCF1" w:rsidR="00433585" w:rsidRDefault="00433585" w:rsidP="003A2F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800D35" w14:textId="77777777" w:rsidR="00433585" w:rsidRDefault="00433585" w:rsidP="004335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5704780"/>
      <w:docPartObj>
        <w:docPartGallery w:val="Page Numbers (Bottom of Page)"/>
        <w:docPartUnique/>
      </w:docPartObj>
    </w:sdtPr>
    <w:sdtContent>
      <w:p w14:paraId="55DE89B9" w14:textId="7FA59A0D" w:rsidR="00433585" w:rsidRDefault="00433585" w:rsidP="003A2F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4DF1F205" w14:textId="77777777" w:rsidR="00433585" w:rsidRDefault="00433585" w:rsidP="004335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BFEA8" w14:textId="77777777" w:rsidR="00DB7C74" w:rsidRDefault="00DB7C74" w:rsidP="00433585">
      <w:r>
        <w:separator/>
      </w:r>
    </w:p>
  </w:footnote>
  <w:footnote w:type="continuationSeparator" w:id="0">
    <w:p w14:paraId="2231CF60" w14:textId="77777777" w:rsidR="00DB7C74" w:rsidRDefault="00DB7C74" w:rsidP="00433585">
      <w:r>
        <w:continuationSeparator/>
      </w:r>
    </w:p>
  </w:footnote>
  <w:footnote w:type="continuationNotice" w:id="1">
    <w:p w14:paraId="0A99828F" w14:textId="77777777" w:rsidR="00DB7C74" w:rsidRDefault="00DB7C7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F31"/>
    <w:rsid w:val="00003C20"/>
    <w:rsid w:val="00011E74"/>
    <w:rsid w:val="000255B5"/>
    <w:rsid w:val="00025E57"/>
    <w:rsid w:val="00042E87"/>
    <w:rsid w:val="00053AD7"/>
    <w:rsid w:val="0006627D"/>
    <w:rsid w:val="00074C88"/>
    <w:rsid w:val="000955E7"/>
    <w:rsid w:val="000A70FC"/>
    <w:rsid w:val="000B30F8"/>
    <w:rsid w:val="000C511A"/>
    <w:rsid w:val="000E6FD4"/>
    <w:rsid w:val="000F6F30"/>
    <w:rsid w:val="000F7168"/>
    <w:rsid w:val="00100117"/>
    <w:rsid w:val="0010481C"/>
    <w:rsid w:val="001066B5"/>
    <w:rsid w:val="001515A1"/>
    <w:rsid w:val="00153575"/>
    <w:rsid w:val="00160254"/>
    <w:rsid w:val="00161F71"/>
    <w:rsid w:val="001703D8"/>
    <w:rsid w:val="0017298F"/>
    <w:rsid w:val="00184F05"/>
    <w:rsid w:val="00190018"/>
    <w:rsid w:val="001C41CD"/>
    <w:rsid w:val="001E6055"/>
    <w:rsid w:val="001E7202"/>
    <w:rsid w:val="001E744C"/>
    <w:rsid w:val="001F1ADC"/>
    <w:rsid w:val="00214137"/>
    <w:rsid w:val="00214F15"/>
    <w:rsid w:val="00220F42"/>
    <w:rsid w:val="002270F1"/>
    <w:rsid w:val="00227164"/>
    <w:rsid w:val="00235A0B"/>
    <w:rsid w:val="002362A9"/>
    <w:rsid w:val="002426FF"/>
    <w:rsid w:val="00245D84"/>
    <w:rsid w:val="00245DA0"/>
    <w:rsid w:val="002468D4"/>
    <w:rsid w:val="0025418E"/>
    <w:rsid w:val="002751FD"/>
    <w:rsid w:val="00277AA4"/>
    <w:rsid w:val="00282F42"/>
    <w:rsid w:val="0028492C"/>
    <w:rsid w:val="00293ADA"/>
    <w:rsid w:val="002A37EA"/>
    <w:rsid w:val="002A4A92"/>
    <w:rsid w:val="002B0008"/>
    <w:rsid w:val="002C664C"/>
    <w:rsid w:val="002C7396"/>
    <w:rsid w:val="002F6D68"/>
    <w:rsid w:val="003119D8"/>
    <w:rsid w:val="003279BA"/>
    <w:rsid w:val="00331DBE"/>
    <w:rsid w:val="00333FD7"/>
    <w:rsid w:val="0033647C"/>
    <w:rsid w:val="00337BE5"/>
    <w:rsid w:val="00341F3B"/>
    <w:rsid w:val="003447AA"/>
    <w:rsid w:val="0034508B"/>
    <w:rsid w:val="00350464"/>
    <w:rsid w:val="00361C81"/>
    <w:rsid w:val="00364927"/>
    <w:rsid w:val="00366DD6"/>
    <w:rsid w:val="00370287"/>
    <w:rsid w:val="00371121"/>
    <w:rsid w:val="00381D4D"/>
    <w:rsid w:val="00395FEA"/>
    <w:rsid w:val="003977A3"/>
    <w:rsid w:val="003C6E84"/>
    <w:rsid w:val="003C7FD0"/>
    <w:rsid w:val="003E6069"/>
    <w:rsid w:val="003E6FC5"/>
    <w:rsid w:val="003F6831"/>
    <w:rsid w:val="00400EA1"/>
    <w:rsid w:val="00406413"/>
    <w:rsid w:val="00406E76"/>
    <w:rsid w:val="00420C70"/>
    <w:rsid w:val="00423D05"/>
    <w:rsid w:val="0042560F"/>
    <w:rsid w:val="004312F7"/>
    <w:rsid w:val="00433585"/>
    <w:rsid w:val="004338BE"/>
    <w:rsid w:val="004418D3"/>
    <w:rsid w:val="00454549"/>
    <w:rsid w:val="0045461C"/>
    <w:rsid w:val="00454E0C"/>
    <w:rsid w:val="00457534"/>
    <w:rsid w:val="004610F4"/>
    <w:rsid w:val="00461107"/>
    <w:rsid w:val="00466FEB"/>
    <w:rsid w:val="00471B99"/>
    <w:rsid w:val="00473091"/>
    <w:rsid w:val="0048700B"/>
    <w:rsid w:val="00492FE6"/>
    <w:rsid w:val="004952E9"/>
    <w:rsid w:val="00496BB4"/>
    <w:rsid w:val="004A4304"/>
    <w:rsid w:val="004B166F"/>
    <w:rsid w:val="004B1C0B"/>
    <w:rsid w:val="004B1E6C"/>
    <w:rsid w:val="004C2F50"/>
    <w:rsid w:val="004C79B1"/>
    <w:rsid w:val="004E0ACD"/>
    <w:rsid w:val="004E3DBC"/>
    <w:rsid w:val="004F54B9"/>
    <w:rsid w:val="00504F31"/>
    <w:rsid w:val="00510516"/>
    <w:rsid w:val="005224BF"/>
    <w:rsid w:val="00532F08"/>
    <w:rsid w:val="00543729"/>
    <w:rsid w:val="00543BC1"/>
    <w:rsid w:val="0056123F"/>
    <w:rsid w:val="00565343"/>
    <w:rsid w:val="00573287"/>
    <w:rsid w:val="0057475C"/>
    <w:rsid w:val="005C1784"/>
    <w:rsid w:val="005C5267"/>
    <w:rsid w:val="005D0D05"/>
    <w:rsid w:val="005E1AE6"/>
    <w:rsid w:val="005E3FEB"/>
    <w:rsid w:val="005E560F"/>
    <w:rsid w:val="005F1ABB"/>
    <w:rsid w:val="0061133D"/>
    <w:rsid w:val="00615F8F"/>
    <w:rsid w:val="00620D0E"/>
    <w:rsid w:val="00623C69"/>
    <w:rsid w:val="00635E95"/>
    <w:rsid w:val="0063689A"/>
    <w:rsid w:val="006422A0"/>
    <w:rsid w:val="00645132"/>
    <w:rsid w:val="0065147A"/>
    <w:rsid w:val="006516B5"/>
    <w:rsid w:val="00654004"/>
    <w:rsid w:val="006568CB"/>
    <w:rsid w:val="006643B0"/>
    <w:rsid w:val="0067629E"/>
    <w:rsid w:val="0069384D"/>
    <w:rsid w:val="006A0956"/>
    <w:rsid w:val="006A1A6F"/>
    <w:rsid w:val="006A1D30"/>
    <w:rsid w:val="006A6968"/>
    <w:rsid w:val="006A7D45"/>
    <w:rsid w:val="007010C5"/>
    <w:rsid w:val="00730045"/>
    <w:rsid w:val="0073159B"/>
    <w:rsid w:val="007357E2"/>
    <w:rsid w:val="0075292E"/>
    <w:rsid w:val="007753DB"/>
    <w:rsid w:val="00791A02"/>
    <w:rsid w:val="007A2810"/>
    <w:rsid w:val="007A2CF8"/>
    <w:rsid w:val="007A5A66"/>
    <w:rsid w:val="007B1058"/>
    <w:rsid w:val="007D5BEA"/>
    <w:rsid w:val="007E3ECC"/>
    <w:rsid w:val="007F3C01"/>
    <w:rsid w:val="00801B9B"/>
    <w:rsid w:val="00807E03"/>
    <w:rsid w:val="008244DF"/>
    <w:rsid w:val="00860818"/>
    <w:rsid w:val="0086350B"/>
    <w:rsid w:val="00875BB2"/>
    <w:rsid w:val="00891845"/>
    <w:rsid w:val="008A428D"/>
    <w:rsid w:val="008B0602"/>
    <w:rsid w:val="008B2F66"/>
    <w:rsid w:val="008B65FF"/>
    <w:rsid w:val="008C01ED"/>
    <w:rsid w:val="008D09BD"/>
    <w:rsid w:val="008D1BAF"/>
    <w:rsid w:val="008D4441"/>
    <w:rsid w:val="008E3575"/>
    <w:rsid w:val="00913AFB"/>
    <w:rsid w:val="00922204"/>
    <w:rsid w:val="00922DF5"/>
    <w:rsid w:val="0092662F"/>
    <w:rsid w:val="00941D62"/>
    <w:rsid w:val="00947510"/>
    <w:rsid w:val="00951480"/>
    <w:rsid w:val="00951598"/>
    <w:rsid w:val="009702FB"/>
    <w:rsid w:val="00970AD7"/>
    <w:rsid w:val="00990354"/>
    <w:rsid w:val="00994778"/>
    <w:rsid w:val="009A381B"/>
    <w:rsid w:val="009A3A66"/>
    <w:rsid w:val="009B06C6"/>
    <w:rsid w:val="009B2BF2"/>
    <w:rsid w:val="009B788D"/>
    <w:rsid w:val="009C486B"/>
    <w:rsid w:val="009C4E29"/>
    <w:rsid w:val="009D2423"/>
    <w:rsid w:val="009D2843"/>
    <w:rsid w:val="009D3025"/>
    <w:rsid w:val="009E39C0"/>
    <w:rsid w:val="009F4C2B"/>
    <w:rsid w:val="00A07221"/>
    <w:rsid w:val="00A07C12"/>
    <w:rsid w:val="00A123E4"/>
    <w:rsid w:val="00A14684"/>
    <w:rsid w:val="00A36E8C"/>
    <w:rsid w:val="00A37C7A"/>
    <w:rsid w:val="00A549C8"/>
    <w:rsid w:val="00A9276F"/>
    <w:rsid w:val="00A92B23"/>
    <w:rsid w:val="00AA000F"/>
    <w:rsid w:val="00AA0FB3"/>
    <w:rsid w:val="00AA11D8"/>
    <w:rsid w:val="00AB450A"/>
    <w:rsid w:val="00AB499C"/>
    <w:rsid w:val="00AC1652"/>
    <w:rsid w:val="00AD3FD3"/>
    <w:rsid w:val="00AE159E"/>
    <w:rsid w:val="00AF4D3E"/>
    <w:rsid w:val="00B04F01"/>
    <w:rsid w:val="00B07CE4"/>
    <w:rsid w:val="00B20CA8"/>
    <w:rsid w:val="00B24B96"/>
    <w:rsid w:val="00B35148"/>
    <w:rsid w:val="00B35644"/>
    <w:rsid w:val="00B43B72"/>
    <w:rsid w:val="00B473BA"/>
    <w:rsid w:val="00B632E1"/>
    <w:rsid w:val="00B722AF"/>
    <w:rsid w:val="00B86B11"/>
    <w:rsid w:val="00B96AC6"/>
    <w:rsid w:val="00B96B3D"/>
    <w:rsid w:val="00BA71EA"/>
    <w:rsid w:val="00BC5BD4"/>
    <w:rsid w:val="00BE27AB"/>
    <w:rsid w:val="00BE49F7"/>
    <w:rsid w:val="00C05DE3"/>
    <w:rsid w:val="00C117C1"/>
    <w:rsid w:val="00C23315"/>
    <w:rsid w:val="00C51661"/>
    <w:rsid w:val="00C601C4"/>
    <w:rsid w:val="00C86685"/>
    <w:rsid w:val="00C912C6"/>
    <w:rsid w:val="00CB2509"/>
    <w:rsid w:val="00CB378D"/>
    <w:rsid w:val="00CB610D"/>
    <w:rsid w:val="00CC2464"/>
    <w:rsid w:val="00CD1BF5"/>
    <w:rsid w:val="00CE1A1D"/>
    <w:rsid w:val="00CF08AF"/>
    <w:rsid w:val="00CF2CDC"/>
    <w:rsid w:val="00CF3666"/>
    <w:rsid w:val="00CF45CA"/>
    <w:rsid w:val="00D01111"/>
    <w:rsid w:val="00D20C32"/>
    <w:rsid w:val="00D44F2D"/>
    <w:rsid w:val="00D5103A"/>
    <w:rsid w:val="00D526A0"/>
    <w:rsid w:val="00D532CB"/>
    <w:rsid w:val="00D533F3"/>
    <w:rsid w:val="00D5544A"/>
    <w:rsid w:val="00D7373B"/>
    <w:rsid w:val="00D8001F"/>
    <w:rsid w:val="00D83382"/>
    <w:rsid w:val="00D87995"/>
    <w:rsid w:val="00D9220C"/>
    <w:rsid w:val="00D97945"/>
    <w:rsid w:val="00DB7C74"/>
    <w:rsid w:val="00DC1ACE"/>
    <w:rsid w:val="00DC5627"/>
    <w:rsid w:val="00DC7A3A"/>
    <w:rsid w:val="00DD02CF"/>
    <w:rsid w:val="00DE13A4"/>
    <w:rsid w:val="00DE47C4"/>
    <w:rsid w:val="00DF219F"/>
    <w:rsid w:val="00E06293"/>
    <w:rsid w:val="00E06433"/>
    <w:rsid w:val="00E11A09"/>
    <w:rsid w:val="00E146A9"/>
    <w:rsid w:val="00E1561E"/>
    <w:rsid w:val="00E30F88"/>
    <w:rsid w:val="00E33C99"/>
    <w:rsid w:val="00E40BBF"/>
    <w:rsid w:val="00E4234D"/>
    <w:rsid w:val="00E61F94"/>
    <w:rsid w:val="00E633F1"/>
    <w:rsid w:val="00E647D1"/>
    <w:rsid w:val="00E66250"/>
    <w:rsid w:val="00E7386A"/>
    <w:rsid w:val="00E74723"/>
    <w:rsid w:val="00E81B39"/>
    <w:rsid w:val="00E847DD"/>
    <w:rsid w:val="00E93BD3"/>
    <w:rsid w:val="00E97AEA"/>
    <w:rsid w:val="00EA0605"/>
    <w:rsid w:val="00EA55C5"/>
    <w:rsid w:val="00EA6479"/>
    <w:rsid w:val="00EB1804"/>
    <w:rsid w:val="00EB6F26"/>
    <w:rsid w:val="00EC1947"/>
    <w:rsid w:val="00ED40FB"/>
    <w:rsid w:val="00EE7459"/>
    <w:rsid w:val="00F105A9"/>
    <w:rsid w:val="00F13B57"/>
    <w:rsid w:val="00F216B1"/>
    <w:rsid w:val="00F26C2D"/>
    <w:rsid w:val="00F30894"/>
    <w:rsid w:val="00F3500B"/>
    <w:rsid w:val="00F35DE1"/>
    <w:rsid w:val="00F43574"/>
    <w:rsid w:val="00F577EC"/>
    <w:rsid w:val="00F72D85"/>
    <w:rsid w:val="00F73460"/>
    <w:rsid w:val="00F909D8"/>
    <w:rsid w:val="00F93CC9"/>
    <w:rsid w:val="00FC40C4"/>
    <w:rsid w:val="00FC452B"/>
    <w:rsid w:val="00FD1E84"/>
    <w:rsid w:val="00FE34DD"/>
    <w:rsid w:val="00FE4D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CFF59"/>
  <w15:chartTrackingRefBased/>
  <w15:docId w15:val="{866AAC5E-C840-2F4B-8D3A-195A77EB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66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04F3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504F3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504F3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04F3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04F31"/>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04F31"/>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04F31"/>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04F31"/>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04F31"/>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F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4F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4F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4F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4F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4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F31"/>
    <w:rPr>
      <w:rFonts w:eastAsiaTheme="majorEastAsia" w:cstheme="majorBidi"/>
      <w:color w:val="272727" w:themeColor="text1" w:themeTint="D8"/>
    </w:rPr>
  </w:style>
  <w:style w:type="paragraph" w:styleId="Title">
    <w:name w:val="Title"/>
    <w:basedOn w:val="Normal"/>
    <w:next w:val="Normal"/>
    <w:link w:val="TitleChar"/>
    <w:uiPriority w:val="10"/>
    <w:qFormat/>
    <w:rsid w:val="00504F3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04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F3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04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F31"/>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04F31"/>
    <w:rPr>
      <w:i/>
      <w:iCs/>
      <w:color w:val="404040" w:themeColor="text1" w:themeTint="BF"/>
    </w:rPr>
  </w:style>
  <w:style w:type="paragraph" w:styleId="ListParagraph">
    <w:name w:val="List Paragraph"/>
    <w:basedOn w:val="Normal"/>
    <w:uiPriority w:val="34"/>
    <w:qFormat/>
    <w:rsid w:val="00504F31"/>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04F31"/>
    <w:rPr>
      <w:i/>
      <w:iCs/>
      <w:color w:val="0F4761" w:themeColor="accent1" w:themeShade="BF"/>
    </w:rPr>
  </w:style>
  <w:style w:type="paragraph" w:styleId="IntenseQuote">
    <w:name w:val="Intense Quote"/>
    <w:basedOn w:val="Normal"/>
    <w:next w:val="Normal"/>
    <w:link w:val="IntenseQuoteChar"/>
    <w:uiPriority w:val="30"/>
    <w:qFormat/>
    <w:rsid w:val="00504F3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04F31"/>
    <w:rPr>
      <w:i/>
      <w:iCs/>
      <w:color w:val="0F4761" w:themeColor="accent1" w:themeShade="BF"/>
    </w:rPr>
  </w:style>
  <w:style w:type="character" w:styleId="IntenseReference">
    <w:name w:val="Intense Reference"/>
    <w:basedOn w:val="DefaultParagraphFont"/>
    <w:uiPriority w:val="32"/>
    <w:qFormat/>
    <w:rsid w:val="00504F31"/>
    <w:rPr>
      <w:b/>
      <w:bCs/>
      <w:smallCaps/>
      <w:color w:val="0F4761" w:themeColor="accent1" w:themeShade="BF"/>
      <w:spacing w:val="5"/>
    </w:rPr>
  </w:style>
  <w:style w:type="character" w:styleId="Strong">
    <w:name w:val="Strong"/>
    <w:basedOn w:val="DefaultParagraphFont"/>
    <w:uiPriority w:val="22"/>
    <w:qFormat/>
    <w:rsid w:val="00504F31"/>
    <w:rPr>
      <w:b/>
      <w:bCs/>
    </w:rPr>
  </w:style>
  <w:style w:type="paragraph" w:styleId="NormalWeb">
    <w:name w:val="Normal (Web)"/>
    <w:basedOn w:val="Normal"/>
    <w:uiPriority w:val="99"/>
    <w:semiHidden/>
    <w:unhideWhenUsed/>
    <w:rsid w:val="00504F31"/>
    <w:pPr>
      <w:spacing w:before="100" w:beforeAutospacing="1" w:after="100" w:afterAutospacing="1"/>
    </w:pPr>
  </w:style>
  <w:style w:type="character" w:customStyle="1" w:styleId="ms-1">
    <w:name w:val="ms-1"/>
    <w:basedOn w:val="DefaultParagraphFont"/>
    <w:rsid w:val="00C51661"/>
  </w:style>
  <w:style w:type="character" w:customStyle="1" w:styleId="max-w-15ch">
    <w:name w:val="max-w-[15ch]"/>
    <w:basedOn w:val="DefaultParagraphFont"/>
    <w:rsid w:val="00C51661"/>
  </w:style>
  <w:style w:type="character" w:styleId="Emphasis">
    <w:name w:val="Emphasis"/>
    <w:basedOn w:val="DefaultParagraphFont"/>
    <w:uiPriority w:val="20"/>
    <w:qFormat/>
    <w:rsid w:val="00C51661"/>
    <w:rPr>
      <w:i/>
      <w:iCs/>
    </w:rPr>
  </w:style>
  <w:style w:type="table" w:styleId="TableGrid">
    <w:name w:val="Table Grid"/>
    <w:basedOn w:val="TableNormal"/>
    <w:uiPriority w:val="39"/>
    <w:rsid w:val="00420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1E84"/>
    <w:rPr>
      <w:color w:val="0000FF"/>
      <w:u w:val="single"/>
    </w:rPr>
  </w:style>
  <w:style w:type="character" w:styleId="UnresolvedMention">
    <w:name w:val="Unresolved Mention"/>
    <w:basedOn w:val="DefaultParagraphFont"/>
    <w:uiPriority w:val="99"/>
    <w:semiHidden/>
    <w:unhideWhenUsed/>
    <w:rsid w:val="00EB6F26"/>
    <w:rPr>
      <w:color w:val="605E5C"/>
      <w:shd w:val="clear" w:color="auto" w:fill="E1DFDD"/>
    </w:rPr>
  </w:style>
  <w:style w:type="paragraph" w:styleId="NoSpacing">
    <w:name w:val="No Spacing"/>
    <w:link w:val="NoSpacingChar"/>
    <w:uiPriority w:val="1"/>
    <w:qFormat/>
    <w:rsid w:val="009D3025"/>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D3025"/>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433585"/>
    <w:pPr>
      <w:tabs>
        <w:tab w:val="center" w:pos="4513"/>
        <w:tab w:val="right" w:pos="9026"/>
      </w:tabs>
    </w:pPr>
  </w:style>
  <w:style w:type="character" w:customStyle="1" w:styleId="FooterChar">
    <w:name w:val="Footer Char"/>
    <w:basedOn w:val="DefaultParagraphFont"/>
    <w:link w:val="Footer"/>
    <w:uiPriority w:val="99"/>
    <w:rsid w:val="00433585"/>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433585"/>
  </w:style>
  <w:style w:type="paragraph" w:styleId="TOCHeading">
    <w:name w:val="TOC Heading"/>
    <w:basedOn w:val="Heading1"/>
    <w:next w:val="Normal"/>
    <w:uiPriority w:val="39"/>
    <w:unhideWhenUsed/>
    <w:qFormat/>
    <w:rsid w:val="00E93BD3"/>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3119D8"/>
    <w:rPr>
      <w:rFonts w:asciiTheme="minorHAnsi" w:hAnsiTheme="minorHAnsi"/>
      <w:b/>
      <w:bCs/>
      <w:smallCaps/>
      <w:sz w:val="22"/>
      <w:szCs w:val="26"/>
    </w:rPr>
  </w:style>
  <w:style w:type="paragraph" w:styleId="TOC1">
    <w:name w:val="toc 1"/>
    <w:basedOn w:val="Normal"/>
    <w:next w:val="Normal"/>
    <w:autoRedefine/>
    <w:uiPriority w:val="39"/>
    <w:unhideWhenUsed/>
    <w:rsid w:val="00E93BD3"/>
    <w:pPr>
      <w:spacing w:before="360" w:after="360"/>
    </w:pPr>
    <w:rPr>
      <w:rFonts w:asciiTheme="minorHAnsi" w:hAnsiTheme="minorHAnsi"/>
      <w:b/>
      <w:bCs/>
      <w:caps/>
      <w:sz w:val="22"/>
      <w:szCs w:val="26"/>
      <w:u w:val="single"/>
    </w:rPr>
  </w:style>
  <w:style w:type="paragraph" w:styleId="TOC3">
    <w:name w:val="toc 3"/>
    <w:basedOn w:val="Normal"/>
    <w:next w:val="Normal"/>
    <w:autoRedefine/>
    <w:uiPriority w:val="39"/>
    <w:semiHidden/>
    <w:unhideWhenUsed/>
    <w:rsid w:val="00E93BD3"/>
    <w:rPr>
      <w:rFonts w:asciiTheme="minorHAnsi" w:hAnsiTheme="minorHAnsi"/>
      <w:smallCaps/>
      <w:sz w:val="22"/>
      <w:szCs w:val="26"/>
    </w:rPr>
  </w:style>
  <w:style w:type="paragraph" w:styleId="TOC4">
    <w:name w:val="toc 4"/>
    <w:basedOn w:val="Normal"/>
    <w:next w:val="Normal"/>
    <w:autoRedefine/>
    <w:uiPriority w:val="39"/>
    <w:semiHidden/>
    <w:unhideWhenUsed/>
    <w:rsid w:val="00E93BD3"/>
    <w:rPr>
      <w:rFonts w:asciiTheme="minorHAnsi" w:hAnsiTheme="minorHAnsi"/>
      <w:sz w:val="22"/>
      <w:szCs w:val="26"/>
    </w:rPr>
  </w:style>
  <w:style w:type="paragraph" w:styleId="TOC5">
    <w:name w:val="toc 5"/>
    <w:basedOn w:val="Normal"/>
    <w:next w:val="Normal"/>
    <w:autoRedefine/>
    <w:uiPriority w:val="39"/>
    <w:semiHidden/>
    <w:unhideWhenUsed/>
    <w:rsid w:val="00E93BD3"/>
    <w:rPr>
      <w:rFonts w:asciiTheme="minorHAnsi" w:hAnsiTheme="minorHAnsi"/>
      <w:sz w:val="22"/>
      <w:szCs w:val="26"/>
    </w:rPr>
  </w:style>
  <w:style w:type="paragraph" w:styleId="TOC6">
    <w:name w:val="toc 6"/>
    <w:basedOn w:val="Normal"/>
    <w:next w:val="Normal"/>
    <w:autoRedefine/>
    <w:uiPriority w:val="39"/>
    <w:semiHidden/>
    <w:unhideWhenUsed/>
    <w:rsid w:val="00E93BD3"/>
    <w:rPr>
      <w:rFonts w:asciiTheme="minorHAnsi" w:hAnsiTheme="minorHAnsi"/>
      <w:sz w:val="22"/>
      <w:szCs w:val="26"/>
    </w:rPr>
  </w:style>
  <w:style w:type="paragraph" w:styleId="TOC7">
    <w:name w:val="toc 7"/>
    <w:basedOn w:val="Normal"/>
    <w:next w:val="Normal"/>
    <w:autoRedefine/>
    <w:uiPriority w:val="39"/>
    <w:semiHidden/>
    <w:unhideWhenUsed/>
    <w:rsid w:val="00E93BD3"/>
    <w:rPr>
      <w:rFonts w:asciiTheme="minorHAnsi" w:hAnsiTheme="minorHAnsi"/>
      <w:sz w:val="22"/>
      <w:szCs w:val="26"/>
    </w:rPr>
  </w:style>
  <w:style w:type="paragraph" w:styleId="TOC8">
    <w:name w:val="toc 8"/>
    <w:basedOn w:val="Normal"/>
    <w:next w:val="Normal"/>
    <w:autoRedefine/>
    <w:uiPriority w:val="39"/>
    <w:semiHidden/>
    <w:unhideWhenUsed/>
    <w:rsid w:val="00E93BD3"/>
    <w:rPr>
      <w:rFonts w:asciiTheme="minorHAnsi" w:hAnsiTheme="minorHAnsi"/>
      <w:sz w:val="22"/>
      <w:szCs w:val="26"/>
    </w:rPr>
  </w:style>
  <w:style w:type="paragraph" w:styleId="TOC9">
    <w:name w:val="toc 9"/>
    <w:basedOn w:val="Normal"/>
    <w:next w:val="Normal"/>
    <w:autoRedefine/>
    <w:uiPriority w:val="39"/>
    <w:semiHidden/>
    <w:unhideWhenUsed/>
    <w:rsid w:val="00E93BD3"/>
    <w:rPr>
      <w:rFonts w:asciiTheme="minorHAnsi" w:hAnsiTheme="minorHAnsi"/>
      <w:sz w:val="22"/>
      <w:szCs w:val="26"/>
    </w:rPr>
  </w:style>
  <w:style w:type="paragraph" w:styleId="Header">
    <w:name w:val="header"/>
    <w:basedOn w:val="Normal"/>
    <w:link w:val="HeaderChar"/>
    <w:uiPriority w:val="99"/>
    <w:semiHidden/>
    <w:unhideWhenUsed/>
    <w:rsid w:val="006643B0"/>
    <w:pPr>
      <w:tabs>
        <w:tab w:val="center" w:pos="4513"/>
        <w:tab w:val="right" w:pos="9026"/>
      </w:tabs>
    </w:pPr>
  </w:style>
  <w:style w:type="character" w:customStyle="1" w:styleId="HeaderChar">
    <w:name w:val="Header Char"/>
    <w:basedOn w:val="DefaultParagraphFont"/>
    <w:link w:val="Header"/>
    <w:uiPriority w:val="99"/>
    <w:semiHidden/>
    <w:rsid w:val="006643B0"/>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05D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669096">
      <w:bodyDiv w:val="1"/>
      <w:marLeft w:val="0"/>
      <w:marRight w:val="0"/>
      <w:marTop w:val="0"/>
      <w:marBottom w:val="0"/>
      <w:divBdr>
        <w:top w:val="none" w:sz="0" w:space="0" w:color="auto"/>
        <w:left w:val="none" w:sz="0" w:space="0" w:color="auto"/>
        <w:bottom w:val="none" w:sz="0" w:space="0" w:color="auto"/>
        <w:right w:val="none" w:sz="0" w:space="0" w:color="auto"/>
      </w:divBdr>
    </w:div>
    <w:div w:id="561139354">
      <w:bodyDiv w:val="1"/>
      <w:marLeft w:val="0"/>
      <w:marRight w:val="0"/>
      <w:marTop w:val="0"/>
      <w:marBottom w:val="0"/>
      <w:divBdr>
        <w:top w:val="none" w:sz="0" w:space="0" w:color="auto"/>
        <w:left w:val="none" w:sz="0" w:space="0" w:color="auto"/>
        <w:bottom w:val="none" w:sz="0" w:space="0" w:color="auto"/>
        <w:right w:val="none" w:sz="0" w:space="0" w:color="auto"/>
      </w:divBdr>
    </w:div>
    <w:div w:id="562103263">
      <w:bodyDiv w:val="1"/>
      <w:marLeft w:val="0"/>
      <w:marRight w:val="0"/>
      <w:marTop w:val="0"/>
      <w:marBottom w:val="0"/>
      <w:divBdr>
        <w:top w:val="none" w:sz="0" w:space="0" w:color="auto"/>
        <w:left w:val="none" w:sz="0" w:space="0" w:color="auto"/>
        <w:bottom w:val="none" w:sz="0" w:space="0" w:color="auto"/>
        <w:right w:val="none" w:sz="0" w:space="0" w:color="auto"/>
      </w:divBdr>
    </w:div>
    <w:div w:id="717630496">
      <w:bodyDiv w:val="1"/>
      <w:marLeft w:val="0"/>
      <w:marRight w:val="0"/>
      <w:marTop w:val="0"/>
      <w:marBottom w:val="0"/>
      <w:divBdr>
        <w:top w:val="none" w:sz="0" w:space="0" w:color="auto"/>
        <w:left w:val="none" w:sz="0" w:space="0" w:color="auto"/>
        <w:bottom w:val="none" w:sz="0" w:space="0" w:color="auto"/>
        <w:right w:val="none" w:sz="0" w:space="0" w:color="auto"/>
      </w:divBdr>
      <w:divsChild>
        <w:div w:id="1329485448">
          <w:marLeft w:val="0"/>
          <w:marRight w:val="0"/>
          <w:marTop w:val="0"/>
          <w:marBottom w:val="0"/>
          <w:divBdr>
            <w:top w:val="none" w:sz="0" w:space="0" w:color="auto"/>
            <w:left w:val="none" w:sz="0" w:space="0" w:color="auto"/>
            <w:bottom w:val="none" w:sz="0" w:space="0" w:color="auto"/>
            <w:right w:val="none" w:sz="0" w:space="0" w:color="auto"/>
          </w:divBdr>
          <w:divsChild>
            <w:div w:id="1398820371">
              <w:marLeft w:val="0"/>
              <w:marRight w:val="0"/>
              <w:marTop w:val="0"/>
              <w:marBottom w:val="0"/>
              <w:divBdr>
                <w:top w:val="none" w:sz="0" w:space="0" w:color="auto"/>
                <w:left w:val="none" w:sz="0" w:space="0" w:color="auto"/>
                <w:bottom w:val="none" w:sz="0" w:space="0" w:color="auto"/>
                <w:right w:val="none" w:sz="0" w:space="0" w:color="auto"/>
              </w:divBdr>
            </w:div>
          </w:divsChild>
        </w:div>
        <w:div w:id="869874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349409">
      <w:bodyDiv w:val="1"/>
      <w:marLeft w:val="0"/>
      <w:marRight w:val="0"/>
      <w:marTop w:val="0"/>
      <w:marBottom w:val="0"/>
      <w:divBdr>
        <w:top w:val="none" w:sz="0" w:space="0" w:color="auto"/>
        <w:left w:val="none" w:sz="0" w:space="0" w:color="auto"/>
        <w:bottom w:val="none" w:sz="0" w:space="0" w:color="auto"/>
        <w:right w:val="none" w:sz="0" w:space="0" w:color="auto"/>
      </w:divBdr>
      <w:divsChild>
        <w:div w:id="1229462593">
          <w:marLeft w:val="0"/>
          <w:marRight w:val="0"/>
          <w:marTop w:val="200"/>
          <w:marBottom w:val="0"/>
          <w:divBdr>
            <w:top w:val="none" w:sz="0" w:space="0" w:color="auto"/>
            <w:left w:val="none" w:sz="0" w:space="0" w:color="auto"/>
            <w:bottom w:val="none" w:sz="0" w:space="0" w:color="auto"/>
            <w:right w:val="none" w:sz="0" w:space="0" w:color="auto"/>
          </w:divBdr>
        </w:div>
        <w:div w:id="690763173">
          <w:marLeft w:val="0"/>
          <w:marRight w:val="0"/>
          <w:marTop w:val="200"/>
          <w:marBottom w:val="0"/>
          <w:divBdr>
            <w:top w:val="none" w:sz="0" w:space="0" w:color="auto"/>
            <w:left w:val="none" w:sz="0" w:space="0" w:color="auto"/>
            <w:bottom w:val="none" w:sz="0" w:space="0" w:color="auto"/>
            <w:right w:val="none" w:sz="0" w:space="0" w:color="auto"/>
          </w:divBdr>
        </w:div>
        <w:div w:id="426464544">
          <w:marLeft w:val="0"/>
          <w:marRight w:val="0"/>
          <w:marTop w:val="200"/>
          <w:marBottom w:val="0"/>
          <w:divBdr>
            <w:top w:val="none" w:sz="0" w:space="0" w:color="auto"/>
            <w:left w:val="none" w:sz="0" w:space="0" w:color="auto"/>
            <w:bottom w:val="none" w:sz="0" w:space="0" w:color="auto"/>
            <w:right w:val="none" w:sz="0" w:space="0" w:color="auto"/>
          </w:divBdr>
        </w:div>
        <w:div w:id="1125806380">
          <w:marLeft w:val="0"/>
          <w:marRight w:val="0"/>
          <w:marTop w:val="200"/>
          <w:marBottom w:val="0"/>
          <w:divBdr>
            <w:top w:val="none" w:sz="0" w:space="0" w:color="auto"/>
            <w:left w:val="none" w:sz="0" w:space="0" w:color="auto"/>
            <w:bottom w:val="none" w:sz="0" w:space="0" w:color="auto"/>
            <w:right w:val="none" w:sz="0" w:space="0" w:color="auto"/>
          </w:divBdr>
        </w:div>
      </w:divsChild>
    </w:div>
    <w:div w:id="169013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publications/" TargetMode="External"/><Relationship Id="rId13" Type="http://schemas.openxmlformats.org/officeDocument/2006/relationships/hyperlink" Target="https://www.ipsos.com/en-uk" TargetMode="External"/><Relationship Id="rId18" Type="http://schemas.openxmlformats.org/officeDocument/2006/relationships/hyperlink" Target="https://www.pamedia.com" TargetMode="External"/><Relationship Id="rId26" Type="http://schemas.openxmlformats.org/officeDocument/2006/relationships/hyperlink" Target="https://www.gov.uk/government/organisations/public-health-england" TargetMode="External"/><Relationship Id="rId3" Type="http://schemas.openxmlformats.org/officeDocument/2006/relationships/styles" Target="styles.xml"/><Relationship Id="rId21" Type="http://schemas.openxmlformats.org/officeDocument/2006/relationships/hyperlink" Target="https://www.kingsfund.org.uk/publications/digital-technology-primary-care/" TargetMode="External"/><Relationship Id="rId7" Type="http://schemas.openxmlformats.org/officeDocument/2006/relationships/endnotes" Target="endnotes.xml"/><Relationship Id="rId12" Type="http://schemas.openxmlformats.org/officeDocument/2006/relationships/hyperlink" Target="https://www.bmj.com/content/368/bmj.m998" TargetMode="External"/><Relationship Id="rId17" Type="http://schemas.openxmlformats.org/officeDocument/2006/relationships/hyperlink" Target="https://www.ons.gov.uk/peoplepopulationandcommunity/householdcharacteristics/homeinternetandsocialmediausage" TargetMode="External"/><Relationship Id="rId25" Type="http://schemas.openxmlformats.org/officeDocument/2006/relationships/hyperlink" Target="https://www.who.int/publications/i/item/9789240020924" TargetMode="External"/><Relationship Id="rId2" Type="http://schemas.openxmlformats.org/officeDocument/2006/relationships/customXml" Target="../customXml/item2.xml"/><Relationship Id="rId16" Type="http://schemas.openxmlformats.org/officeDocument/2006/relationships/hyperlink" Target="https://www.england.nhs.uk/statistics/statistical-work-areas/nhs-app/" TargetMode="External"/><Relationship Id="rId20" Type="http://schemas.openxmlformats.org/officeDocument/2006/relationships/hyperlink" Target="https://bjgp.org/content/68/672/e813%2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gitalhealth.net" TargetMode="External"/><Relationship Id="rId24" Type="http://schemas.openxmlformats.org/officeDocument/2006/relationships/hyperlink" Target="https://www.nuffieldtrust.org.uk/research/access-to-general-practice/" TargetMode="External"/><Relationship Id="rId5" Type="http://schemas.openxmlformats.org/officeDocument/2006/relationships/webSettings" Target="webSettings.xml"/><Relationship Id="rId15" Type="http://schemas.openxmlformats.org/officeDocument/2006/relationships/hyperlink" Target="https://www.england.nhs.uk/primary-care/digital-primary-care/" TargetMode="External"/><Relationship Id="rId23" Type="http://schemas.openxmlformats.org/officeDocument/2006/relationships/hyperlink" Target="https://www.health.org.uk/publications/" TargetMode="External"/><Relationship Id="rId28" Type="http://schemas.openxmlformats.org/officeDocument/2006/relationships/footer" Target="footer1.xml"/><Relationship Id="rId10" Type="http://schemas.openxmlformats.org/officeDocument/2006/relationships/hyperlink" Target="https://www.gov.uk/government/publications/a-plan-for-digital-health-and-social-care" TargetMode="External"/><Relationship Id="rId19" Type="http://schemas.openxmlformats.org/officeDocument/2006/relationships/hyperlink" Target="https://www.rcgp.org.uk/policy/rcgp-policy-areas/continuity-of-car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mj.com" TargetMode="External"/><Relationship Id="rId14" Type="http://schemas.openxmlformats.org/officeDocument/2006/relationships/hyperlink" Target="https://digital.nhs.uk/services/nhs-app/nhs-app-dashboard" TargetMode="External"/><Relationship Id="rId22" Type="http://schemas.openxmlformats.org/officeDocument/2006/relationships/hyperlink" Target="https://www.gov.uk/government/statistics/gp-online-services/" TargetMode="External"/><Relationship Id="rId27" Type="http://schemas.openxmlformats.org/officeDocument/2006/relationships/hyperlink" Target="https://www.bma.org.uk/advice-and-support/gp-practic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6936C-9440-7048-8687-4572D180E1AA}">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evaluates the impact of digital GP and online consultation systems within UK primary care. It examines how platforms such as the NHS App and eConsult improve access, efficiency, and patient convenience while also creating challenges related to workload, diagnostic safety, and digital exclusion. The analysis considers effects on service delivery, patient experience, and community health. Findings show that digital innovation offers significant benefits but may widen inequalities if not carefully managed. The report concludes that blended models combining digital and face-to-face care are essential for safe and equitable healthcare delivery.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F6D080-40F5-AA44-A1CF-52F7B4801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12</Pages>
  <Words>3516</Words>
  <Characters>20045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Critical Evaluation of Digital GP and Online Consultation Systems in UK Health &amp; social care and impact on community.</dc:subject>
  <dc:creator>Chakira M'Houmadi (2322832)</dc:creator>
  <cp:keywords/>
  <dc:description/>
  <cp:lastModifiedBy>Chakira M'Houmadi (2322832)</cp:lastModifiedBy>
  <cp:revision>104</cp:revision>
  <dcterms:created xsi:type="dcterms:W3CDTF">2026-02-16T09:04:00Z</dcterms:created>
  <dcterms:modified xsi:type="dcterms:W3CDTF">2026-03-01T04:38:00Z</dcterms:modified>
</cp:coreProperties>
</file>