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D93B27" w14:textId="77777777" w:rsidR="00BA6CE1" w:rsidRDefault="00BA6CE1" w:rsidP="00BA6CE1">
      <w:pPr>
        <w:pBdr>
          <w:bottom w:val="single" w:sz="8" w:space="4" w:color="4F81BD"/>
        </w:pBdr>
        <w:spacing w:after="300" w:line="240" w:lineRule="auto"/>
        <w:contextualSpacing/>
        <w:jc w:val="center"/>
        <w:rPr>
          <w:rFonts w:ascii="Times New Roman" w:eastAsia="Times New Roman" w:hAnsi="Times New Roman" w:cs="Times New Roman"/>
          <w:b/>
          <w:spacing w:val="5"/>
          <w:kern w:val="28"/>
          <w:sz w:val="36"/>
          <w:szCs w:val="52"/>
        </w:rPr>
      </w:pPr>
    </w:p>
    <w:p w14:paraId="1698B8F2" w14:textId="77777777" w:rsidR="00BA6CE1" w:rsidRDefault="00BA6CE1" w:rsidP="00BA6CE1">
      <w:pPr>
        <w:pBdr>
          <w:bottom w:val="single" w:sz="8" w:space="4" w:color="4F81BD"/>
        </w:pBdr>
        <w:spacing w:after="300" w:line="240" w:lineRule="auto"/>
        <w:contextualSpacing/>
        <w:jc w:val="center"/>
        <w:rPr>
          <w:rFonts w:ascii="Times New Roman" w:eastAsia="Times New Roman" w:hAnsi="Times New Roman" w:cs="Times New Roman"/>
          <w:b/>
          <w:spacing w:val="5"/>
          <w:kern w:val="28"/>
          <w:sz w:val="36"/>
          <w:szCs w:val="52"/>
        </w:rPr>
      </w:pPr>
    </w:p>
    <w:p w14:paraId="7365D1EC" w14:textId="43BF226E" w:rsidR="00BA6CE1" w:rsidRPr="00BA6CE1" w:rsidRDefault="00BA6CE1" w:rsidP="00BA6CE1">
      <w:pPr>
        <w:pBdr>
          <w:bottom w:val="single" w:sz="8" w:space="4" w:color="4F81BD"/>
        </w:pBdr>
        <w:spacing w:after="300" w:line="240" w:lineRule="auto"/>
        <w:contextualSpacing/>
        <w:jc w:val="center"/>
        <w:rPr>
          <w:rFonts w:ascii="Times New Roman" w:eastAsia="Times New Roman" w:hAnsi="Times New Roman" w:cs="Times New Roman"/>
          <w:b/>
          <w:spacing w:val="5"/>
          <w:kern w:val="28"/>
          <w:sz w:val="36"/>
          <w:szCs w:val="52"/>
        </w:rPr>
      </w:pPr>
      <w:r w:rsidRPr="00BA6CE1">
        <w:rPr>
          <w:rFonts w:ascii="Times New Roman" w:eastAsia="Times New Roman" w:hAnsi="Times New Roman" w:cs="Times New Roman"/>
          <w:b/>
          <w:spacing w:val="5"/>
          <w:kern w:val="28"/>
          <w:sz w:val="36"/>
          <w:szCs w:val="52"/>
        </w:rPr>
        <w:t>DEVELOPING WORKPLACE CRITICAL THINKING</w:t>
      </w:r>
    </w:p>
    <w:p w14:paraId="537266D3" w14:textId="24334C5D" w:rsidR="00BA6CE1" w:rsidRDefault="00BA6CE1"/>
    <w:p w14:paraId="5F05488D" w14:textId="7BFBCD5D" w:rsidR="00BA6CE1" w:rsidRDefault="00BA6CE1"/>
    <w:p w14:paraId="0602647F" w14:textId="24D60B6B" w:rsidR="00BA6CE1" w:rsidRDefault="00BA6CE1"/>
    <w:p w14:paraId="4280D2F3" w14:textId="77777777" w:rsidR="00BA6CE1" w:rsidRDefault="00BA6CE1"/>
    <w:p w14:paraId="4C4351A0" w14:textId="77777777" w:rsidR="00BA6CE1" w:rsidRPr="00BA6CE1" w:rsidRDefault="00BA6CE1" w:rsidP="00BA6CE1">
      <w:pPr>
        <w:spacing w:after="200" w:line="360" w:lineRule="auto"/>
        <w:jc w:val="both"/>
        <w:rPr>
          <w:rFonts w:ascii="Times New Roman" w:eastAsia="Calibri" w:hAnsi="Times New Roman" w:cs="Times New Roman"/>
          <w:b/>
          <w:sz w:val="24"/>
          <w:szCs w:val="24"/>
        </w:rPr>
      </w:pPr>
      <w:r w:rsidRPr="00BA6CE1">
        <w:rPr>
          <w:rFonts w:ascii="Times New Roman" w:eastAsia="Calibri" w:hAnsi="Times New Roman" w:cs="Times New Roman"/>
          <w:b/>
          <w:sz w:val="24"/>
          <w:szCs w:val="24"/>
        </w:rPr>
        <w:t xml:space="preserve">Beliefs, attitudes and values that contribute to an organisational success </w:t>
      </w:r>
    </w:p>
    <w:p w14:paraId="4D9F33A0" w14:textId="77777777" w:rsidR="00BA6CE1" w:rsidRPr="00BA6CE1" w:rsidRDefault="00BA6CE1" w:rsidP="00BA6CE1">
      <w:pPr>
        <w:spacing w:after="200" w:line="360" w:lineRule="auto"/>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 xml:space="preserve">The success of organisation is dependent in the quality and the nature of the employees associated with the organisation. Multiple factors contribute to the success of the organisation through the employees associated with the same. </w:t>
      </w:r>
    </w:p>
    <w:p w14:paraId="6F8C6C6B" w14:textId="77777777" w:rsidR="00BA6CE1" w:rsidRPr="00BA6CE1" w:rsidRDefault="00BA6CE1" w:rsidP="00BA6CE1">
      <w:pPr>
        <w:spacing w:after="200" w:line="360" w:lineRule="auto"/>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 xml:space="preserve">The Stair-Step critical thinking model could be incorporated in this segment. The mentioned model is characterised by the four steps in the identification of an unstructured problem to the readdressing the same post resolving (Jorgenson </w:t>
      </w:r>
      <w:r w:rsidRPr="00BA6CE1">
        <w:rPr>
          <w:rFonts w:ascii="Times New Roman" w:eastAsia="Calibri" w:hAnsi="Times New Roman" w:cs="Times New Roman"/>
          <w:i/>
          <w:sz w:val="24"/>
          <w:szCs w:val="24"/>
        </w:rPr>
        <w:t>et al</w:t>
      </w:r>
      <w:r w:rsidRPr="00BA6CE1">
        <w:rPr>
          <w:rFonts w:ascii="Times New Roman" w:eastAsia="Calibri" w:hAnsi="Times New Roman" w:cs="Times New Roman"/>
          <w:sz w:val="24"/>
          <w:szCs w:val="24"/>
        </w:rPr>
        <w:t>., 2017). The four steps are characterised by the incorporation of six steps associated with critical thinking that are in the following order:</w:t>
      </w:r>
    </w:p>
    <w:p w14:paraId="79284944" w14:textId="77777777" w:rsidR="00BA6CE1" w:rsidRPr="00BA6CE1" w:rsidRDefault="00BA6CE1" w:rsidP="00BA6CE1">
      <w:pPr>
        <w:numPr>
          <w:ilvl w:val="0"/>
          <w:numId w:val="1"/>
        </w:numPr>
        <w:spacing w:after="200" w:line="360" w:lineRule="auto"/>
        <w:contextualSpacing/>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Knowledge</w:t>
      </w:r>
    </w:p>
    <w:p w14:paraId="198FB469" w14:textId="77777777" w:rsidR="00BA6CE1" w:rsidRPr="00BA6CE1" w:rsidRDefault="00BA6CE1" w:rsidP="00BA6CE1">
      <w:pPr>
        <w:numPr>
          <w:ilvl w:val="0"/>
          <w:numId w:val="1"/>
        </w:numPr>
        <w:spacing w:after="200" w:line="360" w:lineRule="auto"/>
        <w:contextualSpacing/>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Comprehension</w:t>
      </w:r>
    </w:p>
    <w:p w14:paraId="3908D99E" w14:textId="77777777" w:rsidR="00BA6CE1" w:rsidRPr="00BA6CE1" w:rsidRDefault="00BA6CE1" w:rsidP="00BA6CE1">
      <w:pPr>
        <w:numPr>
          <w:ilvl w:val="0"/>
          <w:numId w:val="1"/>
        </w:numPr>
        <w:spacing w:after="200" w:line="360" w:lineRule="auto"/>
        <w:contextualSpacing/>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Application</w:t>
      </w:r>
    </w:p>
    <w:p w14:paraId="23914217" w14:textId="77777777" w:rsidR="00BA6CE1" w:rsidRPr="00BA6CE1" w:rsidRDefault="00BA6CE1" w:rsidP="00BA6CE1">
      <w:pPr>
        <w:numPr>
          <w:ilvl w:val="0"/>
          <w:numId w:val="1"/>
        </w:numPr>
        <w:spacing w:after="200" w:line="360" w:lineRule="auto"/>
        <w:contextualSpacing/>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Analysis</w:t>
      </w:r>
    </w:p>
    <w:p w14:paraId="16A12EF8" w14:textId="77777777" w:rsidR="00BA6CE1" w:rsidRPr="00BA6CE1" w:rsidRDefault="00BA6CE1" w:rsidP="00BA6CE1">
      <w:pPr>
        <w:numPr>
          <w:ilvl w:val="0"/>
          <w:numId w:val="1"/>
        </w:numPr>
        <w:spacing w:after="200" w:line="360" w:lineRule="auto"/>
        <w:contextualSpacing/>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Synthesis</w:t>
      </w:r>
    </w:p>
    <w:p w14:paraId="4093A5ED" w14:textId="0D885EF7" w:rsidR="00BA6CE1" w:rsidRPr="00BA6CE1" w:rsidRDefault="00BA6CE1" w:rsidP="00BA6CE1">
      <w:pPr>
        <w:numPr>
          <w:ilvl w:val="0"/>
          <w:numId w:val="1"/>
        </w:numPr>
        <w:spacing w:after="200" w:line="360" w:lineRule="auto"/>
        <w:contextualSpacing/>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Acting (</w:t>
      </w:r>
      <w:proofErr w:type="spellStart"/>
      <w:r w:rsidRPr="00BA6CE1">
        <w:rPr>
          <w:rFonts w:ascii="Times New Roman" w:eastAsia="Calibri" w:hAnsi="Times New Roman" w:cs="Times New Roman"/>
          <w:sz w:val="24"/>
          <w:szCs w:val="24"/>
        </w:rPr>
        <w:t>Elmansy</w:t>
      </w:r>
      <w:proofErr w:type="spellEnd"/>
      <w:r w:rsidRPr="00BA6CE1">
        <w:rPr>
          <w:rFonts w:ascii="Times New Roman" w:eastAsia="Calibri" w:hAnsi="Times New Roman" w:cs="Times New Roman"/>
          <w:sz w:val="24"/>
          <w:szCs w:val="24"/>
        </w:rPr>
        <w:t>, 2016)</w:t>
      </w:r>
    </w:p>
    <w:p w14:paraId="7B515A06" w14:textId="4F60EDEC" w:rsidR="00BA6CE1" w:rsidRPr="00BA6CE1" w:rsidRDefault="00BA6CE1" w:rsidP="00BA6CE1">
      <w:pPr>
        <w:spacing w:after="200" w:line="360" w:lineRule="auto"/>
        <w:jc w:val="both"/>
        <w:rPr>
          <w:rFonts w:ascii="Times New Roman" w:eastAsia="Calibri" w:hAnsi="Times New Roman" w:cs="Times New Roman"/>
          <w:sz w:val="24"/>
          <w:szCs w:val="24"/>
          <w:lang w:val="en-IN"/>
        </w:rPr>
      </w:pPr>
      <w:r w:rsidRPr="00BA6CE1">
        <w:rPr>
          <w:rFonts w:ascii="Times New Roman" w:eastAsia="Calibri" w:hAnsi="Times New Roman" w:cs="Times New Roman"/>
          <w:sz w:val="24"/>
          <w:szCs w:val="24"/>
        </w:rPr>
        <w:t xml:space="preserve">One of the major beliefs associated with an employee that leads to organisational success includes the acceptance of the issues and problems by the management of the organisation. The creation of problems is based on the presence of knowledge in an individual. The rationale includes the requirement of a high degree of education and practical knowledge for the conduction of a job coupled with product issue mitigation. The belief in the management and its policies essentially enable an individual to frame the solution of the identified problem on a real time basis. For example, the companies as Tesco considers employee benefits stabilising the company after multiple management issues. Similarly, a global working attitude that is driven by customer satisfaction as well as the employee satisfaction drives the success of the organisation (in.reuters.com, 2019). This essentially complements the creation of positive </w:t>
      </w:r>
      <w:r w:rsidRPr="00BA6CE1">
        <w:rPr>
          <w:rFonts w:ascii="Times New Roman" w:eastAsia="Calibri" w:hAnsi="Times New Roman" w:cs="Times New Roman"/>
          <w:sz w:val="24"/>
          <w:szCs w:val="24"/>
        </w:rPr>
        <w:lastRenderedPageBreak/>
        <w:t>value within the workplace for the execution of practices. The rationale includes making of a difference in the workplace for execution of the project.</w:t>
      </w:r>
    </w:p>
    <w:p w14:paraId="7AF78BB7" w14:textId="5945A4AD" w:rsidR="00BA6CE1" w:rsidRPr="00BA6CE1" w:rsidRDefault="00BA6CE1" w:rsidP="00BA6CE1">
      <w:pPr>
        <w:spacing w:after="200" w:line="360" w:lineRule="auto"/>
        <w:jc w:val="both"/>
        <w:rPr>
          <w:rFonts w:ascii="Times New Roman" w:eastAsia="Calibri" w:hAnsi="Times New Roman" w:cs="Times New Roman"/>
          <w:b/>
          <w:sz w:val="24"/>
          <w:szCs w:val="24"/>
        </w:rPr>
      </w:pPr>
      <w:r w:rsidRPr="00BA6CE1">
        <w:rPr>
          <w:rFonts w:ascii="Times New Roman" w:eastAsia="Calibri" w:hAnsi="Times New Roman" w:cs="Times New Roman"/>
          <w:b/>
          <w:sz w:val="24"/>
          <w:szCs w:val="24"/>
        </w:rPr>
        <w:t>How individuals select workplaces based on aligning their values with organisational values</w:t>
      </w:r>
    </w:p>
    <w:p w14:paraId="05B7EF49" w14:textId="77777777" w:rsidR="00BA6CE1" w:rsidRPr="00BA6CE1" w:rsidRDefault="00BA6CE1" w:rsidP="00BA6CE1">
      <w:pPr>
        <w:spacing w:after="200" w:line="360" w:lineRule="auto"/>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Modern workplace is developed based on multiple values associated with the same. This includes the development of a transparent and defined organisational value that represent a modern outlook in the execution of business and working environment.</w:t>
      </w:r>
    </w:p>
    <w:p w14:paraId="7C63641C" w14:textId="77777777" w:rsidR="00BA6CE1" w:rsidRPr="00BA6CE1" w:rsidRDefault="00BA6CE1" w:rsidP="00BA6CE1">
      <w:pPr>
        <w:spacing w:after="200" w:line="360" w:lineRule="auto"/>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Corporate individuals select workplaces through two major mechanisms, which include the following:</w:t>
      </w:r>
    </w:p>
    <w:p w14:paraId="0C0486E7" w14:textId="77777777" w:rsidR="00BA6CE1" w:rsidRPr="00BA6CE1" w:rsidRDefault="00BA6CE1" w:rsidP="00BA6CE1">
      <w:pPr>
        <w:numPr>
          <w:ilvl w:val="0"/>
          <w:numId w:val="2"/>
        </w:numPr>
        <w:spacing w:after="200" w:line="360" w:lineRule="auto"/>
        <w:contextualSpacing/>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SWOT analysis of self with organisational values: This would be characterised by the identification of the personal attributes of self and the requirement of the same in the organisational workspace. The rationale for the mentioned mechanism includes the identification of the possible and potential benefits that one could provide to self as well to the organisation working in.</w:t>
      </w:r>
    </w:p>
    <w:p w14:paraId="24B801CB" w14:textId="77777777" w:rsidR="00BA6CE1" w:rsidRPr="00BA6CE1" w:rsidRDefault="00BA6CE1" w:rsidP="00BA6CE1">
      <w:pPr>
        <w:numPr>
          <w:ilvl w:val="0"/>
          <w:numId w:val="2"/>
        </w:numPr>
        <w:spacing w:after="200" w:line="360" w:lineRule="auto"/>
        <w:contextualSpacing/>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 xml:space="preserve">Synergy alignment of self-values with organisational values: Synergy is defined as the degree of co-operation between multiple wings of same or different organisation for the creation of effective and efficient output (Van der </w:t>
      </w:r>
      <w:proofErr w:type="spellStart"/>
      <w:r w:rsidRPr="00BA6CE1">
        <w:rPr>
          <w:rFonts w:ascii="Times New Roman" w:eastAsia="Calibri" w:hAnsi="Times New Roman" w:cs="Times New Roman"/>
          <w:sz w:val="24"/>
          <w:szCs w:val="24"/>
        </w:rPr>
        <w:t>Voordt</w:t>
      </w:r>
      <w:proofErr w:type="spellEnd"/>
      <w:r w:rsidRPr="00BA6CE1">
        <w:rPr>
          <w:rFonts w:ascii="Times New Roman" w:eastAsia="Calibri" w:hAnsi="Times New Roman" w:cs="Times New Roman"/>
          <w:sz w:val="24"/>
          <w:szCs w:val="24"/>
        </w:rPr>
        <w:t xml:space="preserve"> and Jensen, 2017). Individuals essentially look for the positive relationship between the synergy values associated with the organisations self-perceived values in the workplace. The meeting and alignment of the two creates a positive environment for the development of aligned valued between the individuals and the workplace. </w:t>
      </w:r>
    </w:p>
    <w:p w14:paraId="4229933A" w14:textId="5F11D641" w:rsidR="00BA6CE1" w:rsidRPr="00BA6CE1" w:rsidRDefault="00BA6CE1" w:rsidP="00BA6CE1">
      <w:pPr>
        <w:numPr>
          <w:ilvl w:val="0"/>
          <w:numId w:val="2"/>
        </w:numPr>
        <w:spacing w:after="200" w:line="360" w:lineRule="auto"/>
        <w:contextualSpacing/>
        <w:jc w:val="both"/>
        <w:rPr>
          <w:rFonts w:ascii="Times New Roman" w:eastAsia="Calibri" w:hAnsi="Times New Roman" w:cs="Times New Roman"/>
          <w:sz w:val="24"/>
          <w:szCs w:val="24"/>
        </w:rPr>
      </w:pPr>
      <w:r w:rsidRPr="00BA6CE1">
        <w:rPr>
          <w:rFonts w:ascii="Times New Roman" w:eastAsia="Calibri" w:hAnsi="Times New Roman" w:cs="Times New Roman"/>
          <w:sz w:val="24"/>
          <w:szCs w:val="24"/>
        </w:rPr>
        <w:t xml:space="preserve">Identification of employee services and benefits: For the careerist individual, workplace values are characterised by the conversion of the same in terms of financial or other gains (Bryson, 2018). The more quantum and variation in the employee benefits and service, the more is the alignment of values between the two entities in the positive manner. </w:t>
      </w:r>
    </w:p>
    <w:p w14:paraId="5001E0AD" w14:textId="66B9E282" w:rsidR="00BA6CE1" w:rsidRDefault="00BA6CE1" w:rsidP="00BA6CE1">
      <w:pPr>
        <w:spacing w:after="200" w:line="276" w:lineRule="auto"/>
        <w:rPr>
          <w:rFonts w:ascii="Times New Roman" w:eastAsia="Calibri" w:hAnsi="Times New Roman" w:cs="Times New Roman"/>
          <w:sz w:val="24"/>
          <w:szCs w:val="24"/>
        </w:rPr>
      </w:pPr>
      <w:r w:rsidRPr="00BA6CE1">
        <w:rPr>
          <w:rFonts w:ascii="Times New Roman" w:eastAsia="Calibri" w:hAnsi="Times New Roman" w:cs="Times New Roman"/>
          <w:sz w:val="24"/>
          <w:szCs w:val="24"/>
        </w:rPr>
        <w:br w:type="page"/>
      </w:r>
    </w:p>
    <w:p w14:paraId="0433900A" w14:textId="4A4E2235" w:rsidR="00A101C4" w:rsidRDefault="00A00C1A" w:rsidP="00BA6CE1">
      <w:pPr>
        <w:spacing w:after="200" w:line="276" w:lineRule="auto"/>
        <w:rPr>
          <w:rFonts w:ascii="Times New Roman" w:eastAsia="Calibri" w:hAnsi="Times New Roman" w:cs="Times New Roman"/>
          <w:b/>
          <w:bCs/>
          <w:sz w:val="24"/>
          <w:szCs w:val="24"/>
        </w:rPr>
      </w:pPr>
      <w:r w:rsidRPr="00A00C1A">
        <w:rPr>
          <w:rFonts w:ascii="Times New Roman" w:eastAsia="Calibri" w:hAnsi="Times New Roman" w:cs="Times New Roman"/>
          <w:b/>
          <w:bCs/>
          <w:sz w:val="24"/>
          <w:szCs w:val="24"/>
        </w:rPr>
        <w:lastRenderedPageBreak/>
        <w:t>POSTER</w:t>
      </w:r>
    </w:p>
    <w:p w14:paraId="32832B63" w14:textId="77777777" w:rsidR="00A00C1A" w:rsidRPr="00A00C1A" w:rsidRDefault="00A00C1A" w:rsidP="00BA6CE1">
      <w:pPr>
        <w:spacing w:after="200" w:line="276" w:lineRule="auto"/>
        <w:rPr>
          <w:rFonts w:ascii="Times New Roman" w:eastAsia="Calibri" w:hAnsi="Times New Roman" w:cs="Times New Roman"/>
          <w:b/>
          <w:bCs/>
          <w:sz w:val="24"/>
          <w:szCs w:val="24"/>
        </w:rPr>
      </w:pPr>
    </w:p>
    <w:p w14:paraId="3CBFF9EC" w14:textId="6D245086" w:rsidR="00BA6CE1" w:rsidRDefault="00223B75">
      <w:r>
        <w:rPr>
          <w:noProof/>
        </w:rPr>
        <w:drawing>
          <wp:inline distT="0" distB="0" distL="0" distR="0" wp14:anchorId="6649C79E" wp14:editId="5A032777">
            <wp:extent cx="5731510" cy="5731510"/>
            <wp:effectExtent l="0" t="0" r="2540" b="2540"/>
            <wp:docPr id="6" name="Picture 6"/>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5731510"/>
                    </a:xfrm>
                    <a:prstGeom prst="rect">
                      <a:avLst/>
                    </a:prstGeom>
                  </pic:spPr>
                </pic:pic>
              </a:graphicData>
            </a:graphic>
          </wp:inline>
        </w:drawing>
      </w:r>
    </w:p>
    <w:p w14:paraId="25322389" w14:textId="0F8A062E" w:rsidR="00A00C1A" w:rsidRDefault="00A00C1A"/>
    <w:p w14:paraId="3D1BCA29" w14:textId="6E274A41" w:rsidR="00A00C1A" w:rsidRDefault="00A00C1A"/>
    <w:p w14:paraId="745884C3" w14:textId="02EA3570" w:rsidR="00A00C1A" w:rsidRDefault="00A00C1A"/>
    <w:p w14:paraId="6E10C242" w14:textId="13F93D24" w:rsidR="00A00C1A" w:rsidRDefault="00A00C1A"/>
    <w:p w14:paraId="5BAB4C7E" w14:textId="55A26360" w:rsidR="00A00C1A" w:rsidRDefault="00A00C1A"/>
    <w:p w14:paraId="51CB3F67" w14:textId="7D4C30F9" w:rsidR="00A00C1A" w:rsidRDefault="00A00C1A"/>
    <w:p w14:paraId="6EFFC980" w14:textId="65E215E1" w:rsidR="00A00C1A" w:rsidRDefault="00A00C1A"/>
    <w:p w14:paraId="2D6E459C" w14:textId="7A714896" w:rsidR="00A00C1A" w:rsidRDefault="00A00C1A"/>
    <w:p w14:paraId="301DA6B0" w14:textId="77777777" w:rsidR="00B0000F" w:rsidRDefault="00B0000F">
      <w:pPr>
        <w:rPr>
          <w:b/>
          <w:bCs/>
          <w:sz w:val="24"/>
          <w:szCs w:val="24"/>
        </w:rPr>
      </w:pPr>
    </w:p>
    <w:p w14:paraId="4BA51DC8" w14:textId="77777777" w:rsidR="00B0000F" w:rsidRDefault="00B0000F">
      <w:pPr>
        <w:rPr>
          <w:b/>
          <w:bCs/>
          <w:sz w:val="24"/>
          <w:szCs w:val="24"/>
        </w:rPr>
      </w:pPr>
    </w:p>
    <w:p w14:paraId="66FA974E" w14:textId="7C906CA6" w:rsidR="00A00C1A" w:rsidRDefault="00A00C1A">
      <w:pPr>
        <w:rPr>
          <w:b/>
          <w:bCs/>
          <w:sz w:val="24"/>
          <w:szCs w:val="24"/>
        </w:rPr>
      </w:pPr>
      <w:bookmarkStart w:id="0" w:name="_GoBack"/>
      <w:bookmarkEnd w:id="0"/>
      <w:r w:rsidRPr="00A00C1A">
        <w:rPr>
          <w:b/>
          <w:bCs/>
          <w:sz w:val="24"/>
          <w:szCs w:val="24"/>
        </w:rPr>
        <w:t>REFERENCE LIST</w:t>
      </w:r>
      <w:r>
        <w:rPr>
          <w:b/>
          <w:bCs/>
          <w:sz w:val="24"/>
          <w:szCs w:val="24"/>
        </w:rPr>
        <w:t>:</w:t>
      </w:r>
    </w:p>
    <w:p w14:paraId="3D0F582B" w14:textId="10B63CB8" w:rsidR="00A00C1A" w:rsidRDefault="00A00C1A">
      <w:pPr>
        <w:rPr>
          <w:b/>
          <w:bCs/>
          <w:sz w:val="24"/>
          <w:szCs w:val="24"/>
        </w:rPr>
      </w:pPr>
    </w:p>
    <w:p w14:paraId="35DBEAF7" w14:textId="77777777" w:rsidR="00A00C1A" w:rsidRPr="00A00C1A" w:rsidRDefault="00A00C1A" w:rsidP="00A00C1A">
      <w:pPr>
        <w:spacing w:after="200" w:line="360" w:lineRule="auto"/>
        <w:jc w:val="both"/>
        <w:rPr>
          <w:rFonts w:ascii="Times New Roman" w:hAnsi="Times New Roman" w:cs="Times New Roman"/>
          <w:sz w:val="24"/>
          <w:szCs w:val="24"/>
          <w:lang w:val="en-IN"/>
        </w:rPr>
      </w:pPr>
      <w:r w:rsidRPr="00A00C1A">
        <w:rPr>
          <w:rFonts w:ascii="Times New Roman" w:hAnsi="Times New Roman" w:cs="Times New Roman"/>
          <w:sz w:val="24"/>
          <w:szCs w:val="24"/>
          <w:shd w:val="clear" w:color="auto" w:fill="FFFFFF"/>
          <w:lang w:val="en-IN"/>
        </w:rPr>
        <w:t>Bryson, A., 2018. Mutual Gains? The Role for Employee Engagement in the Modern Workplace. In </w:t>
      </w:r>
      <w:r w:rsidRPr="00A00C1A">
        <w:rPr>
          <w:rFonts w:ascii="Times New Roman" w:hAnsi="Times New Roman" w:cs="Times New Roman"/>
          <w:i/>
          <w:iCs/>
          <w:sz w:val="24"/>
          <w:szCs w:val="24"/>
          <w:shd w:val="clear" w:color="auto" w:fill="FFFFFF"/>
          <w:lang w:val="en-IN"/>
        </w:rPr>
        <w:t>Rethinking Entrepreneurial Human Capital</w:t>
      </w:r>
      <w:r w:rsidRPr="00A00C1A">
        <w:rPr>
          <w:rFonts w:ascii="Times New Roman" w:hAnsi="Times New Roman" w:cs="Times New Roman"/>
          <w:sz w:val="24"/>
          <w:szCs w:val="24"/>
          <w:shd w:val="clear" w:color="auto" w:fill="FFFFFF"/>
          <w:lang w:val="en-IN"/>
        </w:rPr>
        <w:t> (pp. 43-62). Springer, Cham.</w:t>
      </w:r>
    </w:p>
    <w:p w14:paraId="50D1CEA3" w14:textId="77777777" w:rsidR="00A00C1A" w:rsidRPr="00A00C1A" w:rsidRDefault="00A00C1A" w:rsidP="00A00C1A">
      <w:pPr>
        <w:spacing w:after="200" w:line="360" w:lineRule="auto"/>
        <w:jc w:val="both"/>
        <w:rPr>
          <w:rFonts w:ascii="Times New Roman" w:hAnsi="Times New Roman" w:cs="Times New Roman"/>
          <w:sz w:val="24"/>
          <w:szCs w:val="24"/>
          <w:lang w:val="en-IN" w:eastAsia="en-IN"/>
        </w:rPr>
      </w:pPr>
      <w:proofErr w:type="spellStart"/>
      <w:r w:rsidRPr="00A00C1A">
        <w:rPr>
          <w:rFonts w:ascii="Times New Roman" w:hAnsi="Times New Roman" w:cs="Times New Roman"/>
          <w:sz w:val="24"/>
          <w:szCs w:val="24"/>
          <w:lang w:val="en-IN" w:eastAsia="en-IN"/>
        </w:rPr>
        <w:t>Elmansy</w:t>
      </w:r>
      <w:proofErr w:type="spellEnd"/>
      <w:r w:rsidRPr="00A00C1A">
        <w:rPr>
          <w:rFonts w:ascii="Times New Roman" w:hAnsi="Times New Roman" w:cs="Times New Roman"/>
          <w:sz w:val="24"/>
          <w:szCs w:val="24"/>
          <w:lang w:val="en-IN" w:eastAsia="en-IN"/>
        </w:rPr>
        <w:t xml:space="preserve"> R 2016. </w:t>
      </w:r>
      <w:r w:rsidRPr="00A00C1A">
        <w:rPr>
          <w:rFonts w:ascii="Times New Roman" w:hAnsi="Times New Roman" w:cs="Times New Roman"/>
          <w:i/>
          <w:iCs/>
          <w:sz w:val="24"/>
          <w:szCs w:val="24"/>
          <w:lang w:val="en-IN" w:eastAsia="en-IN"/>
        </w:rPr>
        <w:t>6 Steps for Effective Critical Thinking</w:t>
      </w:r>
      <w:r w:rsidRPr="00A00C1A">
        <w:rPr>
          <w:rFonts w:ascii="Times New Roman" w:hAnsi="Times New Roman" w:cs="Times New Roman"/>
          <w:sz w:val="24"/>
          <w:szCs w:val="24"/>
          <w:lang w:val="en-IN" w:eastAsia="en-IN"/>
        </w:rPr>
        <w:t>. [online] Available at: https://www.designorate.com/steps-effective-critical-thinking/ [Accessed 13 Nov. 2019].</w:t>
      </w:r>
    </w:p>
    <w:p w14:paraId="1BF112F1" w14:textId="77777777" w:rsidR="00A00C1A" w:rsidRPr="00A00C1A" w:rsidRDefault="00A00C1A" w:rsidP="00A00C1A">
      <w:pPr>
        <w:spacing w:after="200" w:line="360" w:lineRule="auto"/>
        <w:jc w:val="both"/>
        <w:rPr>
          <w:rFonts w:ascii="Times New Roman" w:hAnsi="Times New Roman" w:cs="Times New Roman"/>
          <w:sz w:val="24"/>
          <w:szCs w:val="24"/>
          <w:shd w:val="clear" w:color="auto" w:fill="FFFFFF"/>
          <w:lang w:val="en-IN"/>
        </w:rPr>
      </w:pPr>
      <w:r w:rsidRPr="00A00C1A">
        <w:rPr>
          <w:rFonts w:ascii="Times New Roman" w:hAnsi="Times New Roman" w:cs="Times New Roman"/>
          <w:sz w:val="24"/>
          <w:szCs w:val="24"/>
          <w:shd w:val="clear" w:color="auto" w:fill="FFFFFF"/>
          <w:lang w:val="en-IN"/>
        </w:rPr>
        <w:t xml:space="preserve">Jorgenson, C.A., </w:t>
      </w:r>
      <w:proofErr w:type="spellStart"/>
      <w:r w:rsidRPr="00A00C1A">
        <w:rPr>
          <w:rFonts w:ascii="Times New Roman" w:hAnsi="Times New Roman" w:cs="Times New Roman"/>
          <w:sz w:val="24"/>
          <w:szCs w:val="24"/>
          <w:shd w:val="clear" w:color="auto" w:fill="FFFFFF"/>
          <w:lang w:val="en-IN"/>
        </w:rPr>
        <w:t>Eranpalo</w:t>
      </w:r>
      <w:proofErr w:type="spellEnd"/>
      <w:r w:rsidRPr="00A00C1A">
        <w:rPr>
          <w:rFonts w:ascii="Times New Roman" w:hAnsi="Times New Roman" w:cs="Times New Roman"/>
          <w:sz w:val="24"/>
          <w:szCs w:val="24"/>
          <w:shd w:val="clear" w:color="auto" w:fill="FFFFFF"/>
          <w:lang w:val="en-IN"/>
        </w:rPr>
        <w:t xml:space="preserve">, T., </w:t>
      </w:r>
      <w:proofErr w:type="spellStart"/>
      <w:r w:rsidRPr="00A00C1A">
        <w:rPr>
          <w:rFonts w:ascii="Times New Roman" w:hAnsi="Times New Roman" w:cs="Times New Roman"/>
          <w:sz w:val="24"/>
          <w:szCs w:val="24"/>
          <w:shd w:val="clear" w:color="auto" w:fill="FFFFFF"/>
          <w:lang w:val="en-IN"/>
        </w:rPr>
        <w:t>Deria</w:t>
      </w:r>
      <w:proofErr w:type="spellEnd"/>
      <w:r w:rsidRPr="00A00C1A">
        <w:rPr>
          <w:rFonts w:ascii="Times New Roman" w:hAnsi="Times New Roman" w:cs="Times New Roman"/>
          <w:sz w:val="24"/>
          <w:szCs w:val="24"/>
          <w:shd w:val="clear" w:color="auto" w:fill="FFFFFF"/>
          <w:lang w:val="en-IN"/>
        </w:rPr>
        <w:t>, A.M. and Kumar, R., 2017. Using Abu Dhabi Education Council’s Abu Dhabi School Model Outcomes to Reorganize Curriculum from Linear Delivery Toward a Spiral Approach. </w:t>
      </w:r>
      <w:r w:rsidRPr="00A00C1A">
        <w:rPr>
          <w:rFonts w:ascii="Times New Roman" w:hAnsi="Times New Roman" w:cs="Times New Roman"/>
          <w:i/>
          <w:iCs/>
          <w:sz w:val="24"/>
          <w:szCs w:val="24"/>
          <w:shd w:val="clear" w:color="auto" w:fill="FFFFFF"/>
          <w:lang w:val="en-IN"/>
        </w:rPr>
        <w:t>International Journal of Humanities and Social Sciences</w:t>
      </w:r>
      <w:r w:rsidRPr="00A00C1A">
        <w:rPr>
          <w:rFonts w:ascii="Times New Roman" w:hAnsi="Times New Roman" w:cs="Times New Roman"/>
          <w:sz w:val="24"/>
          <w:szCs w:val="24"/>
          <w:shd w:val="clear" w:color="auto" w:fill="FFFFFF"/>
          <w:lang w:val="en-IN"/>
        </w:rPr>
        <w:t>, </w:t>
      </w:r>
      <w:r w:rsidRPr="00A00C1A">
        <w:rPr>
          <w:rFonts w:ascii="Times New Roman" w:hAnsi="Times New Roman" w:cs="Times New Roman"/>
          <w:i/>
          <w:iCs/>
          <w:sz w:val="24"/>
          <w:szCs w:val="24"/>
          <w:shd w:val="clear" w:color="auto" w:fill="FFFFFF"/>
          <w:lang w:val="en-IN"/>
        </w:rPr>
        <w:t>9</w:t>
      </w:r>
      <w:r w:rsidRPr="00A00C1A">
        <w:rPr>
          <w:rFonts w:ascii="Times New Roman" w:hAnsi="Times New Roman" w:cs="Times New Roman"/>
          <w:sz w:val="24"/>
          <w:szCs w:val="24"/>
          <w:shd w:val="clear" w:color="auto" w:fill="FFFFFF"/>
          <w:lang w:val="en-IN"/>
        </w:rPr>
        <w:t>(3).</w:t>
      </w:r>
    </w:p>
    <w:p w14:paraId="0A706538" w14:textId="77777777" w:rsidR="00A00C1A" w:rsidRPr="00A00C1A" w:rsidRDefault="00A00C1A" w:rsidP="00A00C1A">
      <w:pPr>
        <w:spacing w:after="200" w:line="360" w:lineRule="auto"/>
        <w:jc w:val="both"/>
        <w:rPr>
          <w:rFonts w:ascii="Times New Roman" w:hAnsi="Times New Roman" w:cs="Times New Roman"/>
          <w:sz w:val="24"/>
          <w:szCs w:val="24"/>
          <w:shd w:val="clear" w:color="auto" w:fill="FFFFFF"/>
          <w:lang w:val="en-IN"/>
        </w:rPr>
      </w:pPr>
      <w:r w:rsidRPr="00A00C1A">
        <w:rPr>
          <w:rFonts w:ascii="Times New Roman" w:hAnsi="Times New Roman" w:cs="Times New Roman"/>
          <w:sz w:val="24"/>
          <w:szCs w:val="24"/>
          <w:shd w:val="clear" w:color="auto" w:fill="FFFFFF"/>
          <w:lang w:val="en-IN"/>
        </w:rPr>
        <w:t xml:space="preserve">Van der </w:t>
      </w:r>
      <w:proofErr w:type="spellStart"/>
      <w:r w:rsidRPr="00A00C1A">
        <w:rPr>
          <w:rFonts w:ascii="Times New Roman" w:hAnsi="Times New Roman" w:cs="Times New Roman"/>
          <w:sz w:val="24"/>
          <w:szCs w:val="24"/>
          <w:shd w:val="clear" w:color="auto" w:fill="FFFFFF"/>
          <w:lang w:val="en-IN"/>
        </w:rPr>
        <w:t>Voordt</w:t>
      </w:r>
      <w:proofErr w:type="spellEnd"/>
      <w:r w:rsidRPr="00A00C1A">
        <w:rPr>
          <w:rFonts w:ascii="Times New Roman" w:hAnsi="Times New Roman" w:cs="Times New Roman"/>
          <w:sz w:val="24"/>
          <w:szCs w:val="24"/>
          <w:shd w:val="clear" w:color="auto" w:fill="FFFFFF"/>
          <w:lang w:val="en-IN"/>
        </w:rPr>
        <w:t>, T. and Jensen, P.A., 2017, July. Benchmarking of workplace performance. In </w:t>
      </w:r>
      <w:r w:rsidRPr="00A00C1A">
        <w:rPr>
          <w:rFonts w:ascii="Times New Roman" w:hAnsi="Times New Roman" w:cs="Times New Roman"/>
          <w:i/>
          <w:iCs/>
          <w:sz w:val="24"/>
          <w:szCs w:val="24"/>
          <w:shd w:val="clear" w:color="auto" w:fill="FFFFFF"/>
          <w:lang w:val="en-IN"/>
        </w:rPr>
        <w:t>ERES 2017: 24th Annual Conference of the European Real Estate Society</w:t>
      </w:r>
      <w:r w:rsidRPr="00A00C1A">
        <w:rPr>
          <w:rFonts w:ascii="Times New Roman" w:hAnsi="Times New Roman" w:cs="Times New Roman"/>
          <w:sz w:val="24"/>
          <w:szCs w:val="24"/>
          <w:shd w:val="clear" w:color="auto" w:fill="FFFFFF"/>
          <w:lang w:val="en-IN"/>
        </w:rPr>
        <w:t>.</w:t>
      </w:r>
    </w:p>
    <w:p w14:paraId="3A44232E" w14:textId="77777777" w:rsidR="00A00C1A" w:rsidRPr="00A00C1A" w:rsidRDefault="00A00C1A">
      <w:pPr>
        <w:rPr>
          <w:b/>
          <w:bCs/>
          <w:sz w:val="24"/>
          <w:szCs w:val="24"/>
        </w:rPr>
      </w:pPr>
    </w:p>
    <w:sectPr w:rsidR="00A00C1A" w:rsidRPr="00A00C1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4F7810" w14:textId="77777777" w:rsidR="005B2CDD" w:rsidRDefault="005B2CDD" w:rsidP="009C6794">
      <w:pPr>
        <w:spacing w:after="0" w:line="240" w:lineRule="auto"/>
      </w:pPr>
      <w:r>
        <w:separator/>
      </w:r>
    </w:p>
  </w:endnote>
  <w:endnote w:type="continuationSeparator" w:id="0">
    <w:p w14:paraId="285D041A" w14:textId="77777777" w:rsidR="005B2CDD" w:rsidRDefault="005B2CDD" w:rsidP="009C67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AF1FE4" w14:textId="77777777" w:rsidR="009C6794" w:rsidRDefault="009C67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1115370"/>
      <w:docPartObj>
        <w:docPartGallery w:val="Page Numbers (Bottom of Page)"/>
        <w:docPartUnique/>
      </w:docPartObj>
    </w:sdtPr>
    <w:sdtEndPr>
      <w:rPr>
        <w:noProof/>
      </w:rPr>
    </w:sdtEndPr>
    <w:sdtContent>
      <w:p w14:paraId="191B340B" w14:textId="278D652B" w:rsidR="00C07B9B" w:rsidRDefault="00C07B9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192C20" w14:textId="77777777" w:rsidR="009C6794" w:rsidRDefault="009C679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A6FA4C" w14:textId="77777777" w:rsidR="009C6794" w:rsidRDefault="009C6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45B752" w14:textId="77777777" w:rsidR="005B2CDD" w:rsidRDefault="005B2CDD" w:rsidP="009C6794">
      <w:pPr>
        <w:spacing w:after="0" w:line="240" w:lineRule="auto"/>
      </w:pPr>
      <w:r>
        <w:separator/>
      </w:r>
    </w:p>
  </w:footnote>
  <w:footnote w:type="continuationSeparator" w:id="0">
    <w:p w14:paraId="00D74693" w14:textId="77777777" w:rsidR="005B2CDD" w:rsidRDefault="005B2CDD" w:rsidP="009C67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9F6C94" w14:textId="77777777" w:rsidR="009C6794" w:rsidRDefault="009C679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CE06FA" w14:textId="77777777" w:rsidR="009C6794" w:rsidRDefault="009C679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058FBB" w14:textId="77777777" w:rsidR="009C6794" w:rsidRDefault="009C679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006433"/>
    <w:multiLevelType w:val="hybridMultilevel"/>
    <w:tmpl w:val="A562352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abstractNum w:abstractNumId="1" w15:restartNumberingAfterBreak="0">
    <w:nsid w:val="33BD1F3C"/>
    <w:multiLevelType w:val="hybridMultilevel"/>
    <w:tmpl w:val="FEA805B0"/>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CE1"/>
    <w:rsid w:val="000C637E"/>
    <w:rsid w:val="001344CD"/>
    <w:rsid w:val="00161DD8"/>
    <w:rsid w:val="002210C2"/>
    <w:rsid w:val="00223B75"/>
    <w:rsid w:val="0029705F"/>
    <w:rsid w:val="00431E6C"/>
    <w:rsid w:val="00494348"/>
    <w:rsid w:val="005B2CDD"/>
    <w:rsid w:val="005D3432"/>
    <w:rsid w:val="009239FD"/>
    <w:rsid w:val="009C6794"/>
    <w:rsid w:val="009F44C4"/>
    <w:rsid w:val="00A00C1A"/>
    <w:rsid w:val="00A101C4"/>
    <w:rsid w:val="00AF5993"/>
    <w:rsid w:val="00B0000F"/>
    <w:rsid w:val="00BA6CE1"/>
    <w:rsid w:val="00C07B9B"/>
    <w:rsid w:val="00C92F42"/>
    <w:rsid w:val="00E555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B33ED"/>
  <w15:chartTrackingRefBased/>
  <w15:docId w15:val="{7301BE45-A10D-48E4-B924-7197AF0BE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6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794"/>
  </w:style>
  <w:style w:type="paragraph" w:styleId="Footer">
    <w:name w:val="footer"/>
    <w:basedOn w:val="Normal"/>
    <w:link w:val="FooterChar"/>
    <w:uiPriority w:val="99"/>
    <w:unhideWhenUsed/>
    <w:rsid w:val="009C6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7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256985">
      <w:bodyDiv w:val="1"/>
      <w:marLeft w:val="0"/>
      <w:marRight w:val="0"/>
      <w:marTop w:val="0"/>
      <w:marBottom w:val="0"/>
      <w:divBdr>
        <w:top w:val="none" w:sz="0" w:space="0" w:color="auto"/>
        <w:left w:val="none" w:sz="0" w:space="0" w:color="auto"/>
        <w:bottom w:val="none" w:sz="0" w:space="0" w:color="auto"/>
        <w:right w:val="none" w:sz="0" w:space="0" w:color="auto"/>
      </w:divBdr>
    </w:div>
    <w:div w:id="1681009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660</Words>
  <Characters>3768</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Mihaela-Angela Sirghi</dc:creator>
  <cp:keywords/>
  <dc:description/>
  <cp:lastModifiedBy>Mihaela-Angela Sirghi</cp:lastModifiedBy>
  <cp:revision>2</cp:revision>
  <dcterms:created xsi:type="dcterms:W3CDTF">2019-11-20T08:50:00Z</dcterms:created>
  <dcterms:modified xsi:type="dcterms:W3CDTF">2019-11-20T08:50:00Z</dcterms:modified>
</cp:coreProperties>
</file>