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2C9E4C" w14:textId="77777777" w:rsidR="00775689" w:rsidRPr="003F5679" w:rsidRDefault="00775689" w:rsidP="00775689">
      <w:pPr>
        <w:pStyle w:val="1"/>
      </w:pPr>
      <w:bookmarkStart w:id="0" w:name="_Toc193310647"/>
      <w:r w:rsidRPr="003F5679">
        <w:t>1.0 Introduction</w:t>
      </w:r>
      <w:bookmarkEnd w:id="0"/>
    </w:p>
    <w:p w14:paraId="5FC17969" w14:textId="77777777" w:rsidR="00775689" w:rsidRPr="003F5679" w:rsidRDefault="00775689" w:rsidP="00775689">
      <w:bookmarkStart w:id="1" w:name="_Hlk189712522"/>
      <w:r w:rsidRPr="003F5679">
        <w:t xml:space="preserve">According to the </w:t>
      </w:r>
      <w:bookmarkStart w:id="2" w:name="OLE_LINK2"/>
      <w:r w:rsidRPr="003F5679">
        <w:t>International Monetary Fund</w:t>
      </w:r>
      <w:r w:rsidRPr="003F5679">
        <w:rPr>
          <w:rFonts w:hint="eastAsia"/>
        </w:rPr>
        <w:t xml:space="preserve"> </w:t>
      </w:r>
      <w:r w:rsidRPr="003F5679">
        <w:fldChar w:fldCharType="begin"/>
      </w:r>
      <w:r w:rsidRPr="003F5679">
        <w:instrText xml:space="preserve"> ADDIN ZOTERO_ITEM CSL_CITATION {"citationID":"c91vN0WZ","properties":{"formattedCitation":"(International Monetary Fund, 2025)","plainCitation":"(International Monetary Fund, 2025)","noteIndex":0},"citationItems":[{"id":81,"uris":["http://zotero.org/users/local/IyRzUUWA/items/S2XE2F74"],"itemData":{"id":81,"type":"webpage","title":"World Economic Outlook Update, January 2025: Global Growth: Divergent and Uncertain","title-short":"Global Growth: Divergent and Uncertain","URL":"https://www.imf.org/en/Publications/WEO/Issues/2025/01/17/world-economic-outlook-update-january-2025","author":[{"literal":"International Monetary Fund"}],"accessed":{"date-parts":[["2025",3,14]]},"issued":{"date-parts":[["2025"]]}}}],"schema":"https://github.com/citation-style-language/schema/raw/master/csl-citation.json"} </w:instrText>
      </w:r>
      <w:r w:rsidRPr="003F5679">
        <w:fldChar w:fldCharType="separate"/>
      </w:r>
      <w:r w:rsidRPr="003F5679">
        <w:t>(2025)</w:t>
      </w:r>
      <w:r w:rsidRPr="003F5679">
        <w:fldChar w:fldCharType="end"/>
      </w:r>
      <w:bookmarkEnd w:id="2"/>
      <w:r w:rsidRPr="003F5679">
        <w:t>,</w:t>
      </w:r>
      <w:bookmarkEnd w:id="1"/>
      <w:r w:rsidRPr="003F5679">
        <w:t xml:space="preserve"> it is estimated that the global economic growth rate will meet 3.3% in 2025 and 2026, wh</w:t>
      </w:r>
      <w:r w:rsidRPr="003F5679">
        <w:rPr>
          <w:rFonts w:hint="eastAsia"/>
        </w:rPr>
        <w:t>i</w:t>
      </w:r>
      <w:r w:rsidRPr="003F5679">
        <w:t xml:space="preserve">ch is lower than the average level historically. The above data shows that the development of current economics is relatively low. </w:t>
      </w:r>
      <w:r w:rsidRPr="003F5679">
        <w:rPr>
          <w:rFonts w:hint="eastAsia"/>
        </w:rPr>
        <w:t>I</w:t>
      </w:r>
      <w:r w:rsidRPr="003F5679">
        <w:t xml:space="preserve">t will accelerate the running costs of business and the competitive pressure in the fast-food restaurant industry </w:t>
      </w:r>
      <w:r w:rsidRPr="003F5679">
        <w:fldChar w:fldCharType="begin"/>
      </w:r>
      <w:r w:rsidRPr="003F5679">
        <w:instrText xml:space="preserve"> ADDIN ZOTERO_ITEM CSL_CITATION {"citationID":"Ebk2VebH","properties":{"formattedCitation":"(Mbah and Wasum, 2022)","plainCitation":"(Mbah and Wasum, 2022)","noteIndex":0},"citationItems":[{"id":218,"uris":["http://zotero.org/users/local/IyRzUUWA/items/TYR37AB3"],"itemData":{"id":218,"type":"article-journal","container-title":"Advances in Social Sciences Research Journal","issue":"3","page":"144–153","source":"Google Scholar","title":"Russian-Ukraine 2022 War: A review of the economic impact of Russian-Ukraine crisis on the USA, UK, Canada, and Europe","title-short":"Russian-Ukraine 2022 War","volume":"9","author":[{"family":"Mbah","given":"Ruth Endam"},{"family":"Wasum","given":"Divine Forcha"}],"issued":{"date-parts":[["2022"]]}}}],"schema":"https://github.com/citation-style-language/schema/raw/master/csl-citation.json"} </w:instrText>
      </w:r>
      <w:r w:rsidRPr="003F5679">
        <w:fldChar w:fldCharType="separate"/>
      </w:r>
      <w:r w:rsidRPr="003F5679">
        <w:t>(Mbah and Wasum, 2022)</w:t>
      </w:r>
      <w:r w:rsidRPr="003F5679">
        <w:fldChar w:fldCharType="end"/>
      </w:r>
      <w:r w:rsidRPr="003F5679">
        <w:t xml:space="preserve">. </w:t>
      </w:r>
      <w:r w:rsidRPr="003F5679">
        <w:rPr>
          <w:rFonts w:hint="eastAsia"/>
        </w:rPr>
        <w:t>However</w:t>
      </w:r>
      <w:r w:rsidRPr="003F5679">
        <w:t>, it will stimulate the innovation ability of the organisation, which means that the organisation needs to constant doing product innovation and differentiated service to maintain the competitive ability, avoiding market share occupied by competitors.</w:t>
      </w:r>
    </w:p>
    <w:p w14:paraId="1C5BAD01" w14:textId="77777777" w:rsidR="00775689" w:rsidRPr="003F5679" w:rsidRDefault="00775689" w:rsidP="00775689"/>
    <w:p w14:paraId="0408BC82" w14:textId="77777777" w:rsidR="00775689" w:rsidRPr="003F5679" w:rsidRDefault="00775689" w:rsidP="00775689">
      <w:r w:rsidRPr="003F5679">
        <w:t>Domino</w:t>
      </w:r>
      <w:r>
        <w:t>’</w:t>
      </w:r>
      <w:r>
        <w:rPr>
          <w:rFonts w:hint="eastAsia"/>
        </w:rPr>
        <w:t>s</w:t>
      </w:r>
      <w:r w:rsidRPr="003F5679">
        <w:t xml:space="preserve">, a globally well-known pizza chain brand, was constructed at 1960, and it is located at Michigan, USA </w:t>
      </w:r>
      <w:r w:rsidRPr="003F5679">
        <w:fldChar w:fldCharType="begin"/>
      </w:r>
      <w:r w:rsidRPr="003F5679">
        <w:instrText xml:space="preserve"> ADDIN ZOTERO_ITEM CSL_CITATION {"citationID":"jsAjpJLu","properties":{"formattedCitation":"(Domino\\uc0\\u8217{}s, 2025)","plainCitation":"(Domino’s, 2025)","noteIndex":0},"citationItems":[{"id":83,"uris":["http://zotero.org/users/local/IyRzUUWA/items/6ZVPHUGC"],"itemData":{"id":83,"type":"webpage","title":"OUR STORY","URL":"https://corporate.dominos.co.uk/about-us/our-story","author":[{"literal":"Domino’s"}],"accessed":{"date-parts":[["2025",3,14]]},"issued":{"date-parts":[["2025"]]}}}],"schema":"https://github.com/citation-style-language/schema/raw/master/csl-citation.json"} </w:instrText>
      </w:r>
      <w:r w:rsidRPr="003F5679">
        <w:fldChar w:fldCharType="separate"/>
      </w:r>
      <w:r w:rsidRPr="003F5679">
        <w:rPr>
          <w:kern w:val="0"/>
        </w:rPr>
        <w:t>(Domino’s, 2025)</w:t>
      </w:r>
      <w:r w:rsidRPr="003F5679">
        <w:fldChar w:fldCharType="end"/>
      </w:r>
      <w:r w:rsidRPr="003F5679">
        <w:t>. According to</w:t>
      </w:r>
      <w:r w:rsidRPr="003F5679">
        <w:rPr>
          <w:rFonts w:hint="eastAsia"/>
        </w:rPr>
        <w:t xml:space="preserve"> </w:t>
      </w:r>
      <w:r w:rsidRPr="003F5679">
        <w:t xml:space="preserve">ScrapeHero </w:t>
      </w:r>
      <w:r w:rsidRPr="003F5679">
        <w:fldChar w:fldCharType="begin"/>
      </w:r>
      <w:r w:rsidRPr="003F5679">
        <w:instrText xml:space="preserve"> ADDIN ZOTERO_ITEM CSL_CITATION {"citationID":"jFvbW2jZ","properties":{"formattedCitation":"(ScrapeHero, 2025)","plainCitation":"(ScrapeHero, 2025)","noteIndex":0},"citationItems":[{"id":86,"uris":["http://zotero.org/users/local/IyRzUUWA/items/PPJKHSC8"],"itemData":{"id":86,"type":"webpage","abstract":"There are 1,301 Dominos locations in the United Kingdom as of \n      January 29, 2025. The state/territory with the most number of Dominos locations in the UK is England with 1,076 locations, which is 82% of all Dominos locations in the UK.","language":"en","note":"section: Location Reports","title":"Number of Dominos locations in the UK in 2025","URL":"https://www.scrapehero.com/location-reports/Dominos-UK/","author":[{"literal":"ScrapeHero"}],"accessed":{"date-parts":[["2025",3,14]]},"issued":{"date-parts":[["2025"]]}}}],"schema":"https://github.com/citation-style-language/schema/raw/master/csl-citation.json"} </w:instrText>
      </w:r>
      <w:r w:rsidRPr="003F5679">
        <w:fldChar w:fldCharType="separate"/>
      </w:r>
      <w:r w:rsidRPr="003F5679">
        <w:t>(2025)</w:t>
      </w:r>
      <w:r w:rsidRPr="003F5679">
        <w:fldChar w:fldCharType="end"/>
      </w:r>
      <w:r w:rsidRPr="003F5679">
        <w:t>, Domino currently has 1,301 stores in the UK, with the great amount of stores number in England, accounting for 83% of the total number of stores in the UK.</w:t>
      </w:r>
    </w:p>
    <w:p w14:paraId="5E348318" w14:textId="77777777" w:rsidR="00775689" w:rsidRPr="003F5679" w:rsidRDefault="00775689" w:rsidP="00775689">
      <w:pPr>
        <w:widowControl/>
        <w:jc w:val="left"/>
      </w:pPr>
    </w:p>
    <w:p w14:paraId="1F960E95" w14:textId="77777777" w:rsidR="00775689" w:rsidRPr="003F5679" w:rsidRDefault="00775689" w:rsidP="00775689">
      <w:pPr>
        <w:widowControl/>
      </w:pPr>
      <w:r w:rsidRPr="003F5679">
        <w:t xml:space="preserve">The purpose of this report is to help </w:t>
      </w:r>
      <w:r>
        <w:rPr>
          <w:rFonts w:hint="eastAsia"/>
        </w:rPr>
        <w:t>Domino</w:t>
      </w:r>
      <w:r>
        <w:t>’</w:t>
      </w:r>
      <w:r>
        <w:rPr>
          <w:rFonts w:hint="eastAsia"/>
        </w:rPr>
        <w:t>s</w:t>
      </w:r>
      <w:r w:rsidRPr="003F5679">
        <w:t xml:space="preserve"> cope with the challenges of the global economy by analysing the internal and external marketing environment of enterprises.</w:t>
      </w:r>
      <w:r w:rsidRPr="003F5679">
        <w:rPr>
          <w:rFonts w:hint="eastAsia"/>
        </w:rPr>
        <w:t xml:space="preserve"> </w:t>
      </w:r>
      <w:r w:rsidRPr="003F5679">
        <w:t xml:space="preserve">This report will use PESTEL and Porter five forces model as macro and micro tools respectively to analyse Domino's </w:t>
      </w:r>
      <w:r w:rsidRPr="003F5679">
        <w:lastRenderedPageBreak/>
        <w:t xml:space="preserve">external competition in the UK market. </w:t>
      </w:r>
      <w:r w:rsidRPr="003F5679">
        <w:rPr>
          <w:rFonts w:hint="eastAsia"/>
        </w:rPr>
        <w:t>Additionally</w:t>
      </w:r>
      <w:r w:rsidRPr="003F5679">
        <w:t>, the Porter value chain will be used to analyse its internal situation. Finally, the SWOT model is used as a summary to analyse Domino's competitive advantages and disadvantages, as well as the competitive opportunities and threats brought by the external competitive environment.</w:t>
      </w:r>
      <w:r w:rsidRPr="003F5679">
        <w:rPr>
          <w:rFonts w:hint="eastAsia"/>
        </w:rPr>
        <w:t xml:space="preserve"> </w:t>
      </w:r>
    </w:p>
    <w:p w14:paraId="5ABA1BF4" w14:textId="77777777" w:rsidR="00775689" w:rsidRPr="003F5679" w:rsidRDefault="00775689" w:rsidP="00775689">
      <w:pPr>
        <w:widowControl/>
        <w:jc w:val="left"/>
        <w:rPr>
          <w:b/>
          <w:bCs/>
          <w:sz w:val="24"/>
          <w:szCs w:val="24"/>
        </w:rPr>
      </w:pPr>
      <w:r w:rsidRPr="003F5679">
        <w:br w:type="page"/>
      </w:r>
    </w:p>
    <w:p w14:paraId="30CF57D4" w14:textId="77777777" w:rsidR="00775689" w:rsidRPr="003F5679" w:rsidRDefault="00775689" w:rsidP="00775689">
      <w:pPr>
        <w:pStyle w:val="1"/>
      </w:pPr>
      <w:bookmarkStart w:id="3" w:name="_Toc193310648"/>
      <w:r w:rsidRPr="003F5679">
        <w:rPr>
          <w:rFonts w:hint="eastAsia"/>
        </w:rPr>
        <w:lastRenderedPageBreak/>
        <w:t xml:space="preserve">2.0 Macroenvironment </w:t>
      </w:r>
      <w:r>
        <w:rPr>
          <w:rFonts w:hint="eastAsia"/>
        </w:rPr>
        <w:t>A</w:t>
      </w:r>
      <w:r w:rsidRPr="003F5679">
        <w:rPr>
          <w:rFonts w:hint="eastAsia"/>
        </w:rPr>
        <w:t>nalysis</w:t>
      </w:r>
      <w:bookmarkEnd w:id="3"/>
    </w:p>
    <w:p w14:paraId="1D6920FB" w14:textId="77777777" w:rsidR="00775689" w:rsidRPr="003F5679" w:rsidRDefault="00775689" w:rsidP="00775689">
      <w:pPr>
        <w:pStyle w:val="af"/>
        <w:framePr w:hSpace="180" w:wrap="around" w:vAnchor="text" w:hAnchor="page" w:x="4441" w:y="12673"/>
        <w:jc w:val="center"/>
        <w:rPr>
          <w:rFonts w:ascii="Times New Roman" w:hAnsi="Times New Roman" w:cs="Times New Roman"/>
          <w:sz w:val="24"/>
          <w:szCs w:val="24"/>
        </w:rPr>
      </w:pPr>
      <w:r w:rsidRPr="003F5679">
        <w:rPr>
          <w:rFonts w:ascii="Times New Roman" w:hAnsi="Times New Roman" w:cs="Times New Roman"/>
          <w:sz w:val="24"/>
          <w:szCs w:val="24"/>
        </w:rPr>
        <w:t xml:space="preserve">Table </w:t>
      </w:r>
      <w:r w:rsidRPr="003F5679">
        <w:rPr>
          <w:rFonts w:ascii="Times New Roman" w:hAnsi="Times New Roman" w:cs="Times New Roman"/>
          <w:sz w:val="24"/>
          <w:szCs w:val="24"/>
        </w:rPr>
        <w:fldChar w:fldCharType="begin"/>
      </w:r>
      <w:r w:rsidRPr="003F5679">
        <w:rPr>
          <w:rFonts w:ascii="Times New Roman" w:hAnsi="Times New Roman" w:cs="Times New Roman"/>
          <w:sz w:val="24"/>
          <w:szCs w:val="24"/>
        </w:rPr>
        <w:instrText xml:space="preserve"> SEQ Table \* ARABIC </w:instrText>
      </w:r>
      <w:r w:rsidRPr="003F5679">
        <w:rPr>
          <w:rFonts w:ascii="Times New Roman" w:hAnsi="Times New Roman" w:cs="Times New Roman"/>
          <w:sz w:val="24"/>
          <w:szCs w:val="24"/>
        </w:rPr>
        <w:fldChar w:fldCharType="separate"/>
      </w:r>
      <w:r w:rsidRPr="003F5679">
        <w:rPr>
          <w:rFonts w:ascii="Times New Roman" w:hAnsi="Times New Roman" w:cs="Times New Roman"/>
          <w:sz w:val="24"/>
          <w:szCs w:val="24"/>
        </w:rPr>
        <w:t>1</w:t>
      </w:r>
      <w:r w:rsidRPr="003F5679">
        <w:rPr>
          <w:rFonts w:ascii="Times New Roman" w:hAnsi="Times New Roman" w:cs="Times New Roman"/>
          <w:sz w:val="24"/>
          <w:szCs w:val="24"/>
        </w:rPr>
        <w:fldChar w:fldCharType="end"/>
      </w:r>
      <w:r w:rsidRPr="003F5679">
        <w:rPr>
          <w:rFonts w:ascii="Times New Roman" w:hAnsi="Times New Roman" w:cs="Times New Roman"/>
          <w:sz w:val="24"/>
          <w:szCs w:val="24"/>
        </w:rPr>
        <w:t xml:space="preserve"> PESTEL analysis</w:t>
      </w:r>
      <w:r>
        <w:rPr>
          <w:rFonts w:ascii="Times New Roman" w:hAnsi="Times New Roman" w:cs="Times New Roman" w:hint="eastAsia"/>
          <w:sz w:val="24"/>
          <w:szCs w:val="24"/>
        </w:rPr>
        <w:t xml:space="preserve"> of Domino</w:t>
      </w:r>
      <w:r>
        <w:rPr>
          <w:rFonts w:ascii="Times New Roman" w:hAnsi="Times New Roman" w:cs="Times New Roman"/>
          <w:sz w:val="24"/>
          <w:szCs w:val="24"/>
        </w:rPr>
        <w:t>’</w:t>
      </w:r>
      <w:r>
        <w:rPr>
          <w:rFonts w:ascii="Times New Roman" w:hAnsi="Times New Roman" w:cs="Times New Roman" w:hint="eastAsia"/>
          <w:sz w:val="24"/>
          <w:szCs w:val="24"/>
        </w:rPr>
        <w:t>s</w:t>
      </w:r>
    </w:p>
    <w:p w14:paraId="6523032A" w14:textId="77777777" w:rsidR="00775689" w:rsidRPr="003F5679" w:rsidRDefault="00775689" w:rsidP="00775689">
      <w:r w:rsidRPr="003F5679">
        <w:t>PESTEL is an analytical tool that helps enterprises achieve the growth of organi</w:t>
      </w:r>
      <w:r w:rsidRPr="003F5679">
        <w:rPr>
          <w:rFonts w:hint="eastAsia"/>
        </w:rPr>
        <w:t>s</w:t>
      </w:r>
      <w:r w:rsidRPr="003F5679">
        <w:t xml:space="preserve">ational performance by conducting internal and external environment assessments </w:t>
      </w:r>
      <w:r w:rsidRPr="003F5679">
        <w:fldChar w:fldCharType="begin"/>
      </w:r>
      <w:r w:rsidRPr="003F5679">
        <w:instrText xml:space="preserve"> ADDIN ZOTERO_ITEM CSL_CITATION {"citationID":"QQlkQozK","properties":{"formattedCitation":"(Buye, 2021)","plainCitation":"(Buye, 2021)","noteIndex":0},"citationItems":[{"id":87,"uris":["http://zotero.org/users/local/IyRzUUWA/items/B5TS6KJQ"],"itemData":{</w:instrText>
      </w:r>
      <w:r w:rsidRPr="003F5679">
        <w:rPr>
          <w:rFonts w:hint="eastAsia"/>
        </w:rPr>
        <w:instrText>"id":87,"type":"article-journal","container-title":"Project: Action Research for Development","source":"Google Scholar","title":"Critical examination of the PES</w:instrText>
      </w:r>
      <w:r w:rsidRPr="003F5679">
        <w:rPr>
          <w:rFonts w:hint="eastAsia"/>
        </w:rPr>
        <w:instrText>℡</w:instrText>
      </w:r>
      <w:r w:rsidRPr="003F5679">
        <w:rPr>
          <w:rFonts w:hint="eastAsia"/>
        </w:rPr>
        <w:instrText xml:space="preserve"> Analysis Model","URL":"https://www.researchgate.net/profile/Ronald-Buye/publication/349506325</w:instrText>
      </w:r>
      <w:r w:rsidRPr="003F5679">
        <w:instrText xml:space="preserve">_Critical_examination_of_the_PESTEL_Analysis_Model/links/6093f3fd92851c490fbd6e7e/Critical-examination-of-the-PESTEL-Analysis-Model","author":[{"family":"Buye","given":"Ronald"}],"accessed":{"date-parts":[["2025",3,14]]},"issued":{"date-parts":[["2021"]]}}}],"schema":"https://github.com/citation-style-language/schema/raw/master/csl-citation.json"} </w:instrText>
      </w:r>
      <w:r w:rsidRPr="003F5679">
        <w:fldChar w:fldCharType="separate"/>
      </w:r>
      <w:r w:rsidRPr="003F5679">
        <w:t>(Buye, 2021)</w:t>
      </w:r>
      <w:r w:rsidRPr="003F5679">
        <w:fldChar w:fldCharType="end"/>
      </w:r>
      <w:r w:rsidRPr="003F5679">
        <w:t xml:space="preserve">. PESTEL </w:t>
      </w:r>
      <w:r>
        <w:rPr>
          <w:rFonts w:hint="eastAsia"/>
        </w:rPr>
        <w:t xml:space="preserve">can be used in </w:t>
      </w:r>
      <w:r w:rsidRPr="003F5679">
        <w:t>analys</w:t>
      </w:r>
      <w:r>
        <w:rPr>
          <w:rFonts w:hint="eastAsia"/>
        </w:rPr>
        <w:t>ing</w:t>
      </w:r>
      <w:r w:rsidRPr="003F5679">
        <w:t xml:space="preserve"> the challenges and opportunities that </w:t>
      </w:r>
      <w:r w:rsidRPr="003F5679">
        <w:rPr>
          <w:rFonts w:hint="eastAsia"/>
        </w:rPr>
        <w:t>Domino</w:t>
      </w:r>
      <w:r>
        <w:t>’</w:t>
      </w:r>
      <w:r w:rsidRPr="003F5679">
        <w:rPr>
          <w:rFonts w:hint="eastAsia"/>
        </w:rPr>
        <w:t>s</w:t>
      </w:r>
      <w:r w:rsidRPr="003F5679">
        <w:t xml:space="preserve"> may encounter in the market competition, which is </w:t>
      </w:r>
      <w:r>
        <w:rPr>
          <w:rFonts w:hint="eastAsia"/>
        </w:rPr>
        <w:t>helpful</w:t>
      </w:r>
      <w:r w:rsidRPr="003F5679">
        <w:t xml:space="preserve"> </w:t>
      </w:r>
      <w:r>
        <w:rPr>
          <w:rFonts w:hint="eastAsia"/>
        </w:rPr>
        <w:t>to</w:t>
      </w:r>
      <w:r w:rsidRPr="003F5679">
        <w:t xml:space="preserve"> the realization of enterprise development goals. However,</w:t>
      </w:r>
      <w:r w:rsidRPr="003F5679">
        <w:rPr>
          <w:rFonts w:hint="eastAsia"/>
        </w:rPr>
        <w:t xml:space="preserve"> </w:t>
      </w:r>
      <w:r w:rsidRPr="003F5679">
        <w:t xml:space="preserve">PESTEL cannot be quantified </w:t>
      </w:r>
      <w:r w:rsidRPr="00262222">
        <w:t>(Wajid and Zafar, 2021)</w:t>
      </w:r>
      <w:r w:rsidRPr="003F5679">
        <w:t>, which makes the accuracy of its risk assessment and prediction impossible to guarantee.</w:t>
      </w:r>
      <w:r w:rsidRPr="003F5679">
        <w:rPr>
          <w:rFonts w:hint="eastAsia"/>
        </w:rPr>
        <w:t xml:space="preserve"> T</w:t>
      </w:r>
      <w:r w:rsidRPr="003F5679">
        <w:t>here is no perfect quantitative and evaluation tool in the world, and it still needs to be analysed on a case-by-case basis.</w:t>
      </w:r>
    </w:p>
    <w:tbl>
      <w:tblPr>
        <w:tblStyle w:val="ae"/>
        <w:tblpPr w:leftFromText="180" w:rightFromText="180" w:vertAnchor="text" w:horzAnchor="margin" w:tblpXSpec="center" w:tblpY="238"/>
        <w:tblW w:w="11585" w:type="dxa"/>
        <w:tblLook w:val="04A0" w:firstRow="1" w:lastRow="0" w:firstColumn="1" w:lastColumn="0" w:noHBand="0" w:noVBand="1"/>
      </w:tblPr>
      <w:tblGrid>
        <w:gridCol w:w="1693"/>
        <w:gridCol w:w="2584"/>
        <w:gridCol w:w="2136"/>
        <w:gridCol w:w="1775"/>
        <w:gridCol w:w="1707"/>
        <w:gridCol w:w="1690"/>
      </w:tblGrid>
      <w:tr w:rsidR="00775689" w:rsidRPr="003F5679" w14:paraId="3FB1EA47" w14:textId="77777777" w:rsidTr="00D20B0E">
        <w:trPr>
          <w:trHeight w:val="363"/>
        </w:trPr>
        <w:tc>
          <w:tcPr>
            <w:tcW w:w="1693" w:type="dxa"/>
          </w:tcPr>
          <w:p w14:paraId="0B3D5520" w14:textId="77777777" w:rsidR="00775689" w:rsidRPr="003F5679" w:rsidRDefault="00775689" w:rsidP="00D20B0E">
            <w:pPr>
              <w:jc w:val="center"/>
              <w:rPr>
                <w:sz w:val="20"/>
                <w:szCs w:val="18"/>
              </w:rPr>
            </w:pPr>
            <w:r w:rsidRPr="003F5679">
              <w:rPr>
                <w:sz w:val="20"/>
                <w:szCs w:val="18"/>
              </w:rPr>
              <w:t>Political</w:t>
            </w:r>
          </w:p>
        </w:tc>
        <w:tc>
          <w:tcPr>
            <w:tcW w:w="2584" w:type="dxa"/>
          </w:tcPr>
          <w:p w14:paraId="4AF7718F" w14:textId="77777777" w:rsidR="00775689" w:rsidRPr="003F5679" w:rsidRDefault="00775689" w:rsidP="00D20B0E">
            <w:pPr>
              <w:jc w:val="center"/>
              <w:rPr>
                <w:sz w:val="20"/>
                <w:szCs w:val="18"/>
              </w:rPr>
            </w:pPr>
            <w:r w:rsidRPr="003F5679">
              <w:rPr>
                <w:sz w:val="20"/>
                <w:szCs w:val="18"/>
              </w:rPr>
              <w:t>Economic</w:t>
            </w:r>
          </w:p>
        </w:tc>
        <w:tc>
          <w:tcPr>
            <w:tcW w:w="2136" w:type="dxa"/>
          </w:tcPr>
          <w:p w14:paraId="11CC58FD" w14:textId="77777777" w:rsidR="00775689" w:rsidRPr="003F5679" w:rsidRDefault="00775689" w:rsidP="00D20B0E">
            <w:pPr>
              <w:jc w:val="center"/>
              <w:rPr>
                <w:sz w:val="20"/>
                <w:szCs w:val="18"/>
              </w:rPr>
            </w:pPr>
            <w:r w:rsidRPr="003F5679">
              <w:rPr>
                <w:sz w:val="20"/>
                <w:szCs w:val="18"/>
              </w:rPr>
              <w:t>Social</w:t>
            </w:r>
          </w:p>
        </w:tc>
        <w:tc>
          <w:tcPr>
            <w:tcW w:w="1775" w:type="dxa"/>
          </w:tcPr>
          <w:p w14:paraId="677E93CF" w14:textId="77777777" w:rsidR="00775689" w:rsidRPr="003F5679" w:rsidRDefault="00775689" w:rsidP="00D20B0E">
            <w:pPr>
              <w:jc w:val="center"/>
              <w:rPr>
                <w:sz w:val="20"/>
                <w:szCs w:val="18"/>
              </w:rPr>
            </w:pPr>
            <w:r w:rsidRPr="003F5679">
              <w:rPr>
                <w:sz w:val="20"/>
                <w:szCs w:val="18"/>
              </w:rPr>
              <w:t>Technological</w:t>
            </w:r>
          </w:p>
        </w:tc>
        <w:tc>
          <w:tcPr>
            <w:tcW w:w="1707" w:type="dxa"/>
          </w:tcPr>
          <w:p w14:paraId="7DF96B59" w14:textId="77777777" w:rsidR="00775689" w:rsidRPr="003F5679" w:rsidRDefault="00775689" w:rsidP="00D20B0E">
            <w:pPr>
              <w:jc w:val="center"/>
              <w:rPr>
                <w:sz w:val="20"/>
                <w:szCs w:val="18"/>
              </w:rPr>
            </w:pPr>
            <w:r w:rsidRPr="003F5679">
              <w:rPr>
                <w:sz w:val="20"/>
                <w:szCs w:val="18"/>
              </w:rPr>
              <w:t>Environmental</w:t>
            </w:r>
          </w:p>
        </w:tc>
        <w:tc>
          <w:tcPr>
            <w:tcW w:w="1690" w:type="dxa"/>
          </w:tcPr>
          <w:p w14:paraId="64983EE6" w14:textId="77777777" w:rsidR="00775689" w:rsidRPr="003F5679" w:rsidRDefault="00775689" w:rsidP="00D20B0E">
            <w:pPr>
              <w:jc w:val="center"/>
              <w:rPr>
                <w:sz w:val="20"/>
                <w:szCs w:val="18"/>
              </w:rPr>
            </w:pPr>
            <w:r w:rsidRPr="003F5679">
              <w:rPr>
                <w:sz w:val="20"/>
                <w:szCs w:val="18"/>
              </w:rPr>
              <w:t>Legal</w:t>
            </w:r>
          </w:p>
        </w:tc>
      </w:tr>
      <w:tr w:rsidR="00775689" w:rsidRPr="003F5679" w14:paraId="1B49F6B6" w14:textId="77777777" w:rsidTr="00D20B0E">
        <w:trPr>
          <w:trHeight w:val="3251"/>
        </w:trPr>
        <w:tc>
          <w:tcPr>
            <w:tcW w:w="1693" w:type="dxa"/>
          </w:tcPr>
          <w:p w14:paraId="27756EC6" w14:textId="77777777" w:rsidR="00775689" w:rsidRPr="003F5679" w:rsidRDefault="00775689" w:rsidP="00775689">
            <w:pPr>
              <w:pStyle w:val="a9"/>
              <w:numPr>
                <w:ilvl w:val="0"/>
                <w:numId w:val="1"/>
              </w:numPr>
              <w:rPr>
                <w:sz w:val="20"/>
                <w:szCs w:val="18"/>
              </w:rPr>
            </w:pPr>
            <w:r w:rsidRPr="003F5679">
              <w:rPr>
                <w:sz w:val="20"/>
                <w:szCs w:val="18"/>
              </w:rPr>
              <w:t xml:space="preserve">Britain exits from the European Union. </w:t>
            </w:r>
            <w:r w:rsidRPr="003F5679">
              <w:rPr>
                <w:sz w:val="20"/>
                <w:szCs w:val="18"/>
              </w:rPr>
              <w:fldChar w:fldCharType="begin"/>
            </w:r>
            <w:r w:rsidRPr="003F5679">
              <w:rPr>
                <w:sz w:val="20"/>
                <w:szCs w:val="18"/>
              </w:rPr>
              <w:instrText xml:space="preserve"> ADDIN ZOTERO_ITEM CSL_CITATION {"citationID":"KjNLI2OD","properties":{"formattedCitation":"(World Bank Group, 2025)","plainCitation":"(World Bank Group, 2025)","noteIndex":0},"citationItems":[{"id":166,"uris":["http://zotero.org/users/local/IyRzUUWA/items/DM8RJ92R"],"itemData":{"id":166,"type":"webpage","title":"Political Stability and Absence of Violence/Terrorism: Percentile Rank | Indicator Profile | Prosperity Data360","URL":"https://prosperitydata360.worldbank.org/en/indicator/WB+WWGI+PV+PER+RNK","author":[{"literal":"World Bank Group"}],"accessed":{"date-parts":[["2025",3,16]]},"issued":{"date-parts":[["2025"]]}}}],"schema":"https://github.com/citation-style-language/schema/raw/master/csl-citation.json"} </w:instrText>
            </w:r>
            <w:r w:rsidRPr="003F5679">
              <w:rPr>
                <w:sz w:val="20"/>
                <w:szCs w:val="18"/>
              </w:rPr>
              <w:fldChar w:fldCharType="separate"/>
            </w:r>
            <w:r w:rsidRPr="003F5679">
              <w:rPr>
                <w:sz w:val="20"/>
                <w:szCs w:val="18"/>
              </w:rPr>
              <w:t>(World Bank Group, 2025)</w:t>
            </w:r>
            <w:r w:rsidRPr="003F5679">
              <w:rPr>
                <w:sz w:val="20"/>
                <w:szCs w:val="18"/>
              </w:rPr>
              <w:fldChar w:fldCharType="end"/>
            </w:r>
          </w:p>
          <w:p w14:paraId="5F27789F" w14:textId="77777777" w:rsidR="00775689" w:rsidRPr="003F5679" w:rsidRDefault="00775689" w:rsidP="00775689">
            <w:pPr>
              <w:pStyle w:val="a9"/>
              <w:numPr>
                <w:ilvl w:val="0"/>
                <w:numId w:val="1"/>
              </w:numPr>
              <w:rPr>
                <w:sz w:val="20"/>
                <w:szCs w:val="18"/>
              </w:rPr>
            </w:pPr>
            <w:r w:rsidRPr="003F5679">
              <w:rPr>
                <w:sz w:val="20"/>
                <w:szCs w:val="18"/>
              </w:rPr>
              <w:t>Laws and regulations govern enterprise behaviour</w:t>
            </w:r>
          </w:p>
          <w:p w14:paraId="084B4BAC" w14:textId="77777777" w:rsidR="00775689" w:rsidRPr="003F5679" w:rsidRDefault="00775689" w:rsidP="00775689">
            <w:pPr>
              <w:pStyle w:val="a9"/>
              <w:numPr>
                <w:ilvl w:val="0"/>
                <w:numId w:val="1"/>
              </w:numPr>
              <w:rPr>
                <w:sz w:val="20"/>
                <w:szCs w:val="18"/>
              </w:rPr>
            </w:pPr>
            <w:r w:rsidRPr="003F5679">
              <w:rPr>
                <w:sz w:val="20"/>
                <w:szCs w:val="18"/>
              </w:rPr>
              <w:t>Trade policies can affect the availability and cost of ingredients</w:t>
            </w:r>
          </w:p>
        </w:tc>
        <w:tc>
          <w:tcPr>
            <w:tcW w:w="2584" w:type="dxa"/>
          </w:tcPr>
          <w:p w14:paraId="4BA2CC24" w14:textId="77777777" w:rsidR="00775689" w:rsidRPr="003F5679" w:rsidRDefault="00775689" w:rsidP="00775689">
            <w:pPr>
              <w:pStyle w:val="a9"/>
              <w:numPr>
                <w:ilvl w:val="0"/>
                <w:numId w:val="1"/>
              </w:numPr>
              <w:rPr>
                <w:sz w:val="20"/>
                <w:szCs w:val="18"/>
              </w:rPr>
            </w:pPr>
            <w:r w:rsidRPr="003F5679">
              <w:rPr>
                <w:sz w:val="20"/>
                <w:szCs w:val="18"/>
              </w:rPr>
              <w:t>Inflation is too high</w:t>
            </w:r>
            <w:r w:rsidRPr="003F5679">
              <w:rPr>
                <w:rFonts w:hint="eastAsia"/>
                <w:sz w:val="20"/>
                <w:szCs w:val="18"/>
              </w:rPr>
              <w:t xml:space="preserve"> </w:t>
            </w:r>
            <w:r w:rsidRPr="003F5679">
              <w:rPr>
                <w:sz w:val="20"/>
                <w:szCs w:val="18"/>
              </w:rPr>
              <w:fldChar w:fldCharType="begin"/>
            </w:r>
            <w:r w:rsidRPr="003F5679">
              <w:rPr>
                <w:sz w:val="20"/>
                <w:szCs w:val="18"/>
              </w:rPr>
              <w:instrText xml:space="preserve"> ADDIN ZOTERO_ITEM CSL_CITATION {"citationID":"FVutmQ3r","properties":{"formattedCitation":"(Inflationtool, 2025)","plainCitation":"(Inflationtool, 2025)","noteIndex":0},"citationItems":[{"id":91,"uris":["http://zotero.org/users/local/IyRzUUWA/items/CBWASFUP"],"itemData":{"id":91,"type":"webpage","title":"United Kingdom Inflation Rate - 2025","URL":"https://www.inflationtool.com/rates/uk","author":[{"literal":"Inflationtool"}],"accessed":{"date-parts":[["2025",3,14]]},"issued":{"date-parts":[["2025"]]}}}],"schema":"https://github.com/citation-style-language/schema/raw/master/csl-citation.json"} </w:instrText>
            </w:r>
            <w:r w:rsidRPr="003F5679">
              <w:rPr>
                <w:sz w:val="20"/>
                <w:szCs w:val="18"/>
              </w:rPr>
              <w:fldChar w:fldCharType="separate"/>
            </w:r>
            <w:r w:rsidRPr="003F5679">
              <w:rPr>
                <w:sz w:val="20"/>
                <w:szCs w:val="18"/>
              </w:rPr>
              <w:t>(Inflationtool, 2025)</w:t>
            </w:r>
            <w:r w:rsidRPr="003F5679">
              <w:rPr>
                <w:sz w:val="20"/>
                <w:szCs w:val="18"/>
              </w:rPr>
              <w:fldChar w:fldCharType="end"/>
            </w:r>
          </w:p>
          <w:p w14:paraId="3F7E65EF" w14:textId="77777777" w:rsidR="00775689" w:rsidRPr="003F5679" w:rsidRDefault="00775689" w:rsidP="00775689">
            <w:pPr>
              <w:pStyle w:val="a9"/>
              <w:numPr>
                <w:ilvl w:val="0"/>
                <w:numId w:val="1"/>
              </w:numPr>
              <w:rPr>
                <w:sz w:val="20"/>
                <w:szCs w:val="18"/>
              </w:rPr>
            </w:pPr>
            <w:r w:rsidRPr="003F5679">
              <w:rPr>
                <w:sz w:val="20"/>
                <w:szCs w:val="18"/>
              </w:rPr>
              <w:t>Consumer spending power</w:t>
            </w:r>
          </w:p>
          <w:p w14:paraId="6F194808" w14:textId="77777777" w:rsidR="00775689" w:rsidRPr="003F5679" w:rsidRDefault="00775689" w:rsidP="00775689">
            <w:pPr>
              <w:pStyle w:val="a9"/>
              <w:numPr>
                <w:ilvl w:val="0"/>
                <w:numId w:val="1"/>
              </w:numPr>
              <w:rPr>
                <w:sz w:val="20"/>
                <w:szCs w:val="18"/>
              </w:rPr>
            </w:pPr>
            <w:r w:rsidRPr="003F5679">
              <w:rPr>
                <w:rFonts w:hint="eastAsia"/>
                <w:sz w:val="20"/>
                <w:szCs w:val="18"/>
              </w:rPr>
              <w:t>E</w:t>
            </w:r>
            <w:r w:rsidRPr="003F5679">
              <w:rPr>
                <w:sz w:val="20"/>
                <w:szCs w:val="18"/>
              </w:rPr>
              <w:t>conomic depression</w:t>
            </w:r>
          </w:p>
        </w:tc>
        <w:tc>
          <w:tcPr>
            <w:tcW w:w="2136" w:type="dxa"/>
          </w:tcPr>
          <w:p w14:paraId="37ED3C50" w14:textId="77777777" w:rsidR="00775689" w:rsidRPr="003F5679" w:rsidRDefault="00775689" w:rsidP="00775689">
            <w:pPr>
              <w:pStyle w:val="a9"/>
              <w:numPr>
                <w:ilvl w:val="0"/>
                <w:numId w:val="1"/>
              </w:numPr>
              <w:rPr>
                <w:sz w:val="20"/>
                <w:szCs w:val="18"/>
              </w:rPr>
            </w:pPr>
            <w:r w:rsidRPr="003F5679">
              <w:rPr>
                <w:sz w:val="20"/>
                <w:szCs w:val="18"/>
              </w:rPr>
              <w:t>consumer preference</w:t>
            </w:r>
          </w:p>
          <w:p w14:paraId="232FA800" w14:textId="77777777" w:rsidR="00775689" w:rsidRPr="003F5679" w:rsidRDefault="00775689" w:rsidP="00775689">
            <w:pPr>
              <w:pStyle w:val="a9"/>
              <w:numPr>
                <w:ilvl w:val="0"/>
                <w:numId w:val="1"/>
              </w:numPr>
              <w:rPr>
                <w:sz w:val="20"/>
                <w:szCs w:val="18"/>
              </w:rPr>
            </w:pPr>
            <w:r w:rsidRPr="003F5679">
              <w:rPr>
                <w:sz w:val="20"/>
                <w:szCs w:val="18"/>
              </w:rPr>
              <w:t>Consumer convenience (Najeemudeen and Panchanatham, 2016)</w:t>
            </w:r>
          </w:p>
          <w:p w14:paraId="764CC0CB" w14:textId="77777777" w:rsidR="00775689" w:rsidRPr="003F5679" w:rsidRDefault="00775689" w:rsidP="00775689">
            <w:pPr>
              <w:pStyle w:val="a9"/>
              <w:numPr>
                <w:ilvl w:val="0"/>
                <w:numId w:val="1"/>
              </w:numPr>
              <w:rPr>
                <w:sz w:val="20"/>
                <w:szCs w:val="18"/>
              </w:rPr>
            </w:pPr>
            <w:r w:rsidRPr="003F5679">
              <w:rPr>
                <w:sz w:val="20"/>
                <w:szCs w:val="18"/>
              </w:rPr>
              <w:t xml:space="preserve">Organic food raw materials </w:t>
            </w:r>
            <w:r w:rsidRPr="003F5679">
              <w:rPr>
                <w:sz w:val="20"/>
                <w:szCs w:val="18"/>
              </w:rPr>
              <w:fldChar w:fldCharType="begin"/>
            </w:r>
            <w:r w:rsidRPr="003F5679">
              <w:rPr>
                <w:sz w:val="20"/>
                <w:szCs w:val="18"/>
              </w:rPr>
              <w:instrText xml:space="preserve"> ADDIN ZOTERO_ITEM CSL_CITATION {"citationID":"Cpi9AKfQ","properties":{"formattedCitation":"(NGUYEN and TRUONG, 2021)","plainCitation":"(NGUYEN and TRUONG, 2021)","noteIndex":0},"citationItems":[{"id":169,"uris":["http://zotero.org/users/local/IyRzUUWA/items/MPWHMLIK"],"itemData":{"id":169,"type":"article-journal","abstract":"The study investigates some psychological and environmental factors affecting the intention to purchase organic foods of consumers in the inner-city of Hanoi. Impact factors applied for the study include three psychological factors (health concern, environmental concern, consumer awareness of organic foods) and seven environment factors (family’s opinion, friends and colleagues’ opinion, influence of celebrities, expert’s opinion, social status, mass media, state’s encouragement). We analyzed research data from 396 consumers to measure the impacting level of these factors. The convenient sampling method was used to collect the research sample. The measurement applied a 5-point Likert scale classifying from 1–completely disagree to 5–completely agree. Based on previous studies, the research model was recommended. We had estimated the reliability of the scales through Cronbach’s Alpha and composite reliability. The research data is analyzed by using Structural Equation Model method (SEM). The findings of the study suggest that psychological factors (health concern, environmental concern, consumer awareness of organic foods) had a significantly positive influence on consumer’s purchase attention toward organic food. The results also revealed that environmental factors (family’s opinion, friends and colleagues’ opinion, influence of celebrities, expert’s opinion, mass media) were positively linked to consumer’s purchase attention toward organic food.","container-title":"The Journal of Asian Finance, Economics and Business","DOI":"10.13106/JAFEB.2021.VOL8.NO1.915","issue":"1","language":"en","page":"915-925","source":"DOI.org (CSL JSON)","title":"The Impact of Psychological and Environmental Factors on Consumers' Purchase Intention toward Organic Food: Evidence from Vietnam","title-short":"The Impact of Psychological and Environmental Factors on Consumers' Purchase Intention toward Organic Food","volume":"8","author":[{"family":"NGUYEN","given":"Dinh Toan"},{"family":"TRUONG","given":"Dinh Chien"}],"issued":{"date-parts":[["2021",1,30]]}}}],"schema":"https://github.com/citation-style-language/schema/raw/master/csl-citation.json"} </w:instrText>
            </w:r>
            <w:r w:rsidRPr="003F5679">
              <w:rPr>
                <w:sz w:val="20"/>
                <w:szCs w:val="18"/>
              </w:rPr>
              <w:fldChar w:fldCharType="separate"/>
            </w:r>
            <w:r w:rsidRPr="003F5679">
              <w:rPr>
                <w:sz w:val="20"/>
                <w:szCs w:val="18"/>
              </w:rPr>
              <w:t>(NGUYEN and TRUONG, 2021)</w:t>
            </w:r>
            <w:r w:rsidRPr="003F5679">
              <w:rPr>
                <w:sz w:val="20"/>
                <w:szCs w:val="18"/>
              </w:rPr>
              <w:fldChar w:fldCharType="end"/>
            </w:r>
          </w:p>
          <w:p w14:paraId="798D1FCF" w14:textId="77777777" w:rsidR="00775689" w:rsidRPr="003F5679" w:rsidRDefault="00775689" w:rsidP="00775689">
            <w:pPr>
              <w:pStyle w:val="a9"/>
              <w:numPr>
                <w:ilvl w:val="0"/>
                <w:numId w:val="1"/>
              </w:numPr>
              <w:rPr>
                <w:sz w:val="20"/>
                <w:szCs w:val="18"/>
              </w:rPr>
            </w:pPr>
            <w:r w:rsidRPr="003F5679">
              <w:rPr>
                <w:sz w:val="20"/>
                <w:szCs w:val="18"/>
              </w:rPr>
              <w:t>Health awareness of consumers</w:t>
            </w:r>
          </w:p>
          <w:p w14:paraId="360A2FFA" w14:textId="77777777" w:rsidR="00775689" w:rsidRPr="003F5679" w:rsidRDefault="00775689" w:rsidP="00D20B0E">
            <w:pPr>
              <w:rPr>
                <w:sz w:val="20"/>
                <w:szCs w:val="18"/>
              </w:rPr>
            </w:pPr>
          </w:p>
        </w:tc>
        <w:tc>
          <w:tcPr>
            <w:tcW w:w="1775" w:type="dxa"/>
          </w:tcPr>
          <w:p w14:paraId="3FDF5353" w14:textId="77777777" w:rsidR="00775689" w:rsidRPr="003F5679" w:rsidRDefault="00775689" w:rsidP="00775689">
            <w:pPr>
              <w:pStyle w:val="a9"/>
              <w:numPr>
                <w:ilvl w:val="0"/>
                <w:numId w:val="1"/>
              </w:numPr>
              <w:rPr>
                <w:sz w:val="20"/>
                <w:szCs w:val="18"/>
              </w:rPr>
            </w:pPr>
            <w:r w:rsidRPr="003F5679">
              <w:rPr>
                <w:sz w:val="20"/>
                <w:szCs w:val="18"/>
              </w:rPr>
              <w:t xml:space="preserve">electronic payment </w:t>
            </w:r>
            <w:r w:rsidRPr="003F5679">
              <w:rPr>
                <w:sz w:val="20"/>
                <w:szCs w:val="18"/>
              </w:rPr>
              <w:fldChar w:fldCharType="begin"/>
            </w:r>
            <w:r w:rsidRPr="003F5679">
              <w:rPr>
                <w:sz w:val="20"/>
                <w:szCs w:val="18"/>
              </w:rPr>
              <w:instrText xml:space="preserve"> ADDIN ZOTERO_ITEM CSL_CITATION {"citationID":"uEhgHLUI","properties":{"formattedCitation":"(Najib {\\i{}et al.}, 2021)","plainCitation":"(Najib et al., 2021)","noteIndex":0},"citationItems":[{"id":101,"uris":["http://zotero.org/users/local/IyRzUUWA/items/PGDPYDFK"],"itemData":{"id":101,"type":"article-journal","container-title":"Journal of Open Innovation: Technology, Market, and Complexity","issue":"1","note":"publisher: MDPI","page":"88","source":"Google Scholar","title":"Fintech in the small food business and its relation with open innovation","volume":"7","author":[{"family":"Najib","given":"Mukhamad"},{"family":"Ermawati","given":"Wita Juwita"},{"family":"Fahma","given":"Farah"},{"family":"Endri","given":"Endri"},{"family":"Suhartanto","given":"Dwi"}],"issued":{"date-parts":[["2021"]]}}}],"schema":"https://github.com/citation-style-language/schema/raw/master/csl-citation.json"} </w:instrText>
            </w:r>
            <w:r w:rsidRPr="003F5679">
              <w:rPr>
                <w:sz w:val="20"/>
                <w:szCs w:val="18"/>
              </w:rPr>
              <w:fldChar w:fldCharType="separate"/>
            </w:r>
            <w:r w:rsidRPr="003F5679">
              <w:rPr>
                <w:kern w:val="0"/>
                <w:sz w:val="20"/>
                <w:szCs w:val="18"/>
              </w:rPr>
              <w:t xml:space="preserve">(Najib </w:t>
            </w:r>
            <w:r w:rsidRPr="003F5679">
              <w:rPr>
                <w:i/>
                <w:iCs/>
                <w:kern w:val="0"/>
                <w:sz w:val="20"/>
                <w:szCs w:val="18"/>
              </w:rPr>
              <w:t>et al.</w:t>
            </w:r>
            <w:r w:rsidRPr="003F5679">
              <w:rPr>
                <w:kern w:val="0"/>
                <w:sz w:val="20"/>
                <w:szCs w:val="18"/>
              </w:rPr>
              <w:t>, 2021)</w:t>
            </w:r>
            <w:r w:rsidRPr="003F5679">
              <w:rPr>
                <w:sz w:val="20"/>
                <w:szCs w:val="18"/>
              </w:rPr>
              <w:fldChar w:fldCharType="end"/>
            </w:r>
          </w:p>
          <w:p w14:paraId="758C7842" w14:textId="77777777" w:rsidR="00775689" w:rsidRPr="003F5679" w:rsidRDefault="00775689" w:rsidP="00775689">
            <w:pPr>
              <w:pStyle w:val="a9"/>
              <w:numPr>
                <w:ilvl w:val="0"/>
                <w:numId w:val="1"/>
              </w:numPr>
              <w:rPr>
                <w:sz w:val="20"/>
                <w:szCs w:val="18"/>
              </w:rPr>
            </w:pPr>
            <w:r w:rsidRPr="003F5679">
              <w:rPr>
                <w:sz w:val="20"/>
                <w:szCs w:val="18"/>
              </w:rPr>
              <w:t>Automated kitchen technology development (Barakazı, 2022)</w:t>
            </w:r>
          </w:p>
          <w:p w14:paraId="28EE6567" w14:textId="77777777" w:rsidR="00775689" w:rsidRPr="003F5679" w:rsidRDefault="00775689" w:rsidP="00775689">
            <w:pPr>
              <w:pStyle w:val="a9"/>
              <w:numPr>
                <w:ilvl w:val="0"/>
                <w:numId w:val="1"/>
              </w:numPr>
              <w:rPr>
                <w:sz w:val="20"/>
                <w:szCs w:val="18"/>
              </w:rPr>
            </w:pPr>
            <w:r w:rsidRPr="003F5679">
              <w:rPr>
                <w:sz w:val="20"/>
                <w:szCs w:val="18"/>
              </w:rPr>
              <w:t xml:space="preserve">Online Ordering Systems </w:t>
            </w:r>
          </w:p>
        </w:tc>
        <w:tc>
          <w:tcPr>
            <w:tcW w:w="1707" w:type="dxa"/>
          </w:tcPr>
          <w:p w14:paraId="5CB4E9C5" w14:textId="77777777" w:rsidR="00775689" w:rsidRPr="003F5679" w:rsidRDefault="00775689" w:rsidP="00775689">
            <w:pPr>
              <w:pStyle w:val="a9"/>
              <w:numPr>
                <w:ilvl w:val="0"/>
                <w:numId w:val="1"/>
              </w:numPr>
              <w:rPr>
                <w:sz w:val="20"/>
                <w:szCs w:val="18"/>
              </w:rPr>
            </w:pPr>
            <w:r w:rsidRPr="003F5679">
              <w:rPr>
                <w:sz w:val="20"/>
                <w:szCs w:val="18"/>
              </w:rPr>
              <w:t>Restrictions on the use of food and beverage materials (</w:t>
            </w:r>
            <w:r w:rsidRPr="003F5679">
              <w:rPr>
                <w:rFonts w:cstheme="minorBidi"/>
                <w:kern w:val="2"/>
                <w:sz w:val="20"/>
                <w:szCs w:val="18"/>
              </w:rPr>
              <w:t>GOV.UK</w:t>
            </w:r>
            <w:r w:rsidRPr="003F5679">
              <w:rPr>
                <w:rFonts w:cstheme="minorBidi" w:hint="eastAsia"/>
                <w:kern w:val="2"/>
                <w:sz w:val="20"/>
                <w:szCs w:val="18"/>
              </w:rPr>
              <w:t xml:space="preserve">, </w:t>
            </w:r>
            <w:r w:rsidRPr="003F5679">
              <w:rPr>
                <w:rFonts w:cstheme="minorBidi"/>
                <w:kern w:val="2"/>
                <w:sz w:val="20"/>
                <w:szCs w:val="18"/>
              </w:rPr>
              <w:t>2024b</w:t>
            </w:r>
            <w:r w:rsidRPr="003F5679">
              <w:rPr>
                <w:sz w:val="20"/>
                <w:szCs w:val="18"/>
              </w:rPr>
              <w:t>)</w:t>
            </w:r>
          </w:p>
          <w:p w14:paraId="2379241A" w14:textId="77777777" w:rsidR="00775689" w:rsidRPr="003F5679" w:rsidRDefault="00775689" w:rsidP="00775689">
            <w:pPr>
              <w:pStyle w:val="a9"/>
              <w:numPr>
                <w:ilvl w:val="0"/>
                <w:numId w:val="1"/>
              </w:numPr>
              <w:rPr>
                <w:sz w:val="20"/>
                <w:szCs w:val="18"/>
              </w:rPr>
            </w:pPr>
            <w:r w:rsidRPr="003F5679">
              <w:rPr>
                <w:rFonts w:hint="eastAsia"/>
                <w:sz w:val="20"/>
                <w:szCs w:val="18"/>
              </w:rPr>
              <w:t>E</w:t>
            </w:r>
            <w:r w:rsidRPr="003F5679">
              <w:rPr>
                <w:sz w:val="20"/>
                <w:szCs w:val="18"/>
              </w:rPr>
              <w:t xml:space="preserve">nergy use </w:t>
            </w:r>
          </w:p>
          <w:p w14:paraId="796AC4BF" w14:textId="77777777" w:rsidR="00775689" w:rsidRPr="003F5679" w:rsidRDefault="00775689" w:rsidP="00775689">
            <w:pPr>
              <w:pStyle w:val="a9"/>
              <w:numPr>
                <w:ilvl w:val="0"/>
                <w:numId w:val="1"/>
              </w:numPr>
              <w:rPr>
                <w:sz w:val="20"/>
                <w:szCs w:val="18"/>
              </w:rPr>
            </w:pPr>
            <w:r w:rsidRPr="003F5679">
              <w:rPr>
                <w:rFonts w:hint="eastAsia"/>
                <w:sz w:val="20"/>
                <w:szCs w:val="18"/>
              </w:rPr>
              <w:t>A</w:t>
            </w:r>
            <w:r w:rsidRPr="003F5679">
              <w:rPr>
                <w:sz w:val="20"/>
                <w:szCs w:val="18"/>
              </w:rPr>
              <w:t>nimal protection</w:t>
            </w:r>
          </w:p>
        </w:tc>
        <w:tc>
          <w:tcPr>
            <w:tcW w:w="1690" w:type="dxa"/>
          </w:tcPr>
          <w:p w14:paraId="100AC249" w14:textId="77777777" w:rsidR="00775689" w:rsidRPr="003F5679" w:rsidRDefault="00775689" w:rsidP="00775689">
            <w:pPr>
              <w:pStyle w:val="a9"/>
              <w:numPr>
                <w:ilvl w:val="0"/>
                <w:numId w:val="2"/>
              </w:numPr>
              <w:rPr>
                <w:sz w:val="20"/>
                <w:szCs w:val="18"/>
              </w:rPr>
            </w:pPr>
            <w:r w:rsidRPr="003F5679">
              <w:rPr>
                <w:sz w:val="20"/>
                <w:szCs w:val="18"/>
              </w:rPr>
              <w:t>Employment Rights Act 1996</w:t>
            </w:r>
          </w:p>
          <w:p w14:paraId="07CC1768" w14:textId="77777777" w:rsidR="00775689" w:rsidRPr="003F5679" w:rsidRDefault="00775689" w:rsidP="00775689">
            <w:pPr>
              <w:pStyle w:val="a9"/>
              <w:numPr>
                <w:ilvl w:val="0"/>
                <w:numId w:val="2"/>
              </w:numPr>
              <w:rPr>
                <w:sz w:val="20"/>
                <w:szCs w:val="18"/>
              </w:rPr>
            </w:pPr>
            <w:r w:rsidRPr="003F5679">
              <w:rPr>
                <w:sz w:val="20"/>
                <w:szCs w:val="18"/>
              </w:rPr>
              <w:t>Equality Act 2010</w:t>
            </w:r>
          </w:p>
          <w:p w14:paraId="3BAA9CB1" w14:textId="77777777" w:rsidR="00775689" w:rsidRPr="003F5679" w:rsidRDefault="00775689" w:rsidP="00775689">
            <w:pPr>
              <w:pStyle w:val="a9"/>
              <w:keepNext/>
              <w:numPr>
                <w:ilvl w:val="0"/>
                <w:numId w:val="2"/>
              </w:numPr>
              <w:rPr>
                <w:sz w:val="20"/>
                <w:szCs w:val="18"/>
              </w:rPr>
            </w:pPr>
            <w:r w:rsidRPr="003F5679">
              <w:rPr>
                <w:rFonts w:hint="eastAsia"/>
                <w:sz w:val="20"/>
                <w:szCs w:val="18"/>
              </w:rPr>
              <w:t>I</w:t>
            </w:r>
            <w:r w:rsidRPr="003F5679">
              <w:rPr>
                <w:sz w:val="20"/>
                <w:szCs w:val="18"/>
              </w:rPr>
              <w:t>ntellectual property protection</w:t>
            </w:r>
          </w:p>
        </w:tc>
      </w:tr>
    </w:tbl>
    <w:p w14:paraId="7F8A77BC" w14:textId="77777777" w:rsidR="00775689" w:rsidRPr="003F5679" w:rsidRDefault="00775689" w:rsidP="00775689">
      <w:pPr>
        <w:pStyle w:val="2"/>
      </w:pPr>
      <w:bookmarkStart w:id="4" w:name="_Toc193310649"/>
      <w:r w:rsidRPr="003F5679">
        <w:lastRenderedPageBreak/>
        <w:t>2.1 Political</w:t>
      </w:r>
      <w:bookmarkEnd w:id="4"/>
    </w:p>
    <w:p w14:paraId="7E205C68" w14:textId="77777777" w:rsidR="00775689" w:rsidRPr="003F5679" w:rsidRDefault="00775689" w:rsidP="00775689">
      <w:r w:rsidRPr="003F5679">
        <w:t>The</w:t>
      </w:r>
      <w:r w:rsidRPr="003F5679">
        <w:rPr>
          <w:rFonts w:hint="eastAsia"/>
        </w:rPr>
        <w:t xml:space="preserve"> </w:t>
      </w:r>
      <w:r w:rsidRPr="003F5679">
        <w:t xml:space="preserve">World Bank Group </w:t>
      </w:r>
      <w:r w:rsidRPr="003F5679">
        <w:fldChar w:fldCharType="begin"/>
      </w:r>
      <w:r w:rsidRPr="003F5679">
        <w:instrText xml:space="preserve"> ADDIN ZOTERO_ITEM CSL_CITATION {"citationID":"DfdAyvnP","properties":{"formattedCitation":"(World Bank Group, 2025)","plainCitation":"(World Bank Group, 2025)","noteIndex":0},"citationItems":[{"id":166,"uris":["http://zotero.org/users/local/IyRzUUWA/items/DM8RJ92R"],"itemData":{"id":166,"type":"webpage","title":"Political Stability and Absence of Violence/Terrorism: Percentile Rank | Indicator Profile | Prosperity Data360","URL":"https://prosperitydata360.worldbank.org/en/indicator/WB+WWGI+PV+PER+RNK","author":[{"literal":"World Bank Group"}],"accessed":{"date-parts":[["2025",3,16]]},"issued":{"date-parts":[["2025"]]}}}],"schema":"https://github.com/citation-style-language/schema/raw/master/csl-citation.json"} </w:instrText>
      </w:r>
      <w:r w:rsidRPr="003F5679">
        <w:fldChar w:fldCharType="separate"/>
      </w:r>
      <w:r w:rsidRPr="003F5679">
        <w:t>(2025)</w:t>
      </w:r>
      <w:r w:rsidRPr="003F5679">
        <w:fldChar w:fldCharType="end"/>
      </w:r>
      <w:r w:rsidRPr="003F5679">
        <w:t xml:space="preserve"> reports that while political volatility in the UK was high from 2005 to 2023, there was a temporary drop in the political stability index between 2019 and 2022. The primary cause of the current situation is </w:t>
      </w:r>
      <w:r w:rsidRPr="003F5679">
        <w:rPr>
          <w:rFonts w:hint="eastAsia"/>
        </w:rPr>
        <w:t>that t</w:t>
      </w:r>
      <w:r w:rsidRPr="003F5679">
        <w:t>he regime within the British government is constantly changing</w:t>
      </w:r>
      <w:r w:rsidRPr="003F5679">
        <w:rPr>
          <w:rFonts w:hint="eastAsia"/>
        </w:rPr>
        <w:t xml:space="preserve"> </w:t>
      </w:r>
      <w:r w:rsidRPr="003F5679">
        <w:fldChar w:fldCharType="begin"/>
      </w:r>
      <w:r w:rsidRPr="003F5679">
        <w:instrText xml:space="preserve"> ADDIN ZOTERO_ITEM CSL_CITATION {"citationID":"erSHB3nj","properties":{"formattedCitation":"(Butzlaff, 2025)","plainCitation":"(Butzlaff, 2025)","noteIndex":0},"citationItems":[{"id":220,"uris":["http://zotero.org/users/local/IyRzUUWA/items/KRUHPVHD"],"itemData":{"id":220,"type":"article-journal","abstract":"A modernisation- and individualisation-induced loss of trust, membership, and voters has been addressed in party research for a while. However, social theory authors such as Beck, Bauman, Sennett, and Taylor have pointed to further organisational dilemmas that have not been addressed in depth: That demands for flexibility, individualisation and non-bindingness and demands for centralized political leadership might go hand in hand; and that notwithstanding increasing individualisation citizens might demand new forms of social collectives and belonging. In this article, I compare how different established party families perceive these contradictions and seek to create new party-society linkages. Based on a series of qualitative in-depth interviews with social democratic and conservative party functionaries, I emphasise that different party families and their reform attempts reflect individualisation, flexible and liquid identities differently and thus refashion the way citizens are linked with political parties and representative democracy.","container-title":"Party Politics","DOI":"10.1177/13540688241306727","ISSN":"1354-0688","issue":"2","note":"publisher: SAGE Publications Ltd","page":"217-227","source":"SAGE Journals","title":"Creating new participatory linkages? Political parties and democratisation in Germany, Austria, and the UK","title-short":"Creating new participatory linkages?","volume":"31","author":[{"family":"Butzlaff","given":"Felix"}],"issued":{"date-parts":[["2025",3,1]]}}}],"schema":"https://github.com/citation-style-language/schema/raw/master/csl-citation.json"} </w:instrText>
      </w:r>
      <w:r w:rsidRPr="003F5679">
        <w:fldChar w:fldCharType="separate"/>
      </w:r>
      <w:r w:rsidRPr="003F5679">
        <w:t>(Butzlaff</w:t>
      </w:r>
      <w:r>
        <w:rPr>
          <w:rFonts w:hint="eastAsia"/>
        </w:rPr>
        <w:t xml:space="preserve">, </w:t>
      </w:r>
      <w:r w:rsidRPr="003F5679">
        <w:t>2025)</w:t>
      </w:r>
      <w:r w:rsidRPr="003F5679">
        <w:fldChar w:fldCharType="end"/>
      </w:r>
      <w:r w:rsidRPr="003F5679">
        <w:t>.</w:t>
      </w:r>
      <w:r w:rsidRPr="003F5679">
        <w:rPr>
          <w:rFonts w:hint="eastAsia"/>
        </w:rPr>
        <w:t xml:space="preserve"> </w:t>
      </w:r>
      <w:r w:rsidRPr="003F5679">
        <w:t>The political stability index fluctuates very little between 2019 and 2023, and the lower the political volatility index indicates the more stable the political development of the country.</w:t>
      </w:r>
      <w:r w:rsidRPr="003F5679">
        <w:rPr>
          <w:rFonts w:hint="eastAsia"/>
        </w:rPr>
        <w:t xml:space="preserve"> </w:t>
      </w:r>
      <w:r w:rsidRPr="003F5679">
        <w:t xml:space="preserve">This had a positive impact on the growth of the Domino's market in the UK. However, when wealthy nations invest in developing nations, political stability can play a big role </w:t>
      </w:r>
      <w:r w:rsidRPr="003F5679">
        <w:fldChar w:fldCharType="begin"/>
      </w:r>
      <w:r w:rsidRPr="003F5679">
        <w:instrText xml:space="preserve"> ADDIN ZOTERO_ITEM CSL_CITATION {"citationID":"VaONFDk3","properties":{"formattedCitation":"(Groznykh {\\i{}et al.}, 2020)","plainCitation":"(Groznykh et al., 2020)","noteIndex":0},"citationItems":[{"id":110,"uris":["http://zotero.org/users/local/IyRzUUWA/items/LQSNNW4K"],"itemData":{"id":110,"type":"article-journal","container-title":"Proceedings of CBU in Economics and Business","page":"76–83","source":"Google Scholar","title":"The role of political stability in foreign direct investment attraction: Cross-country analysis","title-short":"The role of political stability in foreign direct investment attraction","volume":"1","author":[{"family":"Groznykh","given":"Rogneda"},{"family":"Mariev","given":"Oleg"},{"family":"Plotnikov","given":"Sergey"},{"family":"Fominykh","given":"Maria"}],"issued":{"date-parts":[["2020"]]}}}],"schema":"https://github.com/citation-style-language/schema/raw/master/csl-citation.json"} </w:instrText>
      </w:r>
      <w:r w:rsidRPr="003F5679">
        <w:fldChar w:fldCharType="separate"/>
      </w:r>
      <w:r w:rsidRPr="003F5679">
        <w:rPr>
          <w:kern w:val="0"/>
        </w:rPr>
        <w:t xml:space="preserve">(Groznykh </w:t>
      </w:r>
      <w:r w:rsidRPr="003F5679">
        <w:rPr>
          <w:i/>
          <w:iCs/>
          <w:kern w:val="0"/>
        </w:rPr>
        <w:t>et al.</w:t>
      </w:r>
      <w:r w:rsidRPr="003F5679">
        <w:rPr>
          <w:kern w:val="0"/>
        </w:rPr>
        <w:t>, 2020)</w:t>
      </w:r>
      <w:r w:rsidRPr="003F5679">
        <w:fldChar w:fldCharType="end"/>
      </w:r>
      <w:r w:rsidRPr="003F5679">
        <w:t xml:space="preserve">. The long-term stability of the political can help to guarantee market stability to a certain degree, which will draw in more customers and propel Domino's operations forward. </w:t>
      </w:r>
      <w:r w:rsidRPr="003F5679">
        <w:rPr>
          <w:rFonts w:hint="eastAsia"/>
        </w:rPr>
        <w:t>Thus</w:t>
      </w:r>
      <w:r w:rsidRPr="003F5679">
        <w:t>, Domino will be able to access more investment opportunities in the UK market thanks to the country's stable political, which will promote steady growth going forward</w:t>
      </w:r>
      <w:r w:rsidRPr="003F5679">
        <w:rPr>
          <w:rFonts w:hint="eastAsia"/>
        </w:rPr>
        <w:t xml:space="preserve"> in the future</w:t>
      </w:r>
      <w:r w:rsidRPr="003F5679">
        <w:t>.</w:t>
      </w:r>
    </w:p>
    <w:p w14:paraId="3A85FE63" w14:textId="77777777" w:rsidR="00775689" w:rsidRPr="003F5679" w:rsidRDefault="00775689" w:rsidP="00775689">
      <w:pPr>
        <w:rPr>
          <w:sz w:val="24"/>
          <w:szCs w:val="24"/>
        </w:rPr>
      </w:pPr>
    </w:p>
    <w:p w14:paraId="417CF880" w14:textId="77777777" w:rsidR="00775689" w:rsidRPr="003F5679" w:rsidRDefault="00775689" w:rsidP="00775689">
      <w:r w:rsidRPr="003F5679">
        <w:t>Under Gov.uk (2024a), the UK government enacts worker protection laws, which outline the obligations of employers and employees and prohibit businesses from violating workers' rights. For Domino's, avoiding issues such as employment discrimination and unlawful termination is critical</w:t>
      </w:r>
      <w:r w:rsidRPr="003F5679">
        <w:rPr>
          <w:rFonts w:hint="eastAsia"/>
        </w:rPr>
        <w:t xml:space="preserve">. </w:t>
      </w:r>
      <w:r w:rsidRPr="003F5679">
        <w:t xml:space="preserve">Otherwise, it will affect the corporate image and reduce product sales. </w:t>
      </w:r>
    </w:p>
    <w:p w14:paraId="72562CD9" w14:textId="77777777" w:rsidR="00775689" w:rsidRPr="003F5679" w:rsidRDefault="00775689" w:rsidP="00775689"/>
    <w:p w14:paraId="6F0385AD" w14:textId="77777777" w:rsidR="00775689" w:rsidRPr="003F5679" w:rsidRDefault="00775689" w:rsidP="00775689">
      <w:r w:rsidRPr="003F5679">
        <w:t>Legal requirements for minimum hourly wages can increase operating costs, leading to problems such as inadequate funding chains for marketing activities.</w:t>
      </w:r>
      <w:r w:rsidRPr="003F5679">
        <w:rPr>
          <w:rFonts w:hint="eastAsia"/>
        </w:rPr>
        <w:t xml:space="preserve"> </w:t>
      </w:r>
      <w:r w:rsidRPr="003F5679">
        <w:t>The Office for National Statistics (2025) notes</w:t>
      </w:r>
      <w:r w:rsidRPr="003F5679">
        <w:rPr>
          <w:rFonts w:hint="eastAsia"/>
        </w:rPr>
        <w:t xml:space="preserve"> that</w:t>
      </w:r>
      <w:r w:rsidRPr="003F5679">
        <w:t xml:space="preserve"> </w:t>
      </w:r>
      <w:r w:rsidRPr="003F5679">
        <w:rPr>
          <w:rFonts w:hint="eastAsia"/>
        </w:rPr>
        <w:t>the</w:t>
      </w:r>
      <w:r w:rsidRPr="003F5679">
        <w:t xml:space="preserve"> employment costs </w:t>
      </w:r>
      <w:r w:rsidRPr="003F5679">
        <w:rPr>
          <w:rFonts w:hint="eastAsia"/>
        </w:rPr>
        <w:t xml:space="preserve">of </w:t>
      </w:r>
      <w:r w:rsidRPr="003F5679">
        <w:t xml:space="preserve">UK </w:t>
      </w:r>
      <w:r w:rsidRPr="003F5679">
        <w:rPr>
          <w:rFonts w:hint="eastAsia"/>
        </w:rPr>
        <w:t xml:space="preserve">are </w:t>
      </w:r>
      <w:r w:rsidRPr="003F5679">
        <w:t>rising</w:t>
      </w:r>
      <w:r w:rsidRPr="003F5679">
        <w:rPr>
          <w:rFonts w:hint="eastAsia"/>
        </w:rPr>
        <w:t xml:space="preserve"> year by year.</w:t>
      </w:r>
      <w:r w:rsidRPr="003F5679">
        <w:t xml:space="preserve"> This is because the minimum wage in the UK is increasing </w:t>
      </w:r>
      <w:r w:rsidRPr="003F5679">
        <w:rPr>
          <w:rFonts w:hint="eastAsia"/>
        </w:rPr>
        <w:t>constantly</w:t>
      </w:r>
      <w:r w:rsidRPr="003F5679">
        <w:t>. Rees (2025) analysis that the Labour government's payroll tax and substantial increases in the minimum wage resulted in a year-on-year increase in tax revenues in the UK. Therefore, although this measure can guarantee the basic living needs of some low-income people to a certain extent, it aggravates the overall human resource investment and financial management problems and increases the operating costs of enterprises.</w:t>
      </w:r>
      <w:r w:rsidRPr="003F5679">
        <w:rPr>
          <w:rFonts w:hint="eastAsia"/>
        </w:rPr>
        <w:t xml:space="preserve"> For </w:t>
      </w:r>
      <w:r w:rsidRPr="003F5679">
        <w:t>Domino</w:t>
      </w:r>
      <w:r>
        <w:t>’</w:t>
      </w:r>
      <w:r w:rsidRPr="003F5679">
        <w:t>s</w:t>
      </w:r>
      <w:r w:rsidRPr="003F5679">
        <w:rPr>
          <w:rFonts w:hint="eastAsia"/>
        </w:rPr>
        <w:t>, it</w:t>
      </w:r>
      <w:r w:rsidRPr="003F5679">
        <w:t xml:space="preserve"> may need to innovate new products and enhance the value of existing offerings to justify future investments in human capital.</w:t>
      </w:r>
    </w:p>
    <w:p w14:paraId="752C3FFF" w14:textId="77777777" w:rsidR="00775689" w:rsidRPr="003F5679" w:rsidRDefault="00775689" w:rsidP="00775689">
      <w:pPr>
        <w:pStyle w:val="2"/>
      </w:pPr>
      <w:bookmarkStart w:id="5" w:name="_Toc193310650"/>
      <w:r w:rsidRPr="003F5679">
        <w:t>2.2 Economic</w:t>
      </w:r>
      <w:bookmarkEnd w:id="5"/>
    </w:p>
    <w:p w14:paraId="3DA0071C" w14:textId="77777777" w:rsidR="00775689" w:rsidRDefault="00775689" w:rsidP="00775689">
      <w:r w:rsidRPr="003F5679">
        <w:t>The inflation rate has caused the cost of living in the UK to rise, which affects the rate of consumers buying pizza.</w:t>
      </w:r>
      <w:r w:rsidRPr="003F5679">
        <w:rPr>
          <w:rFonts w:hint="eastAsia"/>
        </w:rPr>
        <w:t xml:space="preserve"> </w:t>
      </w:r>
      <w:r w:rsidRPr="003F5679">
        <w:t>According to I</w:t>
      </w:r>
      <w:r w:rsidRPr="003F5679">
        <w:rPr>
          <w:rFonts w:hint="eastAsia"/>
        </w:rPr>
        <w:t>nflation tool</w:t>
      </w:r>
      <w:r w:rsidRPr="003F5679">
        <w:t xml:space="preserve"> (2025), the UK's inflation rate rise from 0.8% to 9.2% between 2020 and 2022. The UK's decision to leave the European Union is one of the primary causes of this phenomenon (Breinlich </w:t>
      </w:r>
      <w:r w:rsidRPr="003F5679">
        <w:rPr>
          <w:i/>
          <w:iCs/>
        </w:rPr>
        <w:t>et al</w:t>
      </w:r>
      <w:r w:rsidRPr="003F5679">
        <w:rPr>
          <w:rFonts w:hint="eastAsia"/>
          <w:i/>
          <w:iCs/>
        </w:rPr>
        <w:t>.</w:t>
      </w:r>
      <w:r w:rsidRPr="003F5679">
        <w:t xml:space="preserve">, 2022). Excessive inflation results in price increase, which in Domino's raises the cost of labour, raw materials, and overheads, all of which impede the company's ability to </w:t>
      </w:r>
      <w:r w:rsidRPr="003F5679">
        <w:lastRenderedPageBreak/>
        <w:t xml:space="preserve">expand. </w:t>
      </w:r>
    </w:p>
    <w:p w14:paraId="3F3D7F2F" w14:textId="77777777" w:rsidR="00775689" w:rsidRPr="003F5679" w:rsidRDefault="00775689" w:rsidP="00775689">
      <w:pPr>
        <w:pStyle w:val="af"/>
        <w:keepNext/>
        <w:jc w:val="center"/>
        <w:rPr>
          <w:rFonts w:ascii="Times New Roman" w:hAnsi="Times New Roman" w:cs="Times New Roman"/>
          <w:sz w:val="24"/>
          <w:szCs w:val="24"/>
        </w:rPr>
      </w:pPr>
      <w:r w:rsidRPr="003F5679">
        <w:rPr>
          <w:rFonts w:ascii="Times New Roman" w:hAnsi="Times New Roman" w:cs="Times New Roman"/>
          <w:sz w:val="24"/>
          <w:szCs w:val="24"/>
        </w:rPr>
        <w:t xml:space="preserve">Table </w:t>
      </w:r>
      <w:r w:rsidRPr="003F5679">
        <w:rPr>
          <w:rFonts w:ascii="Times New Roman" w:hAnsi="Times New Roman" w:cs="Times New Roman"/>
          <w:sz w:val="24"/>
          <w:szCs w:val="24"/>
        </w:rPr>
        <w:fldChar w:fldCharType="begin"/>
      </w:r>
      <w:r w:rsidRPr="003F5679">
        <w:rPr>
          <w:rFonts w:ascii="Times New Roman" w:hAnsi="Times New Roman" w:cs="Times New Roman"/>
          <w:sz w:val="24"/>
          <w:szCs w:val="24"/>
        </w:rPr>
        <w:instrText xml:space="preserve"> SEQ Table \* ARABIC </w:instrText>
      </w:r>
      <w:r w:rsidRPr="003F5679">
        <w:rPr>
          <w:rFonts w:ascii="Times New Roman" w:hAnsi="Times New Roman" w:cs="Times New Roman"/>
          <w:sz w:val="24"/>
          <w:szCs w:val="24"/>
        </w:rPr>
        <w:fldChar w:fldCharType="separate"/>
      </w:r>
      <w:r w:rsidRPr="003F5679">
        <w:rPr>
          <w:rFonts w:ascii="Times New Roman" w:hAnsi="Times New Roman" w:cs="Times New Roman"/>
          <w:sz w:val="24"/>
          <w:szCs w:val="24"/>
        </w:rPr>
        <w:t>2</w:t>
      </w:r>
      <w:r w:rsidRPr="003F5679">
        <w:rPr>
          <w:rFonts w:ascii="Times New Roman" w:hAnsi="Times New Roman" w:cs="Times New Roman"/>
          <w:sz w:val="24"/>
          <w:szCs w:val="24"/>
        </w:rPr>
        <w:fldChar w:fldCharType="end"/>
      </w:r>
      <w:r w:rsidRPr="003F5679">
        <w:rPr>
          <w:rFonts w:ascii="Times New Roman" w:hAnsi="Times New Roman" w:cs="Times New Roman"/>
          <w:sz w:val="24"/>
          <w:szCs w:val="24"/>
        </w:rPr>
        <w:t xml:space="preserve"> United Kingdom Inflation Rate</w:t>
      </w:r>
    </w:p>
    <w:p w14:paraId="354508E3" w14:textId="77777777" w:rsidR="00775689" w:rsidRPr="003F5679" w:rsidRDefault="00775689" w:rsidP="00775689">
      <w:pPr>
        <w:jc w:val="center"/>
      </w:pPr>
      <w:r w:rsidRPr="003F5679">
        <w:rPr>
          <w:noProof/>
        </w:rPr>
        <w:drawing>
          <wp:inline distT="0" distB="0" distL="0" distR="0" wp14:anchorId="5FE3246C" wp14:editId="27F93979">
            <wp:extent cx="5199049" cy="2027321"/>
            <wp:effectExtent l="0" t="0" r="1905" b="0"/>
            <wp:docPr id="585996944" name="图片 1" descr="图表, 条形图&#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5996944" name="图片 1" descr="图表, 条形图&#10;&#10;AI 生成的内容可能不正确。"/>
                    <pic:cNvPicPr/>
                  </pic:nvPicPr>
                  <pic:blipFill>
                    <a:blip r:embed="rId5"/>
                    <a:stretch>
                      <a:fillRect/>
                    </a:stretch>
                  </pic:blipFill>
                  <pic:spPr>
                    <a:xfrm>
                      <a:off x="0" y="0"/>
                      <a:ext cx="5232650" cy="2040424"/>
                    </a:xfrm>
                    <a:prstGeom prst="rect">
                      <a:avLst/>
                    </a:prstGeom>
                  </pic:spPr>
                </pic:pic>
              </a:graphicData>
            </a:graphic>
          </wp:inline>
        </w:drawing>
      </w:r>
    </w:p>
    <w:p w14:paraId="3472CC00" w14:textId="77777777" w:rsidR="00775689" w:rsidRPr="00755CA9" w:rsidRDefault="00775689" w:rsidP="00775689">
      <w:pPr>
        <w:jc w:val="center"/>
        <w:rPr>
          <w:sz w:val="24"/>
          <w:szCs w:val="24"/>
        </w:rPr>
      </w:pPr>
      <w:r w:rsidRPr="003F5679">
        <w:rPr>
          <w:sz w:val="24"/>
          <w:szCs w:val="24"/>
        </w:rPr>
        <w:t>Source</w:t>
      </w:r>
      <w:r w:rsidRPr="003F5679">
        <w:rPr>
          <w:sz w:val="24"/>
          <w:szCs w:val="24"/>
        </w:rPr>
        <w:t>：</w:t>
      </w:r>
      <w:r w:rsidRPr="003F5679">
        <w:rPr>
          <w:sz w:val="24"/>
          <w:szCs w:val="24"/>
        </w:rPr>
        <w:t>INFLATIONTOOL, January 2025</w:t>
      </w:r>
    </w:p>
    <w:p w14:paraId="3308E62E" w14:textId="77777777" w:rsidR="00775689" w:rsidRPr="003F5679" w:rsidRDefault="00775689" w:rsidP="00775689">
      <w:r w:rsidRPr="003F5679">
        <w:t xml:space="preserve">Inflation also significantly restricts economic growth and individual purchasing power (Shebl, Abd Elhady, and Refaat, 2021). But other factors can also have an impact on economic growth, such as wealth inequality, war, and financial crisis (Wang, 2024). This makes it harder for </w:t>
      </w:r>
      <w:r w:rsidRPr="003F5679">
        <w:rPr>
          <w:rFonts w:hint="eastAsia"/>
        </w:rPr>
        <w:t>Dominos</w:t>
      </w:r>
      <w:r w:rsidRPr="003F5679">
        <w:t xml:space="preserve"> to make profit from consumer spending. Furthermore, a high rate of inflation will raise people's living expenses and add to life's stress (Amores </w:t>
      </w:r>
      <w:r w:rsidRPr="003F5679">
        <w:rPr>
          <w:i/>
          <w:iCs/>
        </w:rPr>
        <w:t>et al.</w:t>
      </w:r>
      <w:r w:rsidRPr="003F5679">
        <w:rPr>
          <w:rFonts w:hint="eastAsia"/>
          <w:i/>
          <w:iCs/>
        </w:rPr>
        <w:t>,</w:t>
      </w:r>
      <w:r w:rsidRPr="003F5679">
        <w:t xml:space="preserve"> 2025). </w:t>
      </w:r>
      <w:r w:rsidRPr="003F5679">
        <w:rPr>
          <w:rFonts w:hint="eastAsia"/>
        </w:rPr>
        <w:t>Thus</w:t>
      </w:r>
      <w:r w:rsidRPr="003F5679">
        <w:t xml:space="preserve">, the high rate of inflation in the UK will have an impact on both </w:t>
      </w:r>
      <w:r w:rsidRPr="003F5679">
        <w:rPr>
          <w:rFonts w:hint="eastAsia"/>
        </w:rPr>
        <w:t xml:space="preserve">consumer buying </w:t>
      </w:r>
      <w:r>
        <w:rPr>
          <w:rFonts w:hint="eastAsia"/>
        </w:rPr>
        <w:t>Domino</w:t>
      </w:r>
      <w:r>
        <w:t>’</w:t>
      </w:r>
      <w:r>
        <w:rPr>
          <w:rFonts w:hint="eastAsia"/>
        </w:rPr>
        <w:t>s</w:t>
      </w:r>
      <w:r w:rsidRPr="003F5679">
        <w:rPr>
          <w:rFonts w:hint="eastAsia"/>
        </w:rPr>
        <w:t xml:space="preserve"> products </w:t>
      </w:r>
      <w:r w:rsidRPr="003F5679">
        <w:t>and the burden on average households' living expenses.</w:t>
      </w:r>
    </w:p>
    <w:p w14:paraId="777345CE" w14:textId="77777777" w:rsidR="00775689" w:rsidRPr="003F5679" w:rsidRDefault="00775689" w:rsidP="00775689">
      <w:pPr>
        <w:pStyle w:val="2"/>
      </w:pPr>
      <w:bookmarkStart w:id="6" w:name="_Toc193310651"/>
      <w:r w:rsidRPr="003F5679">
        <w:t>2.</w:t>
      </w:r>
      <w:r w:rsidRPr="003F5679">
        <w:rPr>
          <w:rFonts w:eastAsiaTheme="minorEastAsia"/>
        </w:rPr>
        <w:t>3</w:t>
      </w:r>
      <w:r w:rsidRPr="003F5679">
        <w:t xml:space="preserve"> Technological</w:t>
      </w:r>
      <w:bookmarkEnd w:id="6"/>
    </w:p>
    <w:p w14:paraId="1C49DA89" w14:textId="77777777" w:rsidR="00775689" w:rsidRPr="003F5679" w:rsidRDefault="00775689" w:rsidP="00775689">
      <w:r w:rsidRPr="003F5679">
        <w:t xml:space="preserve">E-payment has become a widely used method due to rapid technological advancements (Darma and Noviana, 2020). </w:t>
      </w:r>
      <w:r w:rsidRPr="003F5679">
        <w:rPr>
          <w:rFonts w:hint="eastAsia"/>
        </w:rPr>
        <w:t>E</w:t>
      </w:r>
      <w:r w:rsidRPr="003F5679">
        <w:t xml:space="preserve">-payments are more portable than traditional methods like cash and cards, saving time for customers and improving business efficiency (Najib </w:t>
      </w:r>
      <w:r w:rsidRPr="003F5679">
        <w:rPr>
          <w:i/>
          <w:iCs/>
        </w:rPr>
        <w:t>et al.</w:t>
      </w:r>
      <w:r w:rsidRPr="003F5679">
        <w:rPr>
          <w:rFonts w:hint="eastAsia"/>
          <w:i/>
          <w:iCs/>
        </w:rPr>
        <w:t xml:space="preserve">, </w:t>
      </w:r>
      <w:r w:rsidRPr="003F5679">
        <w:t xml:space="preserve">2021). Additionally, online </w:t>
      </w:r>
      <w:r w:rsidRPr="003F5679">
        <w:lastRenderedPageBreak/>
        <w:t>food delivery platforms have driven industry growth, enabling customers to easily access products via mobile devices (Ghelani and Hua, 2022). Domino's must leverage technology to enhance its operations and adapt to market changes. Thus, the rise of e-payment technologies is pushing Domino's and the fast-food industry toward greater speed and convenience.</w:t>
      </w:r>
    </w:p>
    <w:p w14:paraId="5851866C" w14:textId="77777777" w:rsidR="00775689" w:rsidRPr="003F5679" w:rsidRDefault="00775689" w:rsidP="00775689"/>
    <w:p w14:paraId="4A9EB01B" w14:textId="77777777" w:rsidR="00775689" w:rsidRPr="003F5679" w:rsidRDefault="00775689" w:rsidP="00775689">
      <w:r w:rsidRPr="003F5679">
        <w:t xml:space="preserve">Automated kitchens are increasingly relevant in the modern restaurant industry due to advancements in innovative technologies. </w:t>
      </w:r>
      <w:bookmarkStart w:id="7" w:name="OLE_LINK3"/>
      <w:r w:rsidRPr="003F5679">
        <w:t>Robotic kitchens</w:t>
      </w:r>
      <w:bookmarkEnd w:id="7"/>
      <w:r w:rsidRPr="003F5679">
        <w:t xml:space="preserve"> offer customers new experiences, engaging services, and enhanced comfort (Barakazi, 2022). The development of robotic technology in the catering sector can significantly boost business efficiency, as standardized product creation ensures consistent quality and minimal flavour variation across stores. But</w:t>
      </w:r>
      <w:r w:rsidRPr="003F5679">
        <w:rPr>
          <w:rFonts w:hint="eastAsia"/>
        </w:rPr>
        <w:t xml:space="preserve"> a</w:t>
      </w:r>
      <w:r w:rsidRPr="003F5679">
        <w:t xml:space="preserve"> major concern about using robots in kitchens is their lack of human emotion, which may reduce creativity (Cha</w:t>
      </w:r>
      <w:r w:rsidRPr="003F5679">
        <w:rPr>
          <w:i/>
          <w:iCs/>
        </w:rPr>
        <w:t xml:space="preserve"> et al.,</w:t>
      </w:r>
      <w:r w:rsidRPr="003F5679">
        <w:t xml:space="preserve"> 2015, p.319). The advent of automated kitchen technology could help Domino's increase the production of pizza products and improve service efficiency.</w:t>
      </w:r>
    </w:p>
    <w:p w14:paraId="44D6D19A" w14:textId="77777777" w:rsidR="00775689" w:rsidRPr="003F5679" w:rsidRDefault="00775689" w:rsidP="00775689"/>
    <w:p w14:paraId="0033D9F7" w14:textId="77777777" w:rsidR="00775689" w:rsidRPr="003F5679" w:rsidRDefault="00775689" w:rsidP="00775689">
      <w:r w:rsidRPr="003F5679">
        <w:t>Additionally, emotional communication is essential for optimal customer service, something robots cannot provide. While Domino's can use this technology to reduce labour costs and enhance food production, human oversight will always be necessary to mitigate potential risks during production.</w:t>
      </w:r>
    </w:p>
    <w:p w14:paraId="603D841D" w14:textId="77777777" w:rsidR="00775689" w:rsidRPr="003F5679" w:rsidRDefault="00775689" w:rsidP="00775689"/>
    <w:p w14:paraId="33022CE5" w14:textId="77777777" w:rsidR="00775689" w:rsidRDefault="00775689" w:rsidP="00775689">
      <w:r w:rsidRPr="003F5679">
        <w:t>To sum up, the low political stability coefficient in recent years has a protective effect on the development of enterprises. But labour protection laws and minimum hourly wage policies can raise the cost of doing business. On the technical level, the development of electronic payment methods and automation technology can help enterprises improve service level and sales quality.</w:t>
      </w:r>
    </w:p>
    <w:p w14:paraId="758125AE" w14:textId="77777777" w:rsidR="00775689" w:rsidRPr="003F5679" w:rsidRDefault="00775689" w:rsidP="00775689"/>
    <w:p w14:paraId="768F71E7" w14:textId="77777777" w:rsidR="00775689" w:rsidRPr="003F5679" w:rsidRDefault="00775689" w:rsidP="00775689">
      <w:pPr>
        <w:pStyle w:val="1"/>
      </w:pPr>
      <w:bookmarkStart w:id="8" w:name="_Toc193310652"/>
      <w:r w:rsidRPr="003F5679">
        <w:t xml:space="preserve">3.0 Microenvironment </w:t>
      </w:r>
      <w:r>
        <w:rPr>
          <w:rFonts w:hint="eastAsia"/>
        </w:rPr>
        <w:t>A</w:t>
      </w:r>
      <w:r w:rsidRPr="003F5679">
        <w:t>nalysis</w:t>
      </w:r>
      <w:bookmarkEnd w:id="8"/>
    </w:p>
    <w:p w14:paraId="7811A81F" w14:textId="77777777" w:rsidR="00775689" w:rsidRPr="003F5679" w:rsidRDefault="00775689" w:rsidP="00775689">
      <w:pPr>
        <w:pStyle w:val="TOC1"/>
      </w:pPr>
      <w:r w:rsidRPr="003F5679">
        <w:t xml:space="preserve">Porter </w:t>
      </w:r>
      <w:r>
        <w:rPr>
          <w:rFonts w:hint="eastAsia"/>
        </w:rPr>
        <w:t>F</w:t>
      </w:r>
      <w:r w:rsidRPr="003F5679">
        <w:t xml:space="preserve">ive </w:t>
      </w:r>
      <w:r>
        <w:rPr>
          <w:rFonts w:hint="eastAsia"/>
        </w:rPr>
        <w:t>F</w:t>
      </w:r>
      <w:r w:rsidRPr="003F5679">
        <w:t>orce model is a theoretical model that helps enterprises analyse market competition conditions and establish competitive advantages (Goyal, 2020). When using this model, avoid making the analysis too subjective and skewing the results</w:t>
      </w:r>
      <w:r w:rsidRPr="003F5679">
        <w:rPr>
          <w:rFonts w:hint="eastAsia"/>
        </w:rPr>
        <w:t xml:space="preserve"> </w:t>
      </w:r>
      <w:r w:rsidRPr="003F5679">
        <w:t>(Pangarkar and Prabhudesai, 2024)</w:t>
      </w:r>
      <w:r w:rsidRPr="003F5679">
        <w:rPr>
          <w:rFonts w:hint="eastAsia"/>
        </w:rPr>
        <w:t xml:space="preserve">. </w:t>
      </w:r>
    </w:p>
    <w:p w14:paraId="586B9B2E" w14:textId="77777777" w:rsidR="00775689" w:rsidRPr="003F5679" w:rsidRDefault="00775689" w:rsidP="00775689">
      <w:pPr>
        <w:pStyle w:val="2"/>
      </w:pPr>
      <w:bookmarkStart w:id="9" w:name="_Toc193310653"/>
      <w:r w:rsidRPr="003F5679">
        <w:t>3.1 Threat of New Entrants</w:t>
      </w:r>
      <w:bookmarkEnd w:id="9"/>
    </w:p>
    <w:p w14:paraId="332D1F89" w14:textId="77777777" w:rsidR="00775689" w:rsidRPr="003F5679" w:rsidRDefault="00775689" w:rsidP="00775689">
      <w:pPr>
        <w:rPr>
          <w:kern w:val="2"/>
        </w:rPr>
      </w:pPr>
      <w:r w:rsidRPr="003F5679">
        <w:rPr>
          <w:kern w:val="2"/>
        </w:rPr>
        <w:t>The pizza industry has higher barriers to entry, which means new entrants pose less of a threat to Domino's.</w:t>
      </w:r>
      <w:r w:rsidRPr="003F5679">
        <w:rPr>
          <w:rFonts w:hint="eastAsia"/>
          <w:kern w:val="2"/>
        </w:rPr>
        <w:t xml:space="preserve"> </w:t>
      </w:r>
      <w:r w:rsidRPr="003F5679">
        <w:rPr>
          <w:kern w:val="2"/>
        </w:rPr>
        <w:t xml:space="preserve">Statista (2023) notes the popularity of supermarket frozen pizza brands like Tesco, ASDA, and Sainsbury's, reflecting intense competition. </w:t>
      </w:r>
      <w:r>
        <w:rPr>
          <w:kern w:val="2"/>
        </w:rPr>
        <w:t>Domino’s</w:t>
      </w:r>
      <w:r w:rsidRPr="003F5679">
        <w:rPr>
          <w:kern w:val="2"/>
        </w:rPr>
        <w:t xml:space="preserve"> competes with both pizza manufacturers and supermarkets offering pizza as a byproduct, yet its strong brand has helped it outperform rivals like Pizza Hut (Shikarwar, 2023). Stakeholders have also praised Domino's supply chain management </w:t>
      </w:r>
      <w:r w:rsidRPr="003F5679">
        <w:rPr>
          <w:kern w:val="2"/>
        </w:rPr>
        <w:lastRenderedPageBreak/>
        <w:t xml:space="preserve">(SULE </w:t>
      </w:r>
      <w:r w:rsidRPr="003F5679">
        <w:rPr>
          <w:i/>
          <w:iCs/>
          <w:kern w:val="2"/>
        </w:rPr>
        <w:t>et al.,</w:t>
      </w:r>
      <w:r w:rsidRPr="003F5679">
        <w:rPr>
          <w:kern w:val="2"/>
        </w:rPr>
        <w:t xml:space="preserve"> 2020), further solidifying its market position. These strengths mitigate the risk of new competitors disrupting its operations.</w:t>
      </w:r>
    </w:p>
    <w:p w14:paraId="651F8CDB" w14:textId="77777777" w:rsidR="00775689" w:rsidRPr="003F5679" w:rsidRDefault="00775689" w:rsidP="00775689">
      <w:pPr>
        <w:pStyle w:val="2"/>
      </w:pPr>
      <w:bookmarkStart w:id="10" w:name="_Toc193310654"/>
      <w:r w:rsidRPr="003F5679">
        <w:t>3.2 Bargaining Power of Suppliers</w:t>
      </w:r>
      <w:bookmarkEnd w:id="10"/>
    </w:p>
    <w:p w14:paraId="066B8F58" w14:textId="77777777" w:rsidR="00775689" w:rsidRPr="003F5679" w:rsidRDefault="00775689" w:rsidP="00775689">
      <w:pPr>
        <w:pStyle w:val="TOC1"/>
      </w:pPr>
      <w:r w:rsidRPr="003F5679">
        <w:t>Bhatt and Singhi (2020) state that suppliers have limited bargaining power because no other business can generate as much revenue as Domino's, making Domino's a critical client they cannot afford to lose. Additionally, Domino's implements specific procedures and tools to mitigate human rights risks in its supply chain and provides training to specialized business partners (Domino, 2025</w:t>
      </w:r>
      <w:r w:rsidRPr="003F5679">
        <w:rPr>
          <w:rFonts w:hint="eastAsia"/>
        </w:rPr>
        <w:t>b</w:t>
      </w:r>
      <w:r w:rsidRPr="003F5679">
        <w:t>), showcasing its efforts to strengthen supplier relationships. These collaborative strategies, combined with Domino's strong brand appeal, have effectively reduced supplier bargaining power.</w:t>
      </w:r>
    </w:p>
    <w:p w14:paraId="6766D804" w14:textId="77777777" w:rsidR="00775689" w:rsidRPr="003F5679" w:rsidRDefault="00775689" w:rsidP="00775689">
      <w:pPr>
        <w:pStyle w:val="2"/>
      </w:pPr>
      <w:bookmarkStart w:id="11" w:name="_Toc193310655"/>
      <w:r w:rsidRPr="003F5679">
        <w:t>3.3 Bargaining Power of Buyers</w:t>
      </w:r>
      <w:bookmarkEnd w:id="11"/>
    </w:p>
    <w:p w14:paraId="6F7A025E" w14:textId="77777777" w:rsidR="00775689" w:rsidRPr="003F5679" w:rsidRDefault="00775689" w:rsidP="00775689">
      <w:pPr>
        <w:rPr>
          <w:kern w:val="2"/>
        </w:rPr>
      </w:pPr>
      <w:r w:rsidRPr="003F5679">
        <w:rPr>
          <w:kern w:val="2"/>
        </w:rPr>
        <w:t>Domino's customers have relatively high bargaining power, because Domino's main consumer group is young people, and these consumers are more price sensitive.</w:t>
      </w:r>
      <w:r w:rsidRPr="003F5679">
        <w:rPr>
          <w:rFonts w:hint="eastAsia"/>
          <w:kern w:val="2"/>
        </w:rPr>
        <w:t xml:space="preserve"> </w:t>
      </w:r>
      <w:r w:rsidRPr="003F5679">
        <w:rPr>
          <w:kern w:val="2"/>
        </w:rPr>
        <w:t xml:space="preserve">Domino's primary customer base is younger individuals aged 15 to 40, drawn by the convenience of fast food and the brand's digital expertise (KeeganEdwards, 2024). Saxena, Masand, and Barath (2022) highlight that income and education influence fast food choices, with affordability and convenience being key motivators for younger consumers, who have limited bargaining power due to their price sensitivity. </w:t>
      </w:r>
    </w:p>
    <w:p w14:paraId="36B9C616" w14:textId="77777777" w:rsidR="00775689" w:rsidRPr="003F5679" w:rsidRDefault="00775689" w:rsidP="00775689">
      <w:pPr>
        <w:pStyle w:val="2"/>
      </w:pPr>
      <w:bookmarkStart w:id="12" w:name="_Toc193310656"/>
      <w:r w:rsidRPr="003F5679">
        <w:lastRenderedPageBreak/>
        <w:t xml:space="preserve">3.4 </w:t>
      </w:r>
      <w:bookmarkStart w:id="13" w:name="OLE_LINK1"/>
      <w:r w:rsidRPr="003F5679">
        <w:t>Threat of Substitutes</w:t>
      </w:r>
      <w:bookmarkEnd w:id="12"/>
      <w:bookmarkEnd w:id="13"/>
    </w:p>
    <w:p w14:paraId="0FF1103D" w14:textId="77777777" w:rsidR="00775689" w:rsidRPr="003F5679" w:rsidRDefault="00775689" w:rsidP="00775689">
      <w:pPr>
        <w:rPr>
          <w:kern w:val="2"/>
        </w:rPr>
      </w:pPr>
      <w:r w:rsidRPr="003F5679">
        <w:rPr>
          <w:kern w:val="2"/>
        </w:rPr>
        <w:t>Domino's substitutes are more of a threat, because consumers' dietary attitudes have changed.</w:t>
      </w:r>
      <w:r w:rsidRPr="003F5679">
        <w:rPr>
          <w:rFonts w:hint="eastAsia"/>
          <w:kern w:val="2"/>
        </w:rPr>
        <w:t xml:space="preserve"> </w:t>
      </w:r>
      <w:r w:rsidRPr="003F5679">
        <w:rPr>
          <w:kern w:val="2"/>
        </w:rPr>
        <w:t xml:space="preserve">Pizza competes with other fast-food categories in the UK, with chocolate (37%), chips (32%), and takeout pizza (31%) being the most popular junk food items, while hamburgers (18%) and French fries (16%) are less favoured (YouGov, 2022). This suggests some UK consumers view pizza as just another junk food option, potentially threatening Domino's market share. Additionally, 70% of UK consumers prioritize vegetables and dairy in their daily diets, reflecting a shift toward healthier, organic foods (YouGov, 2022). </w:t>
      </w:r>
      <w:r w:rsidRPr="003F5679">
        <w:rPr>
          <w:rFonts w:hint="eastAsia"/>
          <w:kern w:val="2"/>
        </w:rPr>
        <w:t>Thus</w:t>
      </w:r>
      <w:r w:rsidRPr="003F5679">
        <w:rPr>
          <w:kern w:val="2"/>
        </w:rPr>
        <w:t>, Domino's must strengthen brand loyalty and adapt its offerings to align with changing consumer preferences to maintain its market position.</w:t>
      </w:r>
    </w:p>
    <w:p w14:paraId="2E08AA43" w14:textId="77777777" w:rsidR="00775689" w:rsidRPr="003F5679" w:rsidRDefault="00775689" w:rsidP="00775689">
      <w:pPr>
        <w:pStyle w:val="2"/>
      </w:pPr>
      <w:bookmarkStart w:id="14" w:name="_Toc193310657"/>
      <w:r w:rsidRPr="003F5679">
        <w:t>3.5 Competitor Rivalry</w:t>
      </w:r>
      <w:bookmarkEnd w:id="14"/>
    </w:p>
    <w:p w14:paraId="1D78855D" w14:textId="77777777" w:rsidR="00775689" w:rsidRPr="003F5679" w:rsidRDefault="00775689" w:rsidP="00775689">
      <w:pPr>
        <w:widowControl/>
        <w:rPr>
          <w:kern w:val="2"/>
        </w:rPr>
      </w:pPr>
      <w:r w:rsidRPr="003F5679">
        <w:rPr>
          <w:kern w:val="2"/>
        </w:rPr>
        <w:t xml:space="preserve">Fierce competition in the UK fast food industry will impact Domino's revenues. The fast-food market </w:t>
      </w:r>
      <w:r w:rsidRPr="003F5679">
        <w:rPr>
          <w:rFonts w:hint="eastAsia"/>
          <w:kern w:val="2"/>
        </w:rPr>
        <w:t xml:space="preserve">was </w:t>
      </w:r>
      <w:r w:rsidRPr="003F5679">
        <w:rPr>
          <w:kern w:val="2"/>
        </w:rPr>
        <w:t>reach</w:t>
      </w:r>
      <w:r w:rsidRPr="003F5679">
        <w:rPr>
          <w:rFonts w:hint="eastAsia"/>
          <w:kern w:val="2"/>
        </w:rPr>
        <w:t>ed</w:t>
      </w:r>
      <w:r w:rsidRPr="003F5679">
        <w:rPr>
          <w:kern w:val="2"/>
        </w:rPr>
        <w:t xml:space="preserve"> £37.9 billion by 2024 (Mintel, 2024), attracting potential competitors. The market is already saturated with established players like KFC, McDonald's, and Subway (Whittleton, 2021), intensifying competition. To enhance market competitiveness, Domino's must expand its product line and diversify revenue streams.</w:t>
      </w:r>
    </w:p>
    <w:p w14:paraId="33A0FD07" w14:textId="77777777" w:rsidR="00775689" w:rsidRPr="003F5679" w:rsidRDefault="00775689" w:rsidP="00775689">
      <w:pPr>
        <w:widowControl/>
        <w:rPr>
          <w:kern w:val="2"/>
        </w:rPr>
      </w:pPr>
    </w:p>
    <w:p w14:paraId="4217D0E1" w14:textId="77777777" w:rsidR="00775689" w:rsidRDefault="00775689" w:rsidP="00775689">
      <w:pPr>
        <w:widowControl/>
        <w:rPr>
          <w:kern w:val="2"/>
        </w:rPr>
      </w:pPr>
      <w:r w:rsidRPr="003F5679">
        <w:rPr>
          <w:kern w:val="2"/>
        </w:rPr>
        <w:t xml:space="preserve">To sum up, the threat of new competitors entering the market is less, and the bargaining power of suppliers is lower. However, the bargaining power </w:t>
      </w:r>
      <w:r w:rsidRPr="003F5679">
        <w:rPr>
          <w:kern w:val="2"/>
        </w:rPr>
        <w:lastRenderedPageBreak/>
        <w:t>of consumers, the threat of substitutes and the market competition are relatively high</w:t>
      </w:r>
    </w:p>
    <w:p w14:paraId="26B531B0" w14:textId="77777777" w:rsidR="00775689" w:rsidRPr="003F5679" w:rsidRDefault="00775689" w:rsidP="00775689">
      <w:pPr>
        <w:widowControl/>
        <w:rPr>
          <w:kern w:val="2"/>
        </w:rPr>
      </w:pPr>
    </w:p>
    <w:p w14:paraId="104000A3" w14:textId="77777777" w:rsidR="00775689" w:rsidRPr="003F5679" w:rsidRDefault="00775689" w:rsidP="00775689">
      <w:pPr>
        <w:pStyle w:val="1"/>
      </w:pPr>
      <w:bookmarkStart w:id="15" w:name="_Toc193310658"/>
      <w:r w:rsidRPr="003F5679">
        <w:t xml:space="preserve">4.0 Internal </w:t>
      </w:r>
      <w:r>
        <w:rPr>
          <w:rFonts w:hint="eastAsia"/>
        </w:rPr>
        <w:t>A</w:t>
      </w:r>
      <w:r w:rsidRPr="003F5679">
        <w:t>nalysis</w:t>
      </w:r>
      <w:bookmarkEnd w:id="15"/>
    </w:p>
    <w:p w14:paraId="02651C93" w14:textId="77777777" w:rsidR="00775689" w:rsidRPr="003F5679" w:rsidRDefault="00775689" w:rsidP="00775689">
      <w:r w:rsidRPr="003F5679">
        <w:t xml:space="preserve">Porter's Value Chain, introduced by Michael Porter in 1985, is a framework that identifies the primary and </w:t>
      </w:r>
      <w:r w:rsidRPr="003F5679">
        <w:rPr>
          <w:rFonts w:hint="eastAsia"/>
        </w:rPr>
        <w:t>secondary</w:t>
      </w:r>
      <w:r w:rsidRPr="003F5679">
        <w:t xml:space="preserve"> activities within a company that create value for customers (Dubey </w:t>
      </w:r>
      <w:r w:rsidRPr="003F5679">
        <w:rPr>
          <w:i/>
          <w:iCs/>
        </w:rPr>
        <w:t>et al.</w:t>
      </w:r>
      <w:r w:rsidRPr="003F5679">
        <w:t xml:space="preserve">, </w:t>
      </w:r>
      <w:r w:rsidRPr="003F5679">
        <w:rPr>
          <w:rFonts w:hint="eastAsia"/>
        </w:rPr>
        <w:t>2020</w:t>
      </w:r>
      <w:r w:rsidRPr="003F5679">
        <w:t>).</w:t>
      </w:r>
      <w:r w:rsidRPr="003F5679">
        <w:rPr>
          <w:rFonts w:hint="eastAsia"/>
        </w:rPr>
        <w:t xml:space="preserve"> </w:t>
      </w:r>
      <w:r w:rsidRPr="003F5679">
        <w:t xml:space="preserve">By </w:t>
      </w:r>
      <w:r w:rsidRPr="003F5679">
        <w:rPr>
          <w:rFonts w:hint="eastAsia"/>
        </w:rPr>
        <w:t>using</w:t>
      </w:r>
      <w:r w:rsidRPr="003F5679">
        <w:t xml:space="preserve"> the</w:t>
      </w:r>
      <w:r w:rsidRPr="003F5679">
        <w:rPr>
          <w:rFonts w:hint="eastAsia"/>
        </w:rPr>
        <w:t xml:space="preserve"> model</w:t>
      </w:r>
      <w:r w:rsidRPr="003F5679">
        <w:t xml:space="preserve">, </w:t>
      </w:r>
      <w:r>
        <w:rPr>
          <w:rFonts w:hint="eastAsia"/>
        </w:rPr>
        <w:t>Domino</w:t>
      </w:r>
      <w:r>
        <w:t>’</w:t>
      </w:r>
      <w:r>
        <w:rPr>
          <w:rFonts w:hint="eastAsia"/>
        </w:rPr>
        <w:t>s</w:t>
      </w:r>
      <w:r w:rsidRPr="003F5679">
        <w:t xml:space="preserve"> can identify areas where it can improve efficiency, reduce costs, and enhance value creation.</w:t>
      </w:r>
    </w:p>
    <w:p w14:paraId="7C05DF15" w14:textId="77777777" w:rsidR="00775689" w:rsidRPr="003F5679" w:rsidRDefault="00775689" w:rsidP="00775689">
      <w:pPr>
        <w:pStyle w:val="2"/>
      </w:pPr>
      <w:bookmarkStart w:id="16" w:name="_Toc193310659"/>
      <w:r w:rsidRPr="003F5679">
        <w:rPr>
          <w:rFonts w:hint="eastAsia"/>
        </w:rPr>
        <w:t xml:space="preserve">4.1Primary </w:t>
      </w:r>
      <w:r>
        <w:rPr>
          <w:rFonts w:hint="eastAsia"/>
        </w:rPr>
        <w:t>A</w:t>
      </w:r>
      <w:r w:rsidRPr="003F5679">
        <w:rPr>
          <w:rFonts w:hint="eastAsia"/>
        </w:rPr>
        <w:t>ctivities</w:t>
      </w:r>
      <w:bookmarkEnd w:id="16"/>
    </w:p>
    <w:p w14:paraId="084C24DE" w14:textId="77777777" w:rsidR="00775689" w:rsidRPr="003F5679" w:rsidRDefault="00775689" w:rsidP="00775689">
      <w:r w:rsidRPr="003F5679">
        <w:t xml:space="preserve">The effective pizza preparation and delivery procedure is the foundation of </w:t>
      </w:r>
      <w:r>
        <w:rPr>
          <w:rFonts w:hint="eastAsia"/>
        </w:rPr>
        <w:t>Domino</w:t>
      </w:r>
      <w:r>
        <w:t>’</w:t>
      </w:r>
      <w:r>
        <w:rPr>
          <w:rFonts w:hint="eastAsia"/>
        </w:rPr>
        <w:t>s</w:t>
      </w:r>
      <w:r w:rsidRPr="003F5679">
        <w:t xml:space="preserve"> business operations. To improve the customer experience, </w:t>
      </w:r>
      <w:r>
        <w:rPr>
          <w:rFonts w:hint="eastAsia"/>
        </w:rPr>
        <w:t>Domino</w:t>
      </w:r>
      <w:r>
        <w:t>’</w:t>
      </w:r>
      <w:r>
        <w:rPr>
          <w:rFonts w:hint="eastAsia"/>
        </w:rPr>
        <w:t>s</w:t>
      </w:r>
      <w:r w:rsidRPr="003F5679">
        <w:t xml:space="preserve"> has made significant investments in technology, launching tools like Pizza Tracker and the PULSE ordering system (Groysberg, Abbott, and Seligson, 2021). </w:t>
      </w:r>
      <w:r>
        <w:rPr>
          <w:rFonts w:hint="eastAsia"/>
        </w:rPr>
        <w:t>Domino</w:t>
      </w:r>
      <w:r>
        <w:t>’</w:t>
      </w:r>
      <w:r>
        <w:rPr>
          <w:rFonts w:hint="eastAsia"/>
        </w:rPr>
        <w:t>s</w:t>
      </w:r>
      <w:r w:rsidRPr="003F5679">
        <w:t xml:space="preserve"> operational efficiency, order processing speed, and customer experience are all greatly enhanced by the PULSE technology, which offers customers an integrated ordering system, effective delivery route planning, and management capabilities (People &amp; Global Business Association</w:t>
      </w:r>
      <w:r w:rsidRPr="003F5679">
        <w:rPr>
          <w:i/>
          <w:iCs/>
        </w:rPr>
        <w:t xml:space="preserve"> et al.</w:t>
      </w:r>
      <w:r w:rsidRPr="003F5679">
        <w:t xml:space="preserve">, 2022). </w:t>
      </w:r>
      <w:r w:rsidRPr="003F5679">
        <w:rPr>
          <w:rFonts w:hint="eastAsia"/>
        </w:rPr>
        <w:t>I</w:t>
      </w:r>
      <w:r w:rsidRPr="003F5679">
        <w:t xml:space="preserve">t demonstrates </w:t>
      </w:r>
      <w:r>
        <w:rPr>
          <w:rFonts w:hint="eastAsia"/>
        </w:rPr>
        <w:t>Domino</w:t>
      </w:r>
      <w:r>
        <w:t>’</w:t>
      </w:r>
      <w:r>
        <w:rPr>
          <w:rFonts w:hint="eastAsia"/>
        </w:rPr>
        <w:t>s</w:t>
      </w:r>
      <w:r w:rsidRPr="003F5679">
        <w:t xml:space="preserve"> keen market awareness in recognising and promptly addressing manual shortcomings through technology, which can turn significant labour expenses into research and development expenditures and boost the </w:t>
      </w:r>
      <w:r w:rsidRPr="003F5679">
        <w:lastRenderedPageBreak/>
        <w:t>business's competitiveness in the UK market.</w:t>
      </w:r>
    </w:p>
    <w:p w14:paraId="6C2F02FB" w14:textId="77777777" w:rsidR="00775689" w:rsidRPr="003F5679" w:rsidRDefault="00775689" w:rsidP="00775689"/>
    <w:p w14:paraId="62924913" w14:textId="77777777" w:rsidR="00775689" w:rsidRPr="003F5679" w:rsidRDefault="00775689" w:rsidP="00775689">
      <w:r>
        <w:rPr>
          <w:rFonts w:hint="eastAsia"/>
        </w:rPr>
        <w:t>Domino</w:t>
      </w:r>
      <w:r>
        <w:t>’</w:t>
      </w:r>
      <w:r>
        <w:rPr>
          <w:rFonts w:hint="eastAsia"/>
        </w:rPr>
        <w:t>s</w:t>
      </w:r>
      <w:r w:rsidRPr="003F5679">
        <w:t xml:space="preserve"> employs</w:t>
      </w:r>
      <w:bookmarkStart w:id="17" w:name="OLE_LINK4"/>
      <w:r w:rsidRPr="003F5679">
        <w:t xml:space="preserve"> experience marketing</w:t>
      </w:r>
      <w:bookmarkEnd w:id="17"/>
      <w:r w:rsidRPr="003F5679">
        <w:t xml:space="preserve"> to expand its client base and strengthen customer loyalty by creating unique and memorable customer interactions</w:t>
      </w:r>
      <w:r w:rsidRPr="003F5679">
        <w:fldChar w:fldCharType="begin"/>
      </w:r>
      <w:r w:rsidRPr="003F5679">
        <w:instrText xml:space="preserve"> ADDIN ZOTERO_ITEM CSL_CITATION {"citationID":"tkIf11C2","properties":{"formattedCitation":"(Suganda and Oktavia, 2021)","plainCitation":"(Suganda and Oktavia, 2021)","noteIndex":0},"citationItems":[{"id":156,"uris":["http://zotero.org/users/local/IyRzUUWA/items/I3EWSIA4"],"itemData":{"id":156,"type":"article-journal","abstract":"The business world continues to grow and creates increasingly fierce competition, encouraging every company to improve the quality of their products and services. Competition in the culinary field in particular, namely pizza restaurants, causes entrepreneurs to have the best and most appropriate strategy to consider the conditions that exist within the company. Every company should be able to create products and services that evoke unforgettable experiences. Experiential marketing is a relatively new marketing approach, which was presented to the marketing world through the book Experiential Marketing: How to Get Customers to Sense, Feel, Think, Act, and Relate to Your Company and Brands, by Schmitt. Schmitt stated that the essence of the concept of experiential marketing is marketing and management driven by unique, positive, and memorable experiences to consumers. Domino's Pizza is a company that is trying to implement this concept. The tight competition in the culinary field in particular restaurants, encouraging entrepreneur must have the most appropriate strategies to support the success of the company. One of them is the company should be able to create products and services that evoke an unforgettable experience, that is applying the strategies in named experiential marketing. In addition to the need for experiential marketing, generally high standards of service quality will result in higher satisfaction and will create a purchase more, or commonly called customer loyalty. The purpose of this research is to know the influence of experiential marketing and service quality against customer loyalty. Type of this research is descriptive and verified. The method used survey with individual analysis unit that is customer Domino’s Pizza at Cirebon city. The research method uses explanatory, descriptive and verification research models. Multiple Linear Regression Hypothesis Test.","language":"en","source":"Zotero","title":"The Effect of Experiential Marketing and Service Quality on Customer Loyalty of Domino's Pizza in Cirebon City","author":[{"family":"Suganda","given":"Uce Karna"},{"family":"Oktavia","given":"Putri"}],"issued":{"date-parts":[["2021"]]}}}],"schema":"https://github.com/citation-style-language/schema/raw/master/csl-citation.json"} </w:instrText>
      </w:r>
      <w:r w:rsidRPr="003F5679">
        <w:fldChar w:fldCharType="separate"/>
      </w:r>
      <w:r w:rsidRPr="003F5679">
        <w:t>(Suganda and Oktavia, 2021)</w:t>
      </w:r>
      <w:r w:rsidRPr="003F5679">
        <w:fldChar w:fldCharType="end"/>
      </w:r>
      <w:r w:rsidRPr="003F5679">
        <w:t xml:space="preserve">. A key feature is its open kitchen design, which allows customers to smell the aroma of pizza upon entry, observe the food preparation process, and ensure food quality. This approach not only enhances transparency but also fosters better communication between the store and customers, demonstrating that the business values their feedback. By offering such distinctive and engaging experiences, </w:t>
      </w:r>
      <w:r>
        <w:rPr>
          <w:rFonts w:hint="eastAsia"/>
        </w:rPr>
        <w:t>Domino</w:t>
      </w:r>
      <w:r>
        <w:t>’</w:t>
      </w:r>
      <w:r>
        <w:rPr>
          <w:rFonts w:hint="eastAsia"/>
        </w:rPr>
        <w:t>s</w:t>
      </w:r>
      <w:r w:rsidRPr="003F5679">
        <w:t xml:space="preserve"> differentiates itself in a competitive market and boosts brand loyalty among consumers.</w:t>
      </w:r>
    </w:p>
    <w:p w14:paraId="210A3B57" w14:textId="77777777" w:rsidR="00775689" w:rsidRPr="003F5679" w:rsidRDefault="00775689" w:rsidP="00775689">
      <w:pPr>
        <w:pStyle w:val="2"/>
      </w:pPr>
      <w:bookmarkStart w:id="18" w:name="_Toc193310660"/>
      <w:r w:rsidRPr="003F5679">
        <w:rPr>
          <w:rFonts w:hint="eastAsia"/>
        </w:rPr>
        <w:t xml:space="preserve">4.2 Secondary </w:t>
      </w:r>
      <w:r>
        <w:rPr>
          <w:rFonts w:hint="eastAsia"/>
        </w:rPr>
        <w:t>A</w:t>
      </w:r>
      <w:r w:rsidRPr="003F5679">
        <w:rPr>
          <w:rFonts w:hint="eastAsia"/>
        </w:rPr>
        <w:t>ctivities</w:t>
      </w:r>
      <w:bookmarkEnd w:id="18"/>
    </w:p>
    <w:p w14:paraId="20933F7D" w14:textId="77777777" w:rsidR="00775689" w:rsidRPr="003F5679" w:rsidRDefault="00775689" w:rsidP="00775689">
      <w:r>
        <w:rPr>
          <w:rFonts w:hint="eastAsia"/>
        </w:rPr>
        <w:t>Domino</w:t>
      </w:r>
      <w:r>
        <w:t>’</w:t>
      </w:r>
      <w:r>
        <w:rPr>
          <w:rFonts w:hint="eastAsia"/>
        </w:rPr>
        <w:t>s</w:t>
      </w:r>
      <w:r w:rsidRPr="003F5679">
        <w:t xml:space="preserve"> can streamline its supply chain, reduce costs, increase product quality, and boost brand image with the support of its sourcing strategy in the UK market. First</w:t>
      </w:r>
      <w:r w:rsidRPr="003F5679">
        <w:rPr>
          <w:rFonts w:hint="eastAsia"/>
        </w:rPr>
        <w:t>ly</w:t>
      </w:r>
      <w:r w:rsidRPr="003F5679">
        <w:t xml:space="preserve">, coordinated purchasing and long-term partnerships with UK suppliers allow </w:t>
      </w:r>
      <w:r>
        <w:rPr>
          <w:rFonts w:hint="eastAsia"/>
        </w:rPr>
        <w:t>Domino</w:t>
      </w:r>
      <w:r>
        <w:t>’</w:t>
      </w:r>
      <w:r>
        <w:rPr>
          <w:rFonts w:hint="eastAsia"/>
        </w:rPr>
        <w:t>s</w:t>
      </w:r>
      <w:r w:rsidRPr="003F5679">
        <w:t xml:space="preserve"> to achieve economies of scale and lower unit prices (Lashkaripour and Lugovskyy, 2023). </w:t>
      </w:r>
      <w:r>
        <w:rPr>
          <w:rFonts w:hint="eastAsia"/>
        </w:rPr>
        <w:t>Domino</w:t>
      </w:r>
      <w:r>
        <w:t>’</w:t>
      </w:r>
      <w:r>
        <w:rPr>
          <w:rFonts w:hint="eastAsia"/>
        </w:rPr>
        <w:t>s</w:t>
      </w:r>
      <w:r w:rsidRPr="003F5679">
        <w:t xml:space="preserve"> can maintain price competitiveness and draw in more customers thanks to this cost advantage. Additionally, </w:t>
      </w:r>
      <w:r>
        <w:rPr>
          <w:rFonts w:hint="eastAsia"/>
        </w:rPr>
        <w:t>Domino</w:t>
      </w:r>
      <w:r>
        <w:t>’</w:t>
      </w:r>
      <w:r>
        <w:rPr>
          <w:rFonts w:hint="eastAsia"/>
        </w:rPr>
        <w:t>s</w:t>
      </w:r>
      <w:r w:rsidRPr="003F5679">
        <w:t xml:space="preserve"> can guarantee the reliability of its supply chain and lower the risk of supply disruptions by collaborating closely with its suppliers ('Full year results for the year ended 29 December </w:t>
      </w:r>
      <w:r w:rsidRPr="003F5679">
        <w:lastRenderedPageBreak/>
        <w:t xml:space="preserve">2024', 2024). This partnership also helps </w:t>
      </w:r>
      <w:r>
        <w:rPr>
          <w:rFonts w:hint="eastAsia"/>
        </w:rPr>
        <w:t>Domino</w:t>
      </w:r>
      <w:r>
        <w:t>’</w:t>
      </w:r>
      <w:r>
        <w:rPr>
          <w:rFonts w:hint="eastAsia"/>
        </w:rPr>
        <w:t>s</w:t>
      </w:r>
      <w:r w:rsidRPr="003F5679">
        <w:t xml:space="preserve"> to get priority supply in case of emergencies and ensure business continuity. </w:t>
      </w:r>
      <w:r w:rsidRPr="003F5679">
        <w:rPr>
          <w:rFonts w:hint="eastAsia"/>
        </w:rPr>
        <w:t>Thus</w:t>
      </w:r>
      <w:r w:rsidRPr="003F5679">
        <w:t xml:space="preserve">, this sourcing strategy has helped </w:t>
      </w:r>
      <w:r>
        <w:rPr>
          <w:rFonts w:hint="eastAsia"/>
        </w:rPr>
        <w:t>Domino</w:t>
      </w:r>
      <w:r>
        <w:t>’</w:t>
      </w:r>
      <w:r>
        <w:rPr>
          <w:rFonts w:hint="eastAsia"/>
        </w:rPr>
        <w:t>s</w:t>
      </w:r>
      <w:r w:rsidRPr="003F5679">
        <w:t xml:space="preserve"> maintain strong competitiveness and sustained economic growth in the UK market.</w:t>
      </w:r>
    </w:p>
    <w:p w14:paraId="4BF771CE" w14:textId="77777777" w:rsidR="00775689" w:rsidRPr="003F5679" w:rsidRDefault="00775689" w:rsidP="00775689"/>
    <w:p w14:paraId="6ED5CC0B" w14:textId="77777777" w:rsidR="00775689" w:rsidRDefault="00775689" w:rsidP="00775689">
      <w:r w:rsidRPr="003F5679">
        <w:rPr>
          <w:rFonts w:hint="eastAsia"/>
        </w:rPr>
        <w:t xml:space="preserve">To conclude, </w:t>
      </w:r>
      <w:r>
        <w:t>Domino’s</w:t>
      </w:r>
      <w:r w:rsidRPr="003F5679">
        <w:t xml:space="preserve"> remains strongly competitive in the UK market by improving operational efficiency and customer loyalty through technological innovation and experiential marketing, and by working closely with suppliers to optimise the supply chain, reduce costs and ensure product quality.</w:t>
      </w:r>
    </w:p>
    <w:p w14:paraId="1B01A488" w14:textId="77777777" w:rsidR="00775689" w:rsidRPr="003F5679" w:rsidRDefault="00775689" w:rsidP="00775689"/>
    <w:p w14:paraId="2911A37D" w14:textId="77777777" w:rsidR="00775689" w:rsidRPr="003F5679" w:rsidRDefault="00775689" w:rsidP="00775689">
      <w:pPr>
        <w:pStyle w:val="1"/>
      </w:pPr>
      <w:bookmarkStart w:id="19" w:name="_Toc193310661"/>
      <w:r w:rsidRPr="003F5679">
        <w:t xml:space="preserve">5.0 SWOT </w:t>
      </w:r>
      <w:r>
        <w:rPr>
          <w:rFonts w:hint="eastAsia"/>
        </w:rPr>
        <w:t>A</w:t>
      </w:r>
      <w:r w:rsidRPr="003F5679">
        <w:t>nalysis</w:t>
      </w:r>
      <w:bookmarkEnd w:id="19"/>
    </w:p>
    <w:p w14:paraId="24B9C116" w14:textId="77777777" w:rsidR="00775689" w:rsidRPr="003F5679" w:rsidRDefault="00775689" w:rsidP="00775689">
      <w:r w:rsidRPr="003F5679">
        <w:t xml:space="preserve">The SWOT model, encompassing Strengths, Weaknesses, Opportunities, and Threats, is a strategic tool for analysing a company's internal and external market environment to facilitate strategic adjustments (Puyt, Lie, and Wilderom, 2023). Combining qualitative and quantitative analysis with SWOT enhances strategic decision-making (Benzaghta </w:t>
      </w:r>
      <w:r w:rsidRPr="003F5679">
        <w:rPr>
          <w:i/>
          <w:iCs/>
        </w:rPr>
        <w:t>et al.,</w:t>
      </w:r>
      <w:r w:rsidRPr="003F5679">
        <w:t xml:space="preserve"> 2021). However, the model has limitations, particularly in failing to clearly distinguish the relative importance of each factor, potentially leading to uneven resource allocation during strategy implementation.</w:t>
      </w:r>
    </w:p>
    <w:tbl>
      <w:tblPr>
        <w:tblStyle w:val="ae"/>
        <w:tblW w:w="10632" w:type="dxa"/>
        <w:tblInd w:w="-1139" w:type="dxa"/>
        <w:tblLook w:val="04A0" w:firstRow="1" w:lastRow="0" w:firstColumn="1" w:lastColumn="0" w:noHBand="0" w:noVBand="1"/>
      </w:tblPr>
      <w:tblGrid>
        <w:gridCol w:w="5287"/>
        <w:gridCol w:w="5345"/>
      </w:tblGrid>
      <w:tr w:rsidR="00775689" w:rsidRPr="00755CA9" w14:paraId="22B58AA4" w14:textId="77777777" w:rsidTr="00D20B0E">
        <w:trPr>
          <w:trHeight w:val="578"/>
        </w:trPr>
        <w:tc>
          <w:tcPr>
            <w:tcW w:w="5287" w:type="dxa"/>
          </w:tcPr>
          <w:p w14:paraId="05313832" w14:textId="77777777" w:rsidR="00775689" w:rsidRPr="00755CA9" w:rsidRDefault="00775689" w:rsidP="00D20B0E">
            <w:pPr>
              <w:widowControl/>
              <w:jc w:val="center"/>
              <w:rPr>
                <w:b/>
                <w:bCs/>
              </w:rPr>
            </w:pPr>
            <w:r w:rsidRPr="00755CA9">
              <w:rPr>
                <w:b/>
                <w:bCs/>
              </w:rPr>
              <w:t>S</w:t>
            </w:r>
            <w:r w:rsidRPr="00755CA9">
              <w:rPr>
                <w:rFonts w:hint="eastAsia"/>
                <w:b/>
                <w:bCs/>
              </w:rPr>
              <w:t>trengths</w:t>
            </w:r>
          </w:p>
        </w:tc>
        <w:tc>
          <w:tcPr>
            <w:tcW w:w="5345" w:type="dxa"/>
          </w:tcPr>
          <w:p w14:paraId="4C45896A" w14:textId="77777777" w:rsidR="00775689" w:rsidRPr="00755CA9" w:rsidRDefault="00775689" w:rsidP="00D20B0E">
            <w:pPr>
              <w:widowControl/>
              <w:jc w:val="center"/>
            </w:pPr>
            <w:r w:rsidRPr="00755CA9">
              <w:rPr>
                <w:b/>
                <w:bCs/>
              </w:rPr>
              <w:t>W</w:t>
            </w:r>
            <w:r w:rsidRPr="00755CA9">
              <w:rPr>
                <w:rFonts w:hint="eastAsia"/>
                <w:b/>
                <w:bCs/>
              </w:rPr>
              <w:t>eakness</w:t>
            </w:r>
          </w:p>
        </w:tc>
      </w:tr>
      <w:tr w:rsidR="00775689" w:rsidRPr="00755CA9" w14:paraId="3218237C" w14:textId="77777777" w:rsidTr="00D20B0E">
        <w:tc>
          <w:tcPr>
            <w:tcW w:w="5287" w:type="dxa"/>
          </w:tcPr>
          <w:p w14:paraId="299474F8" w14:textId="77777777" w:rsidR="00775689" w:rsidRPr="00755CA9" w:rsidRDefault="00775689" w:rsidP="00D20B0E">
            <w:pPr>
              <w:widowControl/>
              <w:rPr>
                <w:szCs w:val="24"/>
              </w:rPr>
            </w:pPr>
            <w:r w:rsidRPr="00755CA9">
              <w:rPr>
                <w:szCs w:val="24"/>
              </w:rPr>
              <w:t xml:space="preserve">1. Brand advantage: Domino has a strong brand influence and high consumer loyalty in the UK </w:t>
            </w:r>
            <w:r w:rsidRPr="00755CA9">
              <w:rPr>
                <w:szCs w:val="24"/>
              </w:rPr>
              <w:lastRenderedPageBreak/>
              <w:t>market.</w:t>
            </w:r>
            <w:r w:rsidRPr="00755CA9">
              <w:rPr>
                <w:szCs w:val="24"/>
              </w:rPr>
              <w:br/>
              <w:t>2. Supply chain management: Efficient supply chain management and long-term cooperation with suppliers to ensure stable product supply and cost control.</w:t>
            </w:r>
            <w:r w:rsidRPr="00755CA9">
              <w:rPr>
                <w:szCs w:val="24"/>
              </w:rPr>
              <w:br/>
              <w:t>3. Technological innovations: PULSE Ordering system and Pizza Tracker improve operational efficiency and customer experience.</w:t>
            </w:r>
            <w:r w:rsidRPr="00755CA9">
              <w:rPr>
                <w:szCs w:val="24"/>
              </w:rPr>
              <w:br/>
              <w:t>4. Environmental awareness: The use of recyclable packaging materials, in line with environmental requirements, establish a good brand image.</w:t>
            </w:r>
            <w:r w:rsidRPr="00755CA9">
              <w:rPr>
                <w:szCs w:val="24"/>
              </w:rPr>
              <w:br/>
              <w:t>5. Marketing strategy: Through experiential marketing and open kitchen design, the interaction with consumers is enhanced and brand loyalty</w:t>
            </w:r>
            <w:r>
              <w:rPr>
                <w:rFonts w:hint="eastAsia"/>
                <w:szCs w:val="24"/>
              </w:rPr>
              <w:t>.</w:t>
            </w:r>
          </w:p>
        </w:tc>
        <w:tc>
          <w:tcPr>
            <w:tcW w:w="5345" w:type="dxa"/>
          </w:tcPr>
          <w:p w14:paraId="3F581B32" w14:textId="77777777" w:rsidR="00775689" w:rsidRPr="00755CA9" w:rsidRDefault="00775689" w:rsidP="00D20B0E">
            <w:pPr>
              <w:widowControl/>
              <w:rPr>
                <w:szCs w:val="24"/>
              </w:rPr>
            </w:pPr>
            <w:r w:rsidRPr="00755CA9">
              <w:rPr>
                <w:szCs w:val="24"/>
              </w:rPr>
              <w:lastRenderedPageBreak/>
              <w:t>1. Rising Labour costs: The annual rise in Labour costs in the UK has added to the pressure on business.</w:t>
            </w:r>
            <w:r w:rsidRPr="00755CA9">
              <w:rPr>
                <w:szCs w:val="24"/>
              </w:rPr>
              <w:br/>
            </w:r>
            <w:r w:rsidRPr="00755CA9">
              <w:rPr>
                <w:szCs w:val="24"/>
              </w:rPr>
              <w:lastRenderedPageBreak/>
              <w:t>2. Insufficient product innovation: Product innovation may be insufficient in the face of changing consumer tastes.</w:t>
            </w:r>
            <w:r w:rsidRPr="00755CA9">
              <w:rPr>
                <w:szCs w:val="24"/>
              </w:rPr>
              <w:br/>
              <w:t>3. Relying on young consumers: The main customer group is young people aged 15-40, and as the population ages, it may face the risk of losing consumers.</w:t>
            </w:r>
          </w:p>
        </w:tc>
      </w:tr>
      <w:tr w:rsidR="00775689" w:rsidRPr="00755CA9" w14:paraId="45EF0D17" w14:textId="77777777" w:rsidTr="00D20B0E">
        <w:tc>
          <w:tcPr>
            <w:tcW w:w="5287" w:type="dxa"/>
          </w:tcPr>
          <w:p w14:paraId="6316091D" w14:textId="77777777" w:rsidR="00775689" w:rsidRPr="00755CA9" w:rsidRDefault="00775689" w:rsidP="00D20B0E">
            <w:pPr>
              <w:widowControl/>
              <w:jc w:val="center"/>
              <w:rPr>
                <w:b/>
                <w:bCs/>
              </w:rPr>
            </w:pPr>
            <w:r w:rsidRPr="00755CA9">
              <w:rPr>
                <w:b/>
                <w:bCs/>
              </w:rPr>
              <w:lastRenderedPageBreak/>
              <w:t>O</w:t>
            </w:r>
            <w:r w:rsidRPr="00755CA9">
              <w:rPr>
                <w:rFonts w:hint="eastAsia"/>
                <w:b/>
                <w:bCs/>
              </w:rPr>
              <w:t>pportunities</w:t>
            </w:r>
          </w:p>
        </w:tc>
        <w:tc>
          <w:tcPr>
            <w:tcW w:w="5345" w:type="dxa"/>
          </w:tcPr>
          <w:p w14:paraId="5F6878CC" w14:textId="77777777" w:rsidR="00775689" w:rsidRPr="00755CA9" w:rsidRDefault="00775689" w:rsidP="00D20B0E">
            <w:pPr>
              <w:widowControl/>
              <w:jc w:val="center"/>
            </w:pPr>
            <w:r w:rsidRPr="00755CA9">
              <w:rPr>
                <w:b/>
                <w:bCs/>
              </w:rPr>
              <w:t>T</w:t>
            </w:r>
            <w:r w:rsidRPr="00755CA9">
              <w:rPr>
                <w:rFonts w:hint="eastAsia"/>
                <w:b/>
                <w:bCs/>
              </w:rPr>
              <w:t>reats</w:t>
            </w:r>
          </w:p>
        </w:tc>
      </w:tr>
      <w:tr w:rsidR="00775689" w:rsidRPr="00755CA9" w14:paraId="4B96D00C" w14:textId="77777777" w:rsidTr="00D20B0E">
        <w:tc>
          <w:tcPr>
            <w:tcW w:w="5287" w:type="dxa"/>
          </w:tcPr>
          <w:p w14:paraId="7ED6032B" w14:textId="77777777" w:rsidR="00775689" w:rsidRPr="00755CA9" w:rsidRDefault="00775689" w:rsidP="00D20B0E">
            <w:pPr>
              <w:widowControl/>
              <w:rPr>
                <w:szCs w:val="24"/>
              </w:rPr>
            </w:pPr>
            <w:r w:rsidRPr="00755CA9">
              <w:rPr>
                <w:szCs w:val="24"/>
              </w:rPr>
              <w:t>1. Electronic payment and online ordering systems: Enhance customer experience and operational efficiency through technology.</w:t>
            </w:r>
            <w:r w:rsidRPr="00755CA9">
              <w:rPr>
                <w:szCs w:val="24"/>
              </w:rPr>
              <w:br/>
              <w:t>2. Automated kitchen technology: reduce labour costs, improve production efficiency.</w:t>
            </w:r>
          </w:p>
          <w:p w14:paraId="73448453" w14:textId="77777777" w:rsidR="00775689" w:rsidRPr="00755CA9" w:rsidRDefault="00775689" w:rsidP="00D20B0E">
            <w:pPr>
              <w:widowControl/>
              <w:rPr>
                <w:szCs w:val="24"/>
              </w:rPr>
            </w:pPr>
            <w:r w:rsidRPr="00755CA9">
              <w:rPr>
                <w:szCs w:val="24"/>
              </w:rPr>
              <w:t>3. Healthy food trends: Launch more healthy, organic products to attract more consumers.</w:t>
            </w:r>
            <w:r w:rsidRPr="00755CA9">
              <w:rPr>
                <w:szCs w:val="24"/>
              </w:rPr>
              <w:br/>
              <w:t>4. Market expansion: Increase market share by expanding product lines and adding new products.</w:t>
            </w:r>
          </w:p>
        </w:tc>
        <w:tc>
          <w:tcPr>
            <w:tcW w:w="5345" w:type="dxa"/>
          </w:tcPr>
          <w:p w14:paraId="26956029" w14:textId="77777777" w:rsidR="00775689" w:rsidRPr="00755CA9" w:rsidRDefault="00775689" w:rsidP="00D20B0E">
            <w:pPr>
              <w:widowControl/>
              <w:rPr>
                <w:szCs w:val="24"/>
              </w:rPr>
            </w:pPr>
            <w:r w:rsidRPr="00755CA9">
              <w:rPr>
                <w:szCs w:val="24"/>
              </w:rPr>
              <w:t>1. Inflation: High inflation rates increase raw material and operating costs, limiting consumers' purchasing power.</w:t>
            </w:r>
            <w:r w:rsidRPr="00755CA9">
              <w:rPr>
                <w:szCs w:val="24"/>
              </w:rPr>
              <w:br/>
              <w:t>2. Fierce market competition: Facing the competitive pressure from other fast-food brands (such as KFC, McDonald's, etc.).</w:t>
            </w:r>
            <w:r w:rsidRPr="00755CA9">
              <w:rPr>
                <w:szCs w:val="24"/>
              </w:rPr>
              <w:br/>
              <w:t>3. Substitution threat: Increased consumer preference for healthier foods could reduce demand for fast food items such as pizza.</w:t>
            </w:r>
            <w:r w:rsidRPr="00755CA9">
              <w:rPr>
                <w:szCs w:val="24"/>
              </w:rPr>
              <w:br/>
              <w:t>4. Legal and regulatory constraints: Labor protection laws and environmental regulations can increase operating costs and legal risks.</w:t>
            </w:r>
          </w:p>
        </w:tc>
      </w:tr>
    </w:tbl>
    <w:p w14:paraId="73B83D50" w14:textId="77777777" w:rsidR="00775689" w:rsidRPr="003F5679" w:rsidRDefault="00775689" w:rsidP="00775689">
      <w:pPr>
        <w:widowControl/>
        <w:jc w:val="left"/>
        <w:rPr>
          <w:b/>
          <w:bCs/>
          <w:sz w:val="32"/>
          <w:szCs w:val="32"/>
        </w:rPr>
      </w:pPr>
      <w:r w:rsidRPr="003F5679">
        <w:br w:type="page"/>
      </w:r>
    </w:p>
    <w:p w14:paraId="7E1527E9" w14:textId="77777777" w:rsidR="00775689" w:rsidRPr="003F5679" w:rsidRDefault="00775689" w:rsidP="00775689">
      <w:pPr>
        <w:pStyle w:val="1"/>
      </w:pPr>
      <w:bookmarkStart w:id="20" w:name="_Toc193310662"/>
      <w:r w:rsidRPr="003F5679">
        <w:rPr>
          <w:rFonts w:hint="eastAsia"/>
        </w:rPr>
        <w:lastRenderedPageBreak/>
        <w:t>6.0 Conclusion</w:t>
      </w:r>
      <w:bookmarkEnd w:id="20"/>
    </w:p>
    <w:p w14:paraId="0CA90D9C" w14:textId="77777777" w:rsidR="00775689" w:rsidRPr="003F5679" w:rsidRDefault="00775689" w:rsidP="00775689">
      <w:r w:rsidRPr="003F5679">
        <w:t xml:space="preserve">This report provides a comprehensive marketing audit of Domino's in the UK market, analysing both macro and micro-environmental factors using PESTEL, Porter’s Five Forces, and SWOT frameworks. It highlights Domino's strong brand loyalty, efficient supply chain, and technological innovations like the PULSE ordering system as key strengths. </w:t>
      </w:r>
    </w:p>
    <w:p w14:paraId="4C7BC5CE" w14:textId="77777777" w:rsidR="00775689" w:rsidRPr="003F5679" w:rsidRDefault="00775689" w:rsidP="00775689"/>
    <w:p w14:paraId="1DD1E6A0" w14:textId="3076612F" w:rsidR="002315AE" w:rsidRDefault="00775689">
      <w:pPr>
        <w:rPr>
          <w:rFonts w:hint="eastAsia"/>
        </w:rPr>
      </w:pPr>
      <w:r w:rsidRPr="003F5679">
        <w:t>However, rising labour costs, inflation, and intense competition pose significant challenges. Opportunities lie in leveraging e-payment systems, automated kitchens, and healthier food trends, while threats include shifting consumer preferences and regulatory constraints. The report concludes that Domino's must innovate and adapt to maintain its competitive edge in the evolving fast-food industry.</w:t>
      </w:r>
    </w:p>
    <w:sectPr w:rsidR="002315AE">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楷体">
    <w:panose1 w:val="02010609060101010101"/>
    <w:charset w:val="86"/>
    <w:family w:val="modern"/>
    <w:pitch w:val="fixed"/>
    <w:sig w:usb0="800002BF" w:usb1="38CF7CFA" w:usb2="00000016" w:usb3="00000000" w:csb0="00040001"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E76F89"/>
    <w:multiLevelType w:val="hybridMultilevel"/>
    <w:tmpl w:val="69CA0CA2"/>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 w15:restartNumberingAfterBreak="0">
    <w:nsid w:val="4029383B"/>
    <w:multiLevelType w:val="hybridMultilevel"/>
    <w:tmpl w:val="5C826E14"/>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num w:numId="1" w16cid:durableId="873277156">
    <w:abstractNumId w:val="1"/>
  </w:num>
  <w:num w:numId="2" w16cid:durableId="2113553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66C4"/>
    <w:rsid w:val="002315AE"/>
    <w:rsid w:val="002E1BFA"/>
    <w:rsid w:val="00361140"/>
    <w:rsid w:val="004115C8"/>
    <w:rsid w:val="004335AC"/>
    <w:rsid w:val="00434E25"/>
    <w:rsid w:val="00453FDE"/>
    <w:rsid w:val="00534201"/>
    <w:rsid w:val="00567D52"/>
    <w:rsid w:val="005F3C12"/>
    <w:rsid w:val="00687187"/>
    <w:rsid w:val="00744E2B"/>
    <w:rsid w:val="007530F6"/>
    <w:rsid w:val="00775689"/>
    <w:rsid w:val="00780D7E"/>
    <w:rsid w:val="00782BD4"/>
    <w:rsid w:val="007C5214"/>
    <w:rsid w:val="00800A08"/>
    <w:rsid w:val="00826E02"/>
    <w:rsid w:val="00831BED"/>
    <w:rsid w:val="008966C4"/>
    <w:rsid w:val="009B04B8"/>
    <w:rsid w:val="009B4B1B"/>
    <w:rsid w:val="009E02AA"/>
    <w:rsid w:val="00A153B0"/>
    <w:rsid w:val="00A70CFE"/>
    <w:rsid w:val="00B454C9"/>
    <w:rsid w:val="00B849F2"/>
    <w:rsid w:val="00BC7331"/>
    <w:rsid w:val="00C43350"/>
    <w:rsid w:val="00CB5629"/>
    <w:rsid w:val="00CD77B5"/>
    <w:rsid w:val="00DC613E"/>
    <w:rsid w:val="00DD3947"/>
    <w:rsid w:val="00E4212A"/>
    <w:rsid w:val="00E952DC"/>
    <w:rsid w:val="00EF554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8A80A7"/>
  <w15:chartTrackingRefBased/>
  <w15:docId w15:val="{1DF31E45-6902-4860-A24E-53A3652151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楷体" w:hAnsi="Times New Roman" w:cstheme="minorBidi"/>
        <w:kern w:val="2"/>
        <w:sz w:val="28"/>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775689"/>
    <w:pPr>
      <w:widowControl w:val="0"/>
      <w:jc w:val="both"/>
    </w:pPr>
    <w:rPr>
      <w:rFonts w:cs="Times New Roman"/>
      <w:kern w:val="21"/>
      <w:szCs w:val="28"/>
      <w:u w:color="FF0000"/>
      <w:lang w:val="en-GB"/>
    </w:rPr>
  </w:style>
  <w:style w:type="paragraph" w:styleId="1">
    <w:name w:val="heading 1"/>
    <w:aliases w:val="Report 标题1"/>
    <w:basedOn w:val="a"/>
    <w:next w:val="a"/>
    <w:link w:val="10"/>
    <w:autoRedefine/>
    <w:qFormat/>
    <w:rsid w:val="009B04B8"/>
    <w:pPr>
      <w:jc w:val="left"/>
      <w:outlineLvl w:val="0"/>
    </w:pPr>
    <w:rPr>
      <w:b/>
      <w:bCs/>
      <w:sz w:val="30"/>
    </w:rPr>
  </w:style>
  <w:style w:type="paragraph" w:styleId="2">
    <w:name w:val="heading 2"/>
    <w:aliases w:val="Report 标题 2"/>
    <w:basedOn w:val="a"/>
    <w:next w:val="a"/>
    <w:link w:val="20"/>
    <w:autoRedefine/>
    <w:unhideWhenUsed/>
    <w:qFormat/>
    <w:rsid w:val="00782BD4"/>
    <w:pPr>
      <w:keepNext/>
      <w:keepLines/>
      <w:spacing w:before="160" w:after="80"/>
      <w:jc w:val="left"/>
      <w:outlineLvl w:val="1"/>
    </w:pPr>
    <w:rPr>
      <w:rFonts w:cstheme="majorBidi"/>
      <w:b/>
      <w:szCs w:val="40"/>
    </w:rPr>
  </w:style>
  <w:style w:type="paragraph" w:styleId="3">
    <w:name w:val="heading 3"/>
    <w:aliases w:val="Report 标题 3"/>
    <w:basedOn w:val="a"/>
    <w:next w:val="a"/>
    <w:link w:val="30"/>
    <w:autoRedefine/>
    <w:uiPriority w:val="9"/>
    <w:unhideWhenUsed/>
    <w:qFormat/>
    <w:rsid w:val="00782BD4"/>
    <w:pPr>
      <w:keepNext/>
      <w:keepLines/>
      <w:spacing w:before="160" w:after="80"/>
      <w:jc w:val="left"/>
      <w:outlineLvl w:val="2"/>
    </w:pPr>
    <w:rPr>
      <w:rFonts w:cstheme="majorBidi"/>
      <w:b/>
      <w:sz w:val="24"/>
      <w:szCs w:val="32"/>
    </w:rPr>
  </w:style>
  <w:style w:type="paragraph" w:styleId="4">
    <w:name w:val="heading 4"/>
    <w:basedOn w:val="a"/>
    <w:next w:val="a"/>
    <w:link w:val="40"/>
    <w:uiPriority w:val="9"/>
    <w:semiHidden/>
    <w:unhideWhenUsed/>
    <w:qFormat/>
    <w:rsid w:val="008966C4"/>
    <w:pPr>
      <w:keepNext/>
      <w:keepLines/>
      <w:spacing w:before="80" w:after="40"/>
      <w:outlineLvl w:val="3"/>
    </w:pPr>
    <w:rPr>
      <w:rFonts w:asciiTheme="minorHAnsi" w:eastAsiaTheme="minorEastAsia" w:hAnsiTheme="minorHAnsi" w:cstheme="majorBidi"/>
      <w:color w:val="0F4761" w:themeColor="accent1" w:themeShade="BF"/>
    </w:rPr>
  </w:style>
  <w:style w:type="paragraph" w:styleId="5">
    <w:name w:val="heading 5"/>
    <w:basedOn w:val="a"/>
    <w:next w:val="a"/>
    <w:link w:val="50"/>
    <w:uiPriority w:val="9"/>
    <w:semiHidden/>
    <w:unhideWhenUsed/>
    <w:qFormat/>
    <w:rsid w:val="008966C4"/>
    <w:pPr>
      <w:keepNext/>
      <w:keepLines/>
      <w:spacing w:before="80" w:after="40"/>
      <w:outlineLvl w:val="4"/>
    </w:pPr>
    <w:rPr>
      <w:rFonts w:asciiTheme="minorHAnsi" w:eastAsiaTheme="minorEastAsia" w:hAnsiTheme="minorHAnsi" w:cstheme="majorBidi"/>
      <w:color w:val="0F4761" w:themeColor="accent1" w:themeShade="BF"/>
      <w:sz w:val="24"/>
      <w:szCs w:val="24"/>
    </w:rPr>
  </w:style>
  <w:style w:type="paragraph" w:styleId="6">
    <w:name w:val="heading 6"/>
    <w:basedOn w:val="a"/>
    <w:next w:val="a"/>
    <w:link w:val="60"/>
    <w:uiPriority w:val="9"/>
    <w:semiHidden/>
    <w:unhideWhenUsed/>
    <w:qFormat/>
    <w:rsid w:val="008966C4"/>
    <w:pPr>
      <w:keepNext/>
      <w:keepLines/>
      <w:spacing w:before="40"/>
      <w:outlineLvl w:val="5"/>
    </w:pPr>
    <w:rPr>
      <w:rFonts w:asciiTheme="minorHAnsi" w:eastAsiaTheme="minorEastAsia" w:hAnsiTheme="minorHAnsi" w:cstheme="majorBidi"/>
      <w:b/>
      <w:bCs/>
      <w:color w:val="0F4761" w:themeColor="accent1" w:themeShade="BF"/>
    </w:rPr>
  </w:style>
  <w:style w:type="paragraph" w:styleId="7">
    <w:name w:val="heading 7"/>
    <w:basedOn w:val="a"/>
    <w:next w:val="a"/>
    <w:link w:val="70"/>
    <w:uiPriority w:val="9"/>
    <w:semiHidden/>
    <w:unhideWhenUsed/>
    <w:qFormat/>
    <w:rsid w:val="008966C4"/>
    <w:pPr>
      <w:keepNext/>
      <w:keepLines/>
      <w:spacing w:before="40"/>
      <w:outlineLvl w:val="6"/>
    </w:pPr>
    <w:rPr>
      <w:rFonts w:asciiTheme="minorHAnsi" w:eastAsiaTheme="minorEastAsia" w:hAnsiTheme="minorHAnsi" w:cstheme="majorBidi"/>
      <w:b/>
      <w:bCs/>
      <w:color w:val="595959" w:themeColor="text1" w:themeTint="A6"/>
    </w:rPr>
  </w:style>
  <w:style w:type="paragraph" w:styleId="8">
    <w:name w:val="heading 8"/>
    <w:basedOn w:val="a"/>
    <w:next w:val="a"/>
    <w:link w:val="80"/>
    <w:uiPriority w:val="9"/>
    <w:semiHidden/>
    <w:unhideWhenUsed/>
    <w:qFormat/>
    <w:rsid w:val="008966C4"/>
    <w:pPr>
      <w:keepNext/>
      <w:keepLines/>
      <w:outlineLvl w:val="7"/>
    </w:pPr>
    <w:rPr>
      <w:rFonts w:asciiTheme="minorHAnsi" w:eastAsiaTheme="minorEastAsia" w:hAnsiTheme="minorHAnsi" w:cstheme="majorBidi"/>
      <w:color w:val="595959" w:themeColor="text1" w:themeTint="A6"/>
    </w:rPr>
  </w:style>
  <w:style w:type="paragraph" w:styleId="9">
    <w:name w:val="heading 9"/>
    <w:basedOn w:val="a"/>
    <w:next w:val="a"/>
    <w:link w:val="90"/>
    <w:uiPriority w:val="9"/>
    <w:semiHidden/>
    <w:unhideWhenUsed/>
    <w:qFormat/>
    <w:rsid w:val="008966C4"/>
    <w:pPr>
      <w:keepNext/>
      <w:keepLines/>
      <w:outlineLvl w:val="8"/>
    </w:pPr>
    <w:rPr>
      <w:rFonts w:asciiTheme="minorHAnsi" w:eastAsiaTheme="majorEastAsia" w:hAnsiTheme="minorHAnsi"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aliases w:val="Report 标题1 字符"/>
    <w:basedOn w:val="a0"/>
    <w:link w:val="1"/>
    <w:rsid w:val="009B04B8"/>
    <w:rPr>
      <w:rFonts w:cs="Times New Roman"/>
      <w:b/>
      <w:bCs/>
      <w:kern w:val="21"/>
      <w:sz w:val="30"/>
      <w:szCs w:val="28"/>
      <w:u w:color="FF0000"/>
    </w:rPr>
  </w:style>
  <w:style w:type="character" w:customStyle="1" w:styleId="20">
    <w:name w:val="标题 2 字符"/>
    <w:aliases w:val="Report 标题 2 字符"/>
    <w:basedOn w:val="a0"/>
    <w:link w:val="2"/>
    <w:uiPriority w:val="9"/>
    <w:rsid w:val="00782BD4"/>
    <w:rPr>
      <w:rFonts w:cstheme="majorBidi"/>
      <w:b/>
      <w:szCs w:val="40"/>
    </w:rPr>
  </w:style>
  <w:style w:type="character" w:customStyle="1" w:styleId="30">
    <w:name w:val="标题 3 字符"/>
    <w:aliases w:val="Report 标题 3 字符"/>
    <w:basedOn w:val="a0"/>
    <w:link w:val="3"/>
    <w:uiPriority w:val="9"/>
    <w:rsid w:val="00782BD4"/>
    <w:rPr>
      <w:rFonts w:cstheme="majorBidi"/>
      <w:b/>
      <w:sz w:val="24"/>
      <w:szCs w:val="32"/>
    </w:rPr>
  </w:style>
  <w:style w:type="paragraph" w:customStyle="1" w:styleId="11">
    <w:name w:val="标题1"/>
    <w:basedOn w:val="a"/>
    <w:link w:val="12"/>
    <w:autoRedefine/>
    <w:qFormat/>
    <w:rsid w:val="00782BD4"/>
    <w:pPr>
      <w:jc w:val="left"/>
    </w:pPr>
    <w:rPr>
      <w:b/>
      <w:sz w:val="30"/>
    </w:rPr>
  </w:style>
  <w:style w:type="character" w:customStyle="1" w:styleId="12">
    <w:name w:val="标题1 字符"/>
    <w:basedOn w:val="a0"/>
    <w:link w:val="11"/>
    <w:rsid w:val="00782BD4"/>
    <w:rPr>
      <w:b/>
      <w:sz w:val="30"/>
    </w:rPr>
  </w:style>
  <w:style w:type="paragraph" w:customStyle="1" w:styleId="21">
    <w:name w:val="标题2"/>
    <w:basedOn w:val="11"/>
    <w:link w:val="22"/>
    <w:autoRedefine/>
    <w:qFormat/>
    <w:rsid w:val="00782BD4"/>
  </w:style>
  <w:style w:type="character" w:customStyle="1" w:styleId="22">
    <w:name w:val="标题2 字符"/>
    <w:basedOn w:val="12"/>
    <w:link w:val="21"/>
    <w:rsid w:val="00782BD4"/>
    <w:rPr>
      <w:b/>
      <w:sz w:val="30"/>
    </w:rPr>
  </w:style>
  <w:style w:type="paragraph" w:customStyle="1" w:styleId="31">
    <w:name w:val="标题3"/>
    <w:basedOn w:val="21"/>
    <w:link w:val="32"/>
    <w:autoRedefine/>
    <w:qFormat/>
    <w:rsid w:val="00782BD4"/>
    <w:rPr>
      <w:sz w:val="24"/>
    </w:rPr>
  </w:style>
  <w:style w:type="character" w:customStyle="1" w:styleId="32">
    <w:name w:val="标题3 字符"/>
    <w:basedOn w:val="22"/>
    <w:link w:val="31"/>
    <w:rsid w:val="00782BD4"/>
    <w:rPr>
      <w:b/>
      <w:sz w:val="24"/>
    </w:rPr>
  </w:style>
  <w:style w:type="character" w:customStyle="1" w:styleId="40">
    <w:name w:val="标题 4 字符"/>
    <w:basedOn w:val="a0"/>
    <w:link w:val="4"/>
    <w:uiPriority w:val="9"/>
    <w:semiHidden/>
    <w:rsid w:val="008966C4"/>
    <w:rPr>
      <w:rFonts w:asciiTheme="minorHAnsi" w:eastAsiaTheme="minorEastAsia" w:hAnsiTheme="minorHAnsi" w:cstheme="majorBidi"/>
      <w:color w:val="0F4761" w:themeColor="accent1" w:themeShade="BF"/>
      <w:szCs w:val="28"/>
      <w:lang w:val="en-GB"/>
    </w:rPr>
  </w:style>
  <w:style w:type="character" w:customStyle="1" w:styleId="50">
    <w:name w:val="标题 5 字符"/>
    <w:basedOn w:val="a0"/>
    <w:link w:val="5"/>
    <w:uiPriority w:val="9"/>
    <w:semiHidden/>
    <w:rsid w:val="008966C4"/>
    <w:rPr>
      <w:rFonts w:asciiTheme="minorHAnsi" w:eastAsiaTheme="minorEastAsia" w:hAnsiTheme="minorHAnsi" w:cstheme="majorBidi"/>
      <w:color w:val="0F4761" w:themeColor="accent1" w:themeShade="BF"/>
      <w:sz w:val="24"/>
      <w:szCs w:val="24"/>
      <w:lang w:val="en-GB"/>
    </w:rPr>
  </w:style>
  <w:style w:type="character" w:customStyle="1" w:styleId="60">
    <w:name w:val="标题 6 字符"/>
    <w:basedOn w:val="a0"/>
    <w:link w:val="6"/>
    <w:uiPriority w:val="9"/>
    <w:semiHidden/>
    <w:rsid w:val="008966C4"/>
    <w:rPr>
      <w:rFonts w:asciiTheme="minorHAnsi" w:eastAsiaTheme="minorEastAsia" w:hAnsiTheme="minorHAnsi" w:cstheme="majorBidi"/>
      <w:b/>
      <w:bCs/>
      <w:color w:val="0F4761" w:themeColor="accent1" w:themeShade="BF"/>
      <w:lang w:val="en-GB"/>
    </w:rPr>
  </w:style>
  <w:style w:type="character" w:customStyle="1" w:styleId="70">
    <w:name w:val="标题 7 字符"/>
    <w:basedOn w:val="a0"/>
    <w:link w:val="7"/>
    <w:uiPriority w:val="9"/>
    <w:semiHidden/>
    <w:rsid w:val="008966C4"/>
    <w:rPr>
      <w:rFonts w:asciiTheme="minorHAnsi" w:eastAsiaTheme="minorEastAsia" w:hAnsiTheme="minorHAnsi" w:cstheme="majorBidi"/>
      <w:b/>
      <w:bCs/>
      <w:color w:val="595959" w:themeColor="text1" w:themeTint="A6"/>
      <w:lang w:val="en-GB"/>
    </w:rPr>
  </w:style>
  <w:style w:type="character" w:customStyle="1" w:styleId="80">
    <w:name w:val="标题 8 字符"/>
    <w:basedOn w:val="a0"/>
    <w:link w:val="8"/>
    <w:uiPriority w:val="9"/>
    <w:semiHidden/>
    <w:rsid w:val="008966C4"/>
    <w:rPr>
      <w:rFonts w:asciiTheme="minorHAnsi" w:eastAsiaTheme="minorEastAsia" w:hAnsiTheme="minorHAnsi" w:cstheme="majorBidi"/>
      <w:color w:val="595959" w:themeColor="text1" w:themeTint="A6"/>
      <w:lang w:val="en-GB"/>
    </w:rPr>
  </w:style>
  <w:style w:type="character" w:customStyle="1" w:styleId="90">
    <w:name w:val="标题 9 字符"/>
    <w:basedOn w:val="a0"/>
    <w:link w:val="9"/>
    <w:uiPriority w:val="9"/>
    <w:semiHidden/>
    <w:rsid w:val="008966C4"/>
    <w:rPr>
      <w:rFonts w:asciiTheme="minorHAnsi" w:eastAsiaTheme="majorEastAsia" w:hAnsiTheme="minorHAnsi" w:cstheme="majorBidi"/>
      <w:color w:val="595959" w:themeColor="text1" w:themeTint="A6"/>
      <w:lang w:val="en-GB"/>
    </w:rPr>
  </w:style>
  <w:style w:type="paragraph" w:styleId="a3">
    <w:name w:val="Title"/>
    <w:basedOn w:val="a"/>
    <w:next w:val="a"/>
    <w:link w:val="a4"/>
    <w:uiPriority w:val="10"/>
    <w:qFormat/>
    <w:rsid w:val="008966C4"/>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8966C4"/>
    <w:rPr>
      <w:rFonts w:asciiTheme="majorHAnsi" w:eastAsiaTheme="majorEastAsia" w:hAnsiTheme="majorHAnsi" w:cstheme="majorBidi"/>
      <w:spacing w:val="-10"/>
      <w:kern w:val="28"/>
      <w:sz w:val="56"/>
      <w:szCs w:val="56"/>
      <w:lang w:val="en-GB"/>
    </w:rPr>
  </w:style>
  <w:style w:type="paragraph" w:styleId="a5">
    <w:name w:val="Subtitle"/>
    <w:basedOn w:val="a"/>
    <w:next w:val="a"/>
    <w:link w:val="a6"/>
    <w:uiPriority w:val="11"/>
    <w:qFormat/>
    <w:rsid w:val="008966C4"/>
    <w:pPr>
      <w:numPr>
        <w:ilvl w:val="1"/>
      </w:numPr>
      <w:spacing w:after="160"/>
      <w:jc w:val="center"/>
    </w:pPr>
    <w:rPr>
      <w:rFonts w:asciiTheme="majorHAnsi" w:eastAsiaTheme="majorEastAsia" w:hAnsiTheme="majorHAnsi" w:cstheme="majorBidi"/>
      <w:color w:val="595959" w:themeColor="text1" w:themeTint="A6"/>
      <w:spacing w:val="15"/>
    </w:rPr>
  </w:style>
  <w:style w:type="character" w:customStyle="1" w:styleId="a6">
    <w:name w:val="副标题 字符"/>
    <w:basedOn w:val="a0"/>
    <w:link w:val="a5"/>
    <w:uiPriority w:val="11"/>
    <w:rsid w:val="008966C4"/>
    <w:rPr>
      <w:rFonts w:asciiTheme="majorHAnsi" w:eastAsiaTheme="majorEastAsia" w:hAnsiTheme="majorHAnsi" w:cstheme="majorBidi"/>
      <w:color w:val="595959" w:themeColor="text1" w:themeTint="A6"/>
      <w:spacing w:val="15"/>
      <w:szCs w:val="28"/>
      <w:lang w:val="en-GB"/>
    </w:rPr>
  </w:style>
  <w:style w:type="paragraph" w:styleId="a7">
    <w:name w:val="Quote"/>
    <w:basedOn w:val="a"/>
    <w:next w:val="a"/>
    <w:link w:val="a8"/>
    <w:uiPriority w:val="29"/>
    <w:qFormat/>
    <w:rsid w:val="008966C4"/>
    <w:pPr>
      <w:spacing w:before="160" w:after="160"/>
      <w:jc w:val="center"/>
    </w:pPr>
    <w:rPr>
      <w:i/>
      <w:iCs/>
      <w:color w:val="404040" w:themeColor="text1" w:themeTint="BF"/>
    </w:rPr>
  </w:style>
  <w:style w:type="character" w:customStyle="1" w:styleId="a8">
    <w:name w:val="引用 字符"/>
    <w:basedOn w:val="a0"/>
    <w:link w:val="a7"/>
    <w:uiPriority w:val="29"/>
    <w:rsid w:val="008966C4"/>
    <w:rPr>
      <w:i/>
      <w:iCs/>
      <w:color w:val="404040" w:themeColor="text1" w:themeTint="BF"/>
      <w:lang w:val="en-GB"/>
    </w:rPr>
  </w:style>
  <w:style w:type="paragraph" w:styleId="a9">
    <w:name w:val="List Paragraph"/>
    <w:basedOn w:val="a"/>
    <w:uiPriority w:val="34"/>
    <w:qFormat/>
    <w:rsid w:val="008966C4"/>
    <w:pPr>
      <w:ind w:left="720"/>
      <w:contextualSpacing/>
    </w:pPr>
  </w:style>
  <w:style w:type="character" w:styleId="aa">
    <w:name w:val="Intense Emphasis"/>
    <w:basedOn w:val="a0"/>
    <w:uiPriority w:val="21"/>
    <w:qFormat/>
    <w:rsid w:val="008966C4"/>
    <w:rPr>
      <w:i/>
      <w:iCs/>
      <w:color w:val="0F4761" w:themeColor="accent1" w:themeShade="BF"/>
    </w:rPr>
  </w:style>
  <w:style w:type="paragraph" w:styleId="ab">
    <w:name w:val="Intense Quote"/>
    <w:basedOn w:val="a"/>
    <w:next w:val="a"/>
    <w:link w:val="ac"/>
    <w:uiPriority w:val="30"/>
    <w:qFormat/>
    <w:rsid w:val="008966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8966C4"/>
    <w:rPr>
      <w:i/>
      <w:iCs/>
      <w:color w:val="0F4761" w:themeColor="accent1" w:themeShade="BF"/>
      <w:lang w:val="en-GB"/>
    </w:rPr>
  </w:style>
  <w:style w:type="character" w:styleId="ad">
    <w:name w:val="Intense Reference"/>
    <w:basedOn w:val="a0"/>
    <w:uiPriority w:val="32"/>
    <w:qFormat/>
    <w:rsid w:val="008966C4"/>
    <w:rPr>
      <w:b/>
      <w:bCs/>
      <w:smallCaps/>
      <w:color w:val="0F4761" w:themeColor="accent1" w:themeShade="BF"/>
      <w:spacing w:val="5"/>
    </w:rPr>
  </w:style>
  <w:style w:type="paragraph" w:styleId="TOC1">
    <w:name w:val="toc 1"/>
    <w:basedOn w:val="a"/>
    <w:next w:val="a"/>
    <w:uiPriority w:val="39"/>
    <w:qFormat/>
    <w:rsid w:val="00775689"/>
  </w:style>
  <w:style w:type="table" w:styleId="ae">
    <w:name w:val="Table Grid"/>
    <w:basedOn w:val="a1"/>
    <w:uiPriority w:val="39"/>
    <w:rsid w:val="00775689"/>
    <w:rPr>
      <w:sz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f">
    <w:name w:val="caption"/>
    <w:basedOn w:val="a"/>
    <w:next w:val="a"/>
    <w:uiPriority w:val="35"/>
    <w:semiHidden/>
    <w:unhideWhenUsed/>
    <w:qFormat/>
    <w:rsid w:val="00775689"/>
    <w:rPr>
      <w:rFonts w:asciiTheme="majorHAnsi" w:eastAsia="黑体" w:hAnsiTheme="majorHAnsi" w:cstheme="majorBid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5054</Words>
  <Characters>28811</Characters>
  <Application>Microsoft Office Word</Application>
  <DocSecurity>0</DocSecurity>
  <Lines>240</Lines>
  <Paragraphs>67</Paragraphs>
  <ScaleCrop>false</ScaleCrop>
  <Company/>
  <LinksUpToDate>false</LinksUpToDate>
  <CharactersWithSpaces>33798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Jian Huang (2400261)</dc:creator>
  <cp:keywords/>
  <dc:description/>
  <cp:lastModifiedBy>Jian Huang (2400261)</cp:lastModifiedBy>
  <cp:revision>2</cp:revision>
  <dcterms:created xsi:type="dcterms:W3CDTF">2025-03-21T20:20:00Z</dcterms:created>
  <dcterms:modified xsi:type="dcterms:W3CDTF">2025-03-21T20:21:00Z</dcterms:modified>
</cp:coreProperties>
</file>