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CCD24" w14:textId="77777777" w:rsidR="00505F61" w:rsidRPr="00F40CEB" w:rsidRDefault="00505F61">
      <w:pPr>
        <w:ind w:left="426"/>
        <w:rPr>
          <w:rFonts w:ascii="Arial" w:eastAsia="Arial" w:hAnsi="Arial" w:cs="Arial"/>
        </w:rPr>
      </w:pPr>
    </w:p>
    <w:p w14:paraId="6AD6C973" w14:textId="77777777" w:rsidR="00505F61" w:rsidRPr="00F40CEB" w:rsidRDefault="00BF2F70">
      <w:pPr>
        <w:spacing w:line="360" w:lineRule="auto"/>
        <w:ind w:left="426"/>
        <w:rPr>
          <w:rFonts w:ascii="Arial" w:eastAsia="Arial" w:hAnsi="Arial" w:cs="Arial"/>
        </w:rPr>
      </w:pPr>
      <w:r>
        <w:rPr>
          <w:rFonts w:ascii="Arial" w:hAnsi="Arial" w:cs="Arial"/>
          <w:noProof/>
          <w:bdr w:val="none" w:sz="0" w:space="0" w:color="auto"/>
          <w:lang w:val="en-US"/>
        </w:rPr>
        <w:drawing>
          <wp:anchor distT="57150" distB="57150" distL="57150" distR="57150" simplePos="0" relativeHeight="251657728" behindDoc="0" locked="0" layoutInCell="1" allowOverlap="1" wp14:anchorId="21743FBC" wp14:editId="03BDE0BF">
            <wp:simplePos x="0" y="0"/>
            <wp:positionH relativeFrom="page">
              <wp:posOffset>456565</wp:posOffset>
            </wp:positionH>
            <wp:positionV relativeFrom="line">
              <wp:posOffset>289560</wp:posOffset>
            </wp:positionV>
            <wp:extent cx="2600325" cy="914400"/>
            <wp:effectExtent l="19050" t="0" r="9525" b="0"/>
            <wp:wrapSquare wrapText="bothSides"/>
            <wp:docPr id="3" name="officeArt object"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fficeArt object" descr="Discover University of Wales Trinity Saint David"/>
                    <pic:cNvPicPr>
                      <a:picLocks noChangeAspect="1" noChangeArrowheads="1"/>
                    </pic:cNvPicPr>
                  </pic:nvPicPr>
                  <pic:blipFill>
                    <a:blip r:embed="rId7"/>
                    <a:srcRect/>
                    <a:stretch>
                      <a:fillRect/>
                    </a:stretch>
                  </pic:blipFill>
                  <pic:spPr bwMode="auto">
                    <a:xfrm>
                      <a:off x="0" y="0"/>
                      <a:ext cx="2600325" cy="914400"/>
                    </a:xfrm>
                    <a:prstGeom prst="rect">
                      <a:avLst/>
                    </a:prstGeom>
                    <a:noFill/>
                    <a:ln w="12700">
                      <a:noFill/>
                      <a:miter lim="400000"/>
                      <a:headEnd/>
                      <a:tailEnd/>
                    </a:ln>
                  </pic:spPr>
                </pic:pic>
              </a:graphicData>
            </a:graphic>
          </wp:anchor>
        </w:drawing>
      </w:r>
    </w:p>
    <w:p w14:paraId="4CFB25C8" w14:textId="77777777" w:rsidR="00505F61" w:rsidRPr="00F40CEB" w:rsidRDefault="00505F61">
      <w:pPr>
        <w:spacing w:line="360" w:lineRule="auto"/>
        <w:ind w:left="426"/>
        <w:rPr>
          <w:rFonts w:ascii="Arial" w:eastAsia="Arial" w:hAnsi="Arial" w:cs="Arial"/>
        </w:rPr>
      </w:pPr>
    </w:p>
    <w:p w14:paraId="59E53DCD" w14:textId="77777777" w:rsidR="00505F61" w:rsidRPr="00F40CEB" w:rsidRDefault="00505F61">
      <w:pPr>
        <w:spacing w:line="360" w:lineRule="auto"/>
        <w:ind w:left="426"/>
        <w:rPr>
          <w:rFonts w:ascii="Arial" w:eastAsia="Arial" w:hAnsi="Arial" w:cs="Arial"/>
        </w:rPr>
      </w:pPr>
    </w:p>
    <w:p w14:paraId="4A80BAA3" w14:textId="77777777" w:rsidR="00505F61" w:rsidRPr="00F40CEB" w:rsidRDefault="00505F61">
      <w:pPr>
        <w:spacing w:line="360" w:lineRule="auto"/>
        <w:ind w:left="426"/>
        <w:rPr>
          <w:rFonts w:ascii="Arial" w:eastAsia="Arial" w:hAnsi="Arial" w:cs="Arial"/>
        </w:rPr>
      </w:pPr>
    </w:p>
    <w:p w14:paraId="4784DEE6" w14:textId="77777777" w:rsidR="00505F61" w:rsidRPr="00F40CEB" w:rsidRDefault="00505F61">
      <w:pPr>
        <w:tabs>
          <w:tab w:val="left" w:pos="6540"/>
        </w:tabs>
        <w:spacing w:line="360" w:lineRule="auto"/>
        <w:ind w:left="426"/>
        <w:rPr>
          <w:rFonts w:ascii="Arial" w:eastAsia="Arial" w:hAnsi="Arial" w:cs="Arial"/>
          <w:sz w:val="28"/>
          <w:szCs w:val="28"/>
        </w:rPr>
      </w:pPr>
    </w:p>
    <w:p w14:paraId="4F67F5AB" w14:textId="52C27630" w:rsidR="00505F61" w:rsidRPr="00F40CEB" w:rsidRDefault="00657C61" w:rsidP="00D466F7">
      <w:pPr>
        <w:tabs>
          <w:tab w:val="left" w:pos="6540"/>
        </w:tabs>
        <w:spacing w:line="360" w:lineRule="auto"/>
        <w:ind w:left="426"/>
        <w:outlineLvl w:val="0"/>
        <w:rPr>
          <w:rFonts w:ascii="Arial" w:eastAsia="Arial" w:hAnsi="Arial" w:cs="Arial"/>
          <w:sz w:val="28"/>
          <w:szCs w:val="28"/>
        </w:rPr>
      </w:pPr>
      <w:r w:rsidRPr="00F40CEB">
        <w:rPr>
          <w:rFonts w:ascii="Arial" w:hAnsi="Arial" w:cs="Arial"/>
          <w:b/>
          <w:bCs/>
          <w:sz w:val="28"/>
          <w:szCs w:val="28"/>
        </w:rPr>
        <w:t>Student name</w:t>
      </w:r>
      <w:r w:rsidRPr="00F40CEB">
        <w:rPr>
          <w:rFonts w:ascii="Arial" w:hAnsi="Arial" w:cs="Arial"/>
          <w:sz w:val="28"/>
          <w:szCs w:val="28"/>
        </w:rPr>
        <w:t>:</w:t>
      </w:r>
      <w:r w:rsidR="00BF32BE">
        <w:rPr>
          <w:rFonts w:ascii="Arial" w:hAnsi="Arial" w:cs="Arial"/>
          <w:sz w:val="28"/>
          <w:szCs w:val="28"/>
        </w:rPr>
        <w:t xml:space="preserve"> Tatiana Fernandes Da Silva Marinho</w:t>
      </w:r>
    </w:p>
    <w:p w14:paraId="62489256" w14:textId="1402F707" w:rsidR="00505F61" w:rsidRPr="00F40CEB" w:rsidRDefault="00657C61" w:rsidP="00D466F7">
      <w:pPr>
        <w:tabs>
          <w:tab w:val="left" w:pos="6540"/>
        </w:tabs>
        <w:spacing w:line="360" w:lineRule="auto"/>
        <w:ind w:left="426"/>
        <w:outlineLvl w:val="0"/>
        <w:rPr>
          <w:rFonts w:ascii="Arial" w:eastAsia="Arial" w:hAnsi="Arial" w:cs="Arial"/>
          <w:sz w:val="28"/>
          <w:szCs w:val="28"/>
        </w:rPr>
      </w:pPr>
      <w:r w:rsidRPr="00F40CEB">
        <w:rPr>
          <w:rFonts w:ascii="Arial" w:hAnsi="Arial" w:cs="Arial"/>
          <w:b/>
          <w:bCs/>
          <w:sz w:val="28"/>
          <w:szCs w:val="28"/>
        </w:rPr>
        <w:t>Student ID</w:t>
      </w:r>
      <w:r w:rsidRPr="00F40CEB">
        <w:rPr>
          <w:rFonts w:ascii="Arial" w:hAnsi="Arial" w:cs="Arial"/>
          <w:sz w:val="28"/>
          <w:szCs w:val="28"/>
        </w:rPr>
        <w:t>:</w:t>
      </w:r>
      <w:r w:rsidR="00BF32BE">
        <w:rPr>
          <w:rFonts w:ascii="Arial" w:hAnsi="Arial" w:cs="Arial"/>
          <w:sz w:val="28"/>
          <w:szCs w:val="28"/>
        </w:rPr>
        <w:t xml:space="preserve"> 2212472</w:t>
      </w:r>
    </w:p>
    <w:p w14:paraId="1522D8B1" w14:textId="77777777" w:rsidR="00505F61" w:rsidRPr="00F40CEB" w:rsidRDefault="00505F61">
      <w:pPr>
        <w:tabs>
          <w:tab w:val="left" w:pos="6540"/>
        </w:tabs>
        <w:spacing w:line="360" w:lineRule="auto"/>
        <w:ind w:left="426"/>
        <w:rPr>
          <w:rFonts w:ascii="Arial" w:eastAsia="Arial" w:hAnsi="Arial" w:cs="Arial"/>
          <w:sz w:val="28"/>
          <w:szCs w:val="28"/>
        </w:rPr>
      </w:pPr>
    </w:p>
    <w:p w14:paraId="74DFC3E8" w14:textId="77777777" w:rsidR="00505F61" w:rsidRPr="00F40CEB" w:rsidRDefault="00657C61" w:rsidP="00D466F7">
      <w:pPr>
        <w:tabs>
          <w:tab w:val="left" w:pos="6540"/>
        </w:tabs>
        <w:spacing w:line="360" w:lineRule="auto"/>
        <w:ind w:left="426"/>
        <w:outlineLvl w:val="0"/>
        <w:rPr>
          <w:rFonts w:ascii="Arial" w:eastAsia="Arial" w:hAnsi="Arial" w:cs="Arial"/>
          <w:sz w:val="28"/>
          <w:szCs w:val="28"/>
        </w:rPr>
      </w:pPr>
      <w:r w:rsidRPr="00F40CEB">
        <w:rPr>
          <w:rFonts w:ascii="Arial" w:hAnsi="Arial" w:cs="Arial"/>
          <w:b/>
          <w:bCs/>
          <w:sz w:val="28"/>
          <w:szCs w:val="28"/>
        </w:rPr>
        <w:t>Module name</w:t>
      </w:r>
      <w:r w:rsidRPr="00F40CEB">
        <w:rPr>
          <w:rFonts w:ascii="Arial" w:hAnsi="Arial" w:cs="Arial"/>
          <w:sz w:val="28"/>
          <w:szCs w:val="28"/>
        </w:rPr>
        <w:t xml:space="preserve">: </w:t>
      </w:r>
      <w:r w:rsidR="00E02EC1" w:rsidRPr="00F40CEB">
        <w:rPr>
          <w:rFonts w:ascii="Arial" w:hAnsi="Arial" w:cs="Arial"/>
          <w:sz w:val="28"/>
          <w:szCs w:val="28"/>
        </w:rPr>
        <w:t xml:space="preserve">Empowering the Older Person </w:t>
      </w:r>
    </w:p>
    <w:p w14:paraId="476B91AB" w14:textId="5B35AFC2" w:rsidR="00505F61" w:rsidRPr="00F40CEB" w:rsidRDefault="00657C61" w:rsidP="00D466F7">
      <w:pPr>
        <w:tabs>
          <w:tab w:val="left" w:pos="6540"/>
        </w:tabs>
        <w:spacing w:line="360" w:lineRule="auto"/>
        <w:ind w:left="426"/>
        <w:outlineLvl w:val="0"/>
        <w:rPr>
          <w:rFonts w:ascii="Arial" w:eastAsia="Arial" w:hAnsi="Arial" w:cs="Arial"/>
          <w:sz w:val="28"/>
          <w:szCs w:val="28"/>
        </w:rPr>
      </w:pPr>
      <w:r w:rsidRPr="00F40CEB">
        <w:rPr>
          <w:rFonts w:ascii="Arial" w:hAnsi="Arial" w:cs="Arial"/>
          <w:b/>
          <w:bCs/>
          <w:sz w:val="28"/>
          <w:szCs w:val="28"/>
        </w:rPr>
        <w:t xml:space="preserve">Module </w:t>
      </w:r>
      <w:r w:rsidR="00BF32BE" w:rsidRPr="00F40CEB">
        <w:rPr>
          <w:rFonts w:ascii="Arial" w:hAnsi="Arial" w:cs="Arial"/>
          <w:b/>
          <w:bCs/>
          <w:sz w:val="28"/>
          <w:szCs w:val="28"/>
        </w:rPr>
        <w:t>code</w:t>
      </w:r>
      <w:r w:rsidR="00BF32BE" w:rsidRPr="00F40CEB">
        <w:rPr>
          <w:rFonts w:ascii="Arial" w:hAnsi="Arial" w:cs="Arial"/>
          <w:sz w:val="28"/>
          <w:szCs w:val="28"/>
        </w:rPr>
        <w:t>:</w:t>
      </w:r>
      <w:r w:rsidR="00BF32BE">
        <w:rPr>
          <w:rFonts w:ascii="Arial" w:hAnsi="Arial" w:cs="Arial"/>
          <w:sz w:val="28"/>
          <w:szCs w:val="28"/>
        </w:rPr>
        <w:t xml:space="preserve"> BMHP6027</w:t>
      </w:r>
    </w:p>
    <w:p w14:paraId="04C026AA" w14:textId="42D0DAE5" w:rsidR="00505F61" w:rsidRPr="00F40CEB" w:rsidRDefault="00657C61" w:rsidP="00D466F7">
      <w:pPr>
        <w:tabs>
          <w:tab w:val="left" w:pos="6540"/>
        </w:tabs>
        <w:spacing w:line="360" w:lineRule="auto"/>
        <w:ind w:left="426"/>
        <w:outlineLvl w:val="0"/>
        <w:rPr>
          <w:rFonts w:ascii="Arial" w:eastAsia="Arial" w:hAnsi="Arial" w:cs="Arial"/>
          <w:sz w:val="28"/>
          <w:szCs w:val="28"/>
        </w:rPr>
      </w:pPr>
      <w:r w:rsidRPr="00F40CEB">
        <w:rPr>
          <w:rFonts w:ascii="Arial" w:hAnsi="Arial" w:cs="Arial"/>
          <w:b/>
          <w:bCs/>
          <w:sz w:val="28"/>
          <w:szCs w:val="28"/>
        </w:rPr>
        <w:t>Lecturer’s name</w:t>
      </w:r>
      <w:r w:rsidRPr="00F40CEB">
        <w:rPr>
          <w:rFonts w:ascii="Arial" w:hAnsi="Arial" w:cs="Arial"/>
          <w:sz w:val="28"/>
          <w:szCs w:val="28"/>
        </w:rPr>
        <w:t>:</w:t>
      </w:r>
      <w:r w:rsidR="00BF32BE">
        <w:rPr>
          <w:rFonts w:ascii="Arial" w:hAnsi="Arial" w:cs="Arial"/>
          <w:sz w:val="28"/>
          <w:szCs w:val="28"/>
        </w:rPr>
        <w:t xml:space="preserve"> Laila Surani</w:t>
      </w:r>
    </w:p>
    <w:p w14:paraId="5A97FD8E" w14:textId="77777777" w:rsidR="00505F61" w:rsidRPr="00F40CEB" w:rsidRDefault="00505F61">
      <w:pPr>
        <w:rPr>
          <w:rFonts w:ascii="Arial" w:eastAsia="Arial" w:hAnsi="Arial" w:cs="Arial"/>
        </w:rPr>
      </w:pPr>
    </w:p>
    <w:p w14:paraId="13E71A76" w14:textId="77777777" w:rsidR="00505F61" w:rsidRPr="00F40CEB" w:rsidRDefault="00657C61">
      <w:pPr>
        <w:rPr>
          <w:rFonts w:ascii="Arial" w:hAnsi="Arial" w:cs="Arial"/>
        </w:rPr>
      </w:pPr>
      <w:r w:rsidRPr="00F40CEB">
        <w:rPr>
          <w:rFonts w:ascii="Arial" w:eastAsia="Arial Unicode MS" w:hAnsi="Arial" w:cs="Arial"/>
        </w:rPr>
        <w:br w:type="page"/>
      </w:r>
    </w:p>
    <w:tbl>
      <w:tblPr>
        <w:tblW w:w="1439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530"/>
        <w:gridCol w:w="416"/>
        <w:gridCol w:w="4497"/>
        <w:gridCol w:w="360"/>
        <w:gridCol w:w="4587"/>
      </w:tblGrid>
      <w:tr w:rsidR="00505F61" w:rsidRPr="00F40CEB" w14:paraId="127D43A4" w14:textId="77777777" w:rsidTr="00D466F7">
        <w:trPr>
          <w:trHeight w:val="6420"/>
          <w:jc w:val="center"/>
        </w:trPr>
        <w:tc>
          <w:tcPr>
            <w:tcW w:w="453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EEED99" w14:textId="77777777" w:rsidR="00505F61" w:rsidRPr="00F40CEB" w:rsidRDefault="00505F61">
            <w:pPr>
              <w:rPr>
                <w:rFonts w:ascii="Arial" w:eastAsia="Arial" w:hAnsi="Arial" w:cs="Arial"/>
              </w:rPr>
            </w:pPr>
          </w:p>
          <w:p w14:paraId="201DBA0F" w14:textId="77777777" w:rsidR="00505F61" w:rsidRPr="00F40CEB" w:rsidRDefault="00BF2F70">
            <w:pPr>
              <w:rPr>
                <w:rFonts w:ascii="Arial" w:eastAsia="Arial" w:hAnsi="Arial" w:cs="Arial"/>
              </w:rPr>
            </w:pPr>
            <w:r>
              <w:rPr>
                <w:rFonts w:ascii="Arial" w:eastAsia="Arial" w:hAnsi="Arial" w:cs="Arial"/>
                <w:noProof/>
                <w:lang w:val="en-US"/>
              </w:rPr>
              <w:drawing>
                <wp:inline distT="0" distB="0" distL="0" distR="0" wp14:anchorId="2663C3E0" wp14:editId="5C5E1C99">
                  <wp:extent cx="2578100" cy="3505200"/>
                  <wp:effectExtent l="19050" t="0" r="0" b="0"/>
                  <wp:docPr id="1" name="Picture 1" descr="{E8DABB69-E7B8-4C91-A191-52441DB3A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8DABB69-E7B8-4C91-A191-52441DB3A728}"/>
                          <pic:cNvPicPr>
                            <a:picLocks noChangeAspect="1" noChangeArrowheads="1"/>
                          </pic:cNvPicPr>
                        </pic:nvPicPr>
                        <pic:blipFill>
                          <a:blip r:embed="rId8"/>
                          <a:srcRect/>
                          <a:stretch>
                            <a:fillRect/>
                          </a:stretch>
                        </pic:blipFill>
                        <pic:spPr bwMode="auto">
                          <a:xfrm>
                            <a:off x="0" y="0"/>
                            <a:ext cx="2578100" cy="3505200"/>
                          </a:xfrm>
                          <a:prstGeom prst="rect">
                            <a:avLst/>
                          </a:prstGeom>
                          <a:noFill/>
                          <a:ln w="9525">
                            <a:noFill/>
                            <a:miter lim="800000"/>
                            <a:headEnd/>
                            <a:tailEnd/>
                          </a:ln>
                        </pic:spPr>
                      </pic:pic>
                    </a:graphicData>
                  </a:graphic>
                </wp:inline>
              </w:drawing>
            </w:r>
          </w:p>
        </w:tc>
        <w:tc>
          <w:tcPr>
            <w:tcW w:w="41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77A31F" w14:textId="77777777" w:rsidR="00505F61" w:rsidRPr="00F40CEB" w:rsidRDefault="00505F61">
            <w:pPr>
              <w:rPr>
                <w:rFonts w:ascii="Arial" w:hAnsi="Arial" w:cs="Arial"/>
              </w:rPr>
            </w:pPr>
          </w:p>
        </w:tc>
        <w:tc>
          <w:tcPr>
            <w:tcW w:w="4497"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B9B5A7" w14:textId="77777777" w:rsidR="00F40CEB" w:rsidRPr="00F40CEB" w:rsidRDefault="00F40CEB" w:rsidP="00F40CEB">
            <w:pPr>
              <w:pStyle w:val="Heading1"/>
              <w:spacing w:line="276" w:lineRule="auto"/>
              <w:jc w:val="both"/>
              <w:rPr>
                <w:rFonts w:ascii="Arial" w:hAnsi="Arial" w:cs="Arial"/>
                <w:color w:val="000000"/>
                <w:lang w:val="en-GB"/>
              </w:rPr>
            </w:pPr>
            <w:bookmarkStart w:id="0" w:name="_Toc212039249"/>
            <w:r w:rsidRPr="00F40CEB">
              <w:rPr>
                <w:rFonts w:ascii="Arial" w:hAnsi="Arial" w:cs="Arial"/>
                <w:color w:val="000000"/>
                <w:lang w:val="en-GB"/>
              </w:rPr>
              <w:t>Evaluation of empowerment, care, and support needs of old people</w:t>
            </w:r>
            <w:bookmarkEnd w:id="0"/>
            <w:r w:rsidRPr="00F40CEB">
              <w:rPr>
                <w:rFonts w:ascii="Arial" w:hAnsi="Arial" w:cs="Arial"/>
                <w:color w:val="000000"/>
                <w:lang w:val="en-GB"/>
              </w:rPr>
              <w:t xml:space="preserve"> </w:t>
            </w:r>
          </w:p>
          <w:p w14:paraId="3E7A95E5" w14:textId="77777777"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Empowerment of older people requires a holistic approach that aims to balance the support provision of care with the promotion of independence, dignity, and self-determination. As per the view of </w:t>
            </w:r>
            <w:r w:rsidRPr="00D466F7">
              <w:rPr>
                <w:rFonts w:ascii="Arial" w:hAnsi="Arial" w:cs="Arial"/>
                <w:color w:val="222222"/>
                <w:sz w:val="20"/>
                <w:szCs w:val="24"/>
              </w:rPr>
              <w:t>Chu</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(2022) </w:t>
            </w:r>
            <w:r w:rsidRPr="00D466F7">
              <w:rPr>
                <w:rFonts w:ascii="Arial" w:hAnsi="Arial" w:cs="Arial"/>
                <w:sz w:val="20"/>
              </w:rPr>
              <w:t xml:space="preserve">empowerment comprises of addressing diverse barriers such as social isolation, ageism and limited access to resources while fostering an environment that aims to provide support to the self-worth and independence of the old people. Care, empowerment and support needs help in maintenance of functional ability of the old people that is defined as the capacity to meet the basic needs, make decisions, learn and contribute to the society. However, </w:t>
            </w:r>
            <w:proofErr w:type="spellStart"/>
            <w:r w:rsidRPr="00D466F7">
              <w:rPr>
                <w:rFonts w:ascii="Arial" w:hAnsi="Arial" w:cs="Arial"/>
                <w:color w:val="222222"/>
                <w:sz w:val="20"/>
                <w:szCs w:val="24"/>
              </w:rPr>
              <w:t>Pitkala</w:t>
            </w:r>
            <w:proofErr w:type="spellEnd"/>
            <w:r w:rsidRPr="00D466F7">
              <w:rPr>
                <w:rFonts w:ascii="Arial" w:hAnsi="Arial" w:cs="Arial"/>
                <w:color w:val="222222"/>
                <w:sz w:val="20"/>
                <w:szCs w:val="24"/>
              </w:rPr>
              <w:t xml:space="preserve"> and Strandberg, (2022)</w:t>
            </w:r>
            <w:r w:rsidRPr="00D466F7">
              <w:rPr>
                <w:rFonts w:ascii="Arial" w:hAnsi="Arial" w:cs="Arial"/>
                <w:sz w:val="20"/>
              </w:rPr>
              <w:t xml:space="preserve"> contradicted that a critical challenge lies related to the shifting towards rehabilitative and person-centred approaches that promotes mobility, self-care, and social engagement. For example, tailored exercise programmes, occupational therapy, and assistive technologies can sustain functional ability and prevent dependence of the older people.</w:t>
            </w:r>
          </w:p>
          <w:p w14:paraId="7FD53DF1" w14:textId="77777777"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In addition to that, </w:t>
            </w:r>
            <w:r w:rsidRPr="00D466F7">
              <w:rPr>
                <w:rFonts w:ascii="Arial" w:hAnsi="Arial" w:cs="Arial"/>
                <w:color w:val="222222"/>
                <w:sz w:val="20"/>
                <w:szCs w:val="24"/>
              </w:rPr>
              <w:t>Nilsen</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(2022) </w:t>
            </w:r>
            <w:r w:rsidRPr="00D466F7">
              <w:rPr>
                <w:rFonts w:ascii="Arial" w:hAnsi="Arial" w:cs="Arial"/>
                <w:sz w:val="20"/>
              </w:rPr>
              <w:t xml:space="preserve">stated that promotion of independence is identified as another key element of empowerment that allows the older individuals to make decisions and perform activities with the elimination of unnecessary reliance on others. Empowering care further adopted the risk-enablement approach that supports independence of the old people while managing the potential risks by way </w:t>
            </w:r>
            <w:r w:rsidRPr="00D466F7">
              <w:rPr>
                <w:rFonts w:ascii="Arial" w:hAnsi="Arial" w:cs="Arial"/>
                <w:sz w:val="20"/>
              </w:rPr>
              <w:lastRenderedPageBreak/>
              <w:t xml:space="preserve">of collaborative decision making and informed choice </w:t>
            </w:r>
            <w:r w:rsidRPr="00D466F7">
              <w:rPr>
                <w:rFonts w:ascii="Arial" w:hAnsi="Arial" w:cs="Arial"/>
                <w:color w:val="222222"/>
                <w:sz w:val="20"/>
                <w:szCs w:val="24"/>
              </w:rPr>
              <w:t>(Lind</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2021).</w:t>
            </w:r>
            <w:r w:rsidRPr="00D466F7">
              <w:rPr>
                <w:rFonts w:ascii="Arial" w:hAnsi="Arial" w:cs="Arial"/>
                <w:sz w:val="20"/>
              </w:rPr>
              <w:t xml:space="preserve"> Community-based services and age-friendly housing can also enhance autonomy among older persons by enabling them to remain in their homes and communities for as long as possible.</w:t>
            </w:r>
          </w:p>
          <w:p w14:paraId="32B638E4" w14:textId="77777777" w:rsidR="00505F61" w:rsidRPr="00D466F7" w:rsidRDefault="00F40CEB" w:rsidP="00D466F7">
            <w:pPr>
              <w:spacing w:line="276" w:lineRule="auto"/>
              <w:jc w:val="both"/>
              <w:rPr>
                <w:rFonts w:ascii="Arial" w:hAnsi="Arial" w:cs="Arial"/>
                <w:sz w:val="20"/>
              </w:rPr>
            </w:pPr>
            <w:r w:rsidRPr="00D466F7">
              <w:rPr>
                <w:rFonts w:ascii="Arial" w:hAnsi="Arial" w:cs="Arial"/>
                <w:sz w:val="20"/>
              </w:rPr>
              <w:t xml:space="preserve">It is further identified that it ensures about choice and freedom of the old people that are fundamental human rights. </w:t>
            </w:r>
            <w:r w:rsidRPr="00D466F7">
              <w:rPr>
                <w:rFonts w:ascii="Arial" w:hAnsi="Arial" w:cs="Arial"/>
                <w:color w:val="222222"/>
                <w:sz w:val="20"/>
                <w:szCs w:val="24"/>
              </w:rPr>
              <w:t>Bertram</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(2021)</w:t>
            </w:r>
            <w:r w:rsidRPr="00D466F7">
              <w:rPr>
                <w:rFonts w:ascii="Arial" w:hAnsi="Arial" w:cs="Arial"/>
                <w:sz w:val="20"/>
              </w:rPr>
              <w:t xml:space="preserve"> analysed that old people have the right to make decisions related to their care, lifestyle, and daily routines even when their choices are different from professional or family preferences. With the application of frameworks such as the </w:t>
            </w:r>
            <w:r w:rsidRPr="00D466F7">
              <w:rPr>
                <w:rStyle w:val="Emphasis"/>
                <w:rFonts w:ascii="Arial" w:hAnsi="Arial" w:cs="Arial"/>
                <w:sz w:val="20"/>
              </w:rPr>
              <w:t>Mental Capacity Act of 2005</w:t>
            </w:r>
            <w:r w:rsidRPr="00D466F7">
              <w:rPr>
                <w:rFonts w:ascii="Arial" w:hAnsi="Arial" w:cs="Arial"/>
                <w:sz w:val="20"/>
              </w:rPr>
              <w:t xml:space="preserve"> in the UK, the care providers ensure that the rights of older people to make their own choices. </w:t>
            </w:r>
            <w:r w:rsidRPr="00D466F7">
              <w:rPr>
                <w:rFonts w:ascii="Arial" w:hAnsi="Arial" w:cs="Arial"/>
                <w:color w:val="222222"/>
                <w:sz w:val="20"/>
                <w:szCs w:val="24"/>
              </w:rPr>
              <w:t>Turner</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(2021) </w:t>
            </w:r>
            <w:r w:rsidRPr="00D466F7">
              <w:rPr>
                <w:rFonts w:ascii="Arial" w:hAnsi="Arial" w:cs="Arial"/>
                <w:sz w:val="20"/>
              </w:rPr>
              <w:t xml:space="preserve">mentioned that the current and emergent innovation provision of assistive technologies and wearables for monitoring and functions that enable independence, accessibility, and safety among older people. It provides non-stop monitoring, continuous and early alerts for falls or any medical emergency that offers vital support to the medical adherence. Along with that, </w:t>
            </w:r>
            <w:proofErr w:type="spellStart"/>
            <w:r w:rsidRPr="00D466F7">
              <w:rPr>
                <w:rFonts w:ascii="Arial" w:hAnsi="Arial" w:cs="Arial"/>
                <w:color w:val="222222"/>
                <w:sz w:val="20"/>
                <w:szCs w:val="24"/>
              </w:rPr>
              <w:t>Klaic</w:t>
            </w:r>
            <w:proofErr w:type="spellEnd"/>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(2022)</w:t>
            </w:r>
            <w:r w:rsidRPr="00D466F7">
              <w:rPr>
                <w:rFonts w:ascii="Arial" w:hAnsi="Arial" w:cs="Arial"/>
                <w:sz w:val="20"/>
              </w:rPr>
              <w:t xml:space="preserve"> critically evaluated that the emergent technological provision of a smart-home system that includes voice assistants, automated lighting, smart locks, motion sensors, and linked emergency responses can enhance independence and minimise the burden of caregivers.</w:t>
            </w:r>
          </w:p>
        </w:tc>
        <w:tc>
          <w:tcPr>
            <w:tcW w:w="360"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B163DD" w14:textId="77777777" w:rsidR="00505F61" w:rsidRPr="00F40CEB" w:rsidRDefault="00505F61">
            <w:pPr>
              <w:rPr>
                <w:rFonts w:ascii="Arial" w:hAnsi="Arial" w:cs="Arial"/>
              </w:rPr>
            </w:pPr>
          </w:p>
        </w:tc>
        <w:tc>
          <w:tcPr>
            <w:tcW w:w="458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750D161" w14:textId="77777777" w:rsidR="00505F61" w:rsidRPr="00F40CEB" w:rsidRDefault="00BF2F70">
            <w:pPr>
              <w:rPr>
                <w:rFonts w:ascii="Arial" w:hAnsi="Arial" w:cs="Arial"/>
              </w:rPr>
            </w:pPr>
            <w:r>
              <w:rPr>
                <w:rFonts w:ascii="Arial" w:hAnsi="Arial" w:cs="Arial"/>
                <w:noProof/>
                <w:lang w:val="en-US"/>
              </w:rPr>
              <w:drawing>
                <wp:inline distT="0" distB="0" distL="0" distR="0" wp14:anchorId="217C0A93" wp14:editId="2EAE7FF2">
                  <wp:extent cx="2628900" cy="3651250"/>
                  <wp:effectExtent l="19050" t="0" r="0" b="0"/>
                  <wp:docPr id="2" name="Picture 2" descr="{8183087F-DDF6-49E0-9555-8118BE78E6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8183087F-DDF6-49E0-9555-8118BE78E6D8}"/>
                          <pic:cNvPicPr>
                            <a:picLocks noChangeAspect="1" noChangeArrowheads="1"/>
                          </pic:cNvPicPr>
                        </pic:nvPicPr>
                        <pic:blipFill>
                          <a:blip r:embed="rId9"/>
                          <a:srcRect/>
                          <a:stretch>
                            <a:fillRect/>
                          </a:stretch>
                        </pic:blipFill>
                        <pic:spPr bwMode="auto">
                          <a:xfrm>
                            <a:off x="0" y="0"/>
                            <a:ext cx="2628900" cy="3651250"/>
                          </a:xfrm>
                          <a:prstGeom prst="rect">
                            <a:avLst/>
                          </a:prstGeom>
                          <a:noFill/>
                          <a:ln w="9525">
                            <a:noFill/>
                            <a:miter lim="800000"/>
                            <a:headEnd/>
                            <a:tailEnd/>
                          </a:ln>
                        </pic:spPr>
                      </pic:pic>
                    </a:graphicData>
                  </a:graphic>
                </wp:inline>
              </w:drawing>
            </w:r>
          </w:p>
        </w:tc>
      </w:tr>
      <w:tr w:rsidR="00505F61" w:rsidRPr="00F40CEB" w14:paraId="629C5457" w14:textId="77777777">
        <w:trPr>
          <w:trHeight w:val="243"/>
          <w:jc w:val="center"/>
        </w:trPr>
        <w:tc>
          <w:tcPr>
            <w:tcW w:w="453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98B667" w14:textId="77777777" w:rsidR="00505F61" w:rsidRPr="00F40CEB" w:rsidRDefault="00505F61">
            <w:pPr>
              <w:rPr>
                <w:rFonts w:ascii="Arial" w:hAnsi="Arial" w:cs="Arial"/>
              </w:rPr>
            </w:pPr>
          </w:p>
        </w:tc>
        <w:tc>
          <w:tcPr>
            <w:tcW w:w="416" w:type="dxa"/>
            <w:vMerge/>
            <w:tcBorders>
              <w:top w:val="single" w:sz="4" w:space="0" w:color="000000"/>
              <w:left w:val="single" w:sz="4" w:space="0" w:color="000000"/>
              <w:bottom w:val="single" w:sz="4" w:space="0" w:color="000000"/>
              <w:right w:val="single" w:sz="4" w:space="0" w:color="000000"/>
            </w:tcBorders>
          </w:tcPr>
          <w:p w14:paraId="7F9A86B9" w14:textId="77777777" w:rsidR="00505F61" w:rsidRPr="00F40CEB" w:rsidRDefault="00505F61">
            <w:pPr>
              <w:rPr>
                <w:rFonts w:ascii="Arial" w:hAnsi="Arial" w:cs="Arial"/>
              </w:rPr>
            </w:pPr>
          </w:p>
        </w:tc>
        <w:tc>
          <w:tcPr>
            <w:tcW w:w="4497" w:type="dxa"/>
            <w:vMerge/>
            <w:tcBorders>
              <w:top w:val="single" w:sz="4" w:space="0" w:color="000000"/>
              <w:left w:val="single" w:sz="4" w:space="0" w:color="000000"/>
              <w:bottom w:val="single" w:sz="4" w:space="0" w:color="000000"/>
              <w:right w:val="single" w:sz="4" w:space="0" w:color="000000"/>
            </w:tcBorders>
          </w:tcPr>
          <w:p w14:paraId="662F6A54" w14:textId="77777777" w:rsidR="00505F61" w:rsidRPr="00F40CEB" w:rsidRDefault="00505F61">
            <w:pPr>
              <w:rPr>
                <w:rFonts w:ascii="Arial" w:hAnsi="Arial" w:cs="Arial"/>
              </w:rPr>
            </w:pPr>
          </w:p>
        </w:tc>
        <w:tc>
          <w:tcPr>
            <w:tcW w:w="360" w:type="dxa"/>
            <w:vMerge/>
            <w:tcBorders>
              <w:top w:val="single" w:sz="4" w:space="0" w:color="000000"/>
              <w:left w:val="single" w:sz="4" w:space="0" w:color="000000"/>
              <w:bottom w:val="single" w:sz="4" w:space="0" w:color="000000"/>
              <w:right w:val="single" w:sz="4" w:space="0" w:color="000000"/>
            </w:tcBorders>
          </w:tcPr>
          <w:p w14:paraId="440F13EC" w14:textId="77777777" w:rsidR="00505F61" w:rsidRPr="00F40CEB" w:rsidRDefault="00505F61">
            <w:pPr>
              <w:rPr>
                <w:rFonts w:ascii="Arial" w:hAnsi="Arial" w:cs="Arial"/>
              </w:rPr>
            </w:pPr>
          </w:p>
        </w:tc>
        <w:tc>
          <w:tcPr>
            <w:tcW w:w="458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7C24CC" w14:textId="77777777" w:rsidR="00505F61" w:rsidRPr="00F40CEB" w:rsidRDefault="00505F61">
            <w:pPr>
              <w:rPr>
                <w:rFonts w:ascii="Arial" w:hAnsi="Arial" w:cs="Arial"/>
              </w:rPr>
            </w:pPr>
          </w:p>
        </w:tc>
      </w:tr>
      <w:tr w:rsidR="00505F61" w:rsidRPr="00F40CEB" w14:paraId="2EFBFAF1" w14:textId="77777777">
        <w:trPr>
          <w:trHeight w:val="484"/>
          <w:jc w:val="center"/>
        </w:trPr>
        <w:tc>
          <w:tcPr>
            <w:tcW w:w="4530"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5C6A38" w14:textId="77777777" w:rsidR="00E02EC1" w:rsidRPr="00F40CEB" w:rsidRDefault="00E02EC1" w:rsidP="00F40CEB">
            <w:pPr>
              <w:pStyle w:val="Heading1"/>
              <w:spacing w:line="276" w:lineRule="auto"/>
              <w:jc w:val="both"/>
              <w:rPr>
                <w:rFonts w:ascii="Arial" w:hAnsi="Arial" w:cs="Arial"/>
                <w:color w:val="000000"/>
                <w:lang w:val="en-GB"/>
              </w:rPr>
            </w:pPr>
            <w:bookmarkStart w:id="1" w:name="_Toc212039248"/>
            <w:r w:rsidRPr="00F40CEB">
              <w:rPr>
                <w:rFonts w:ascii="Arial" w:hAnsi="Arial" w:cs="Arial"/>
                <w:color w:val="000000"/>
                <w:lang w:val="en-GB"/>
              </w:rPr>
              <w:t>Introduction and Statistics</w:t>
            </w:r>
            <w:bookmarkEnd w:id="1"/>
            <w:r w:rsidRPr="00F40CEB">
              <w:rPr>
                <w:rFonts w:ascii="Arial" w:hAnsi="Arial" w:cs="Arial"/>
                <w:color w:val="000000"/>
                <w:lang w:val="en-GB"/>
              </w:rPr>
              <w:t xml:space="preserve"> </w:t>
            </w:r>
          </w:p>
          <w:p w14:paraId="4E63AD4D" w14:textId="77777777"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Empowerment of older people deals with enabling the elderly individuals to maintain control over their lives, make independent decisions, and ensure about their active participation in society with dignity and confidence </w:t>
            </w:r>
            <w:r w:rsidRPr="00D466F7">
              <w:rPr>
                <w:rFonts w:ascii="Arial" w:hAnsi="Arial" w:cs="Arial"/>
                <w:color w:val="222222"/>
                <w:sz w:val="20"/>
                <w:szCs w:val="24"/>
              </w:rPr>
              <w:t xml:space="preserve">(Akbar, 2021). </w:t>
            </w:r>
            <w:r w:rsidRPr="00D466F7">
              <w:rPr>
                <w:rFonts w:ascii="Arial" w:hAnsi="Arial" w:cs="Arial"/>
                <w:sz w:val="20"/>
              </w:rPr>
              <w:t xml:space="preserve">The key concept of empowerment has become central for the promotion of healthy ageing and improvement in their quality of life. There were an estimated </w:t>
            </w:r>
            <w:r w:rsidRPr="00D466F7">
              <w:rPr>
                <w:rFonts w:ascii="Arial" w:hAnsi="Arial" w:cs="Arial"/>
                <w:sz w:val="20"/>
              </w:rPr>
              <w:lastRenderedPageBreak/>
              <w:t xml:space="preserve">6,25,000 people who are aged 90 years or above in the UK, an increase of 2.2% since 2023 (Office for National Statistics, 2025). Increase in older population reflects the greater importance of supporting independence, empowerment and inclusion of older people. In addition to that, empowerment involves more than offering care; it further requires respect, inclusion, and strengthening the physical, emotional, social, and financial wellbeing of older persons. </w:t>
            </w:r>
          </w:p>
          <w:p w14:paraId="60FC3D56" w14:textId="77777777" w:rsidR="00505F61" w:rsidRPr="00F40CEB" w:rsidRDefault="00505F61" w:rsidP="00F40CEB">
            <w:pPr>
              <w:rPr>
                <w:rFonts w:ascii="Arial" w:hAnsi="Arial" w:cs="Arial"/>
              </w:rPr>
            </w:pPr>
          </w:p>
        </w:tc>
        <w:tc>
          <w:tcPr>
            <w:tcW w:w="416" w:type="dxa"/>
            <w:vMerge/>
            <w:tcBorders>
              <w:top w:val="single" w:sz="4" w:space="0" w:color="000000"/>
              <w:left w:val="single" w:sz="4" w:space="0" w:color="000000"/>
              <w:bottom w:val="single" w:sz="4" w:space="0" w:color="000000"/>
              <w:right w:val="single" w:sz="4" w:space="0" w:color="000000"/>
            </w:tcBorders>
          </w:tcPr>
          <w:p w14:paraId="47C9E854" w14:textId="77777777" w:rsidR="00505F61" w:rsidRPr="00F40CEB" w:rsidRDefault="00505F61">
            <w:pPr>
              <w:rPr>
                <w:rFonts w:ascii="Arial" w:hAnsi="Arial" w:cs="Arial"/>
              </w:rPr>
            </w:pPr>
          </w:p>
        </w:tc>
        <w:tc>
          <w:tcPr>
            <w:tcW w:w="4497" w:type="dxa"/>
            <w:vMerge/>
            <w:tcBorders>
              <w:top w:val="single" w:sz="4" w:space="0" w:color="000000"/>
              <w:left w:val="single" w:sz="4" w:space="0" w:color="000000"/>
              <w:bottom w:val="single" w:sz="4" w:space="0" w:color="000000"/>
              <w:right w:val="single" w:sz="4" w:space="0" w:color="000000"/>
            </w:tcBorders>
          </w:tcPr>
          <w:p w14:paraId="27E2C16C" w14:textId="77777777" w:rsidR="00505F61" w:rsidRPr="00F40CEB" w:rsidRDefault="00505F61">
            <w:pPr>
              <w:rPr>
                <w:rFonts w:ascii="Arial" w:hAnsi="Arial" w:cs="Arial"/>
              </w:rPr>
            </w:pPr>
          </w:p>
        </w:tc>
        <w:tc>
          <w:tcPr>
            <w:tcW w:w="360" w:type="dxa"/>
            <w:vMerge/>
            <w:tcBorders>
              <w:top w:val="single" w:sz="4" w:space="0" w:color="000000"/>
              <w:left w:val="single" w:sz="4" w:space="0" w:color="000000"/>
              <w:bottom w:val="single" w:sz="4" w:space="0" w:color="000000"/>
              <w:right w:val="single" w:sz="4" w:space="0" w:color="000000"/>
            </w:tcBorders>
          </w:tcPr>
          <w:p w14:paraId="41231D15" w14:textId="77777777" w:rsidR="00505F61" w:rsidRPr="00F40CEB" w:rsidRDefault="00505F61">
            <w:pPr>
              <w:rPr>
                <w:rFonts w:ascii="Arial" w:hAnsi="Arial" w:cs="Arial"/>
              </w:rPr>
            </w:pPr>
          </w:p>
        </w:tc>
        <w:tc>
          <w:tcPr>
            <w:tcW w:w="4587"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1F8817" w14:textId="77777777" w:rsidR="00F40CEB" w:rsidRPr="00F40CEB" w:rsidRDefault="00F40CEB" w:rsidP="00F40CEB">
            <w:pPr>
              <w:pStyle w:val="Heading1"/>
              <w:spacing w:line="276" w:lineRule="auto"/>
              <w:jc w:val="both"/>
              <w:rPr>
                <w:rFonts w:ascii="Arial" w:hAnsi="Arial" w:cs="Arial"/>
                <w:color w:val="000000"/>
                <w:lang w:val="en-GB"/>
              </w:rPr>
            </w:pPr>
            <w:bookmarkStart w:id="2" w:name="_Toc212039251"/>
            <w:r w:rsidRPr="00F40CEB">
              <w:rPr>
                <w:rFonts w:ascii="Arial" w:hAnsi="Arial" w:cs="Arial"/>
                <w:color w:val="000000"/>
                <w:lang w:val="en-GB"/>
              </w:rPr>
              <w:t>Challenges faced by older people</w:t>
            </w:r>
            <w:bookmarkEnd w:id="2"/>
            <w:r w:rsidRPr="00F40CEB">
              <w:rPr>
                <w:rFonts w:ascii="Arial" w:hAnsi="Arial" w:cs="Arial"/>
                <w:color w:val="000000"/>
                <w:lang w:val="en-GB"/>
              </w:rPr>
              <w:t xml:space="preserve"> </w:t>
            </w:r>
          </w:p>
          <w:p w14:paraId="03B4D5EB" w14:textId="77777777"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Maintenance of functional ability and independency is termed as the cornerstone of the healthy ageing and overall wellbeing in later life </w:t>
            </w:r>
            <w:r w:rsidRPr="00D466F7">
              <w:rPr>
                <w:rFonts w:ascii="Arial" w:hAnsi="Arial" w:cs="Arial"/>
                <w:color w:val="222222"/>
                <w:sz w:val="20"/>
                <w:szCs w:val="24"/>
              </w:rPr>
              <w:t>(Western</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2021). </w:t>
            </w:r>
            <w:r w:rsidRPr="00D466F7">
              <w:rPr>
                <w:rFonts w:ascii="Arial" w:hAnsi="Arial" w:cs="Arial"/>
                <w:sz w:val="20"/>
              </w:rPr>
              <w:t xml:space="preserve">However, the older adults often faced diverse interconnected challenges that can compromise their living ability. One of the most significant challenges is defined as the </w:t>
            </w:r>
            <w:r w:rsidRPr="00D466F7">
              <w:rPr>
                <w:rFonts w:ascii="Arial" w:hAnsi="Arial" w:cs="Arial"/>
                <w:sz w:val="20"/>
              </w:rPr>
              <w:lastRenderedPageBreak/>
              <w:t xml:space="preserve">natural decline in physical health that is primarily associated with the ageing. Chronic conditions such as arthritis, cardiovascular disease, diabetes, and sensory impairments such as vision or hearing loss can limit mobility and the ability to perform self-care. Cognitive decline that further includes dementia also impairs the capacity of decision-making and functional independence </w:t>
            </w:r>
            <w:r w:rsidRPr="00D466F7">
              <w:rPr>
                <w:rFonts w:ascii="Arial" w:hAnsi="Arial" w:cs="Arial"/>
                <w:color w:val="222222"/>
                <w:sz w:val="20"/>
                <w:szCs w:val="24"/>
              </w:rPr>
              <w:t>(</w:t>
            </w:r>
            <w:proofErr w:type="spellStart"/>
            <w:r w:rsidRPr="00D466F7">
              <w:rPr>
                <w:rFonts w:ascii="Arial" w:hAnsi="Arial" w:cs="Arial"/>
                <w:color w:val="222222"/>
                <w:sz w:val="20"/>
                <w:szCs w:val="24"/>
              </w:rPr>
              <w:t>Alderwick</w:t>
            </w:r>
            <w:proofErr w:type="spellEnd"/>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2021). </w:t>
            </w:r>
            <w:r w:rsidRPr="00D466F7">
              <w:rPr>
                <w:rFonts w:ascii="Arial" w:hAnsi="Arial" w:cs="Arial"/>
                <w:sz w:val="20"/>
              </w:rPr>
              <w:t xml:space="preserve">On the other hand, there are various psychological and emotional challenges such as depression, anxiety, and loss of self-esteem, faced by the old people while maintaining their functional ability and independence. </w:t>
            </w:r>
          </w:p>
          <w:p w14:paraId="4B7F39B7" w14:textId="77777777" w:rsidR="00505F61" w:rsidRPr="00D466F7" w:rsidRDefault="00F40CEB" w:rsidP="00F40CEB">
            <w:pPr>
              <w:spacing w:line="276" w:lineRule="auto"/>
              <w:jc w:val="both"/>
              <w:rPr>
                <w:rFonts w:ascii="Arial" w:hAnsi="Arial" w:cs="Arial"/>
                <w:sz w:val="20"/>
              </w:rPr>
            </w:pPr>
            <w:r w:rsidRPr="00D466F7">
              <w:rPr>
                <w:rFonts w:ascii="Arial" w:hAnsi="Arial" w:cs="Arial"/>
                <w:sz w:val="20"/>
              </w:rPr>
              <w:t xml:space="preserve">When older people experience the loss of control, either through institutionalisation or overprotective care practices it can lead to dependency, learned helplessness, and social withdrawal </w:t>
            </w:r>
            <w:r w:rsidRPr="00D466F7">
              <w:rPr>
                <w:rFonts w:ascii="Arial" w:hAnsi="Arial" w:cs="Arial"/>
                <w:color w:val="222222"/>
                <w:sz w:val="20"/>
                <w:szCs w:val="24"/>
              </w:rPr>
              <w:t xml:space="preserve">(Akbar, 2021). </w:t>
            </w:r>
            <w:r w:rsidRPr="00D466F7">
              <w:rPr>
                <w:rFonts w:ascii="Arial" w:hAnsi="Arial" w:cs="Arial"/>
                <w:sz w:val="20"/>
              </w:rPr>
              <w:t xml:space="preserve">Apart from that, social isolation is identified as another crucial challenge that has an adverse impact on the independence and functional ability of the old people. Older people, who live alone or have limited family support, are at greater risk of loneliness. The report of </w:t>
            </w:r>
            <w:r w:rsidRPr="00D466F7">
              <w:rPr>
                <w:rStyle w:val="Strong"/>
                <w:rFonts w:ascii="Arial" w:hAnsi="Arial" w:cs="Arial"/>
                <w:b w:val="0"/>
                <w:sz w:val="20"/>
              </w:rPr>
              <w:t>Age UK (2024)</w:t>
            </w:r>
            <w:r w:rsidRPr="00D466F7">
              <w:rPr>
                <w:rFonts w:ascii="Arial" w:hAnsi="Arial" w:cs="Arial"/>
                <w:b/>
                <w:sz w:val="20"/>
              </w:rPr>
              <w:t xml:space="preserve"> </w:t>
            </w:r>
            <w:r w:rsidRPr="00D466F7">
              <w:rPr>
                <w:rFonts w:ascii="Arial" w:hAnsi="Arial" w:cs="Arial"/>
                <w:sz w:val="20"/>
              </w:rPr>
              <w:t xml:space="preserve">indicates that millions of older adults in the UK feel socially isolated that have adverse impact on mental health deterioration and minimises physical activity (Age UK, 2024). Limited access to community activities, digital exclusion, and reduced mobility further enhance isolation among old people. Without strong social networks, older adults are less likely to engage in health-promotion behaviours or seek help during need or emergency. In addition, there is a challenge of lack of healthcare assess and social care </w:t>
            </w:r>
            <w:r w:rsidRPr="00D466F7">
              <w:rPr>
                <w:rFonts w:ascii="Arial" w:hAnsi="Arial" w:cs="Arial"/>
                <w:sz w:val="20"/>
              </w:rPr>
              <w:lastRenderedPageBreak/>
              <w:t xml:space="preserve">services despite of strong healthcare infrastructure of the UK. Older people often face challenge in accessing coordinated care in time due to long waiting times, shortage of community-based services and fragmented care across social and health care sectors </w:t>
            </w:r>
            <w:r w:rsidRPr="00D466F7">
              <w:rPr>
                <w:rFonts w:ascii="Arial" w:hAnsi="Arial" w:cs="Arial"/>
                <w:color w:val="222222"/>
                <w:sz w:val="20"/>
                <w:szCs w:val="24"/>
              </w:rPr>
              <w:t>(</w:t>
            </w:r>
            <w:proofErr w:type="spellStart"/>
            <w:r w:rsidRPr="00D466F7">
              <w:rPr>
                <w:rFonts w:ascii="Arial" w:hAnsi="Arial" w:cs="Arial"/>
                <w:color w:val="222222"/>
                <w:sz w:val="20"/>
                <w:szCs w:val="24"/>
              </w:rPr>
              <w:t>Pitkala</w:t>
            </w:r>
            <w:proofErr w:type="spellEnd"/>
            <w:r w:rsidRPr="00D466F7">
              <w:rPr>
                <w:rFonts w:ascii="Arial" w:hAnsi="Arial" w:cs="Arial"/>
                <w:color w:val="222222"/>
                <w:sz w:val="20"/>
                <w:szCs w:val="24"/>
              </w:rPr>
              <w:t xml:space="preserve"> and Strandberg, 2022).</w:t>
            </w:r>
            <w:r w:rsidRPr="00D466F7">
              <w:rPr>
                <w:rFonts w:ascii="Arial" w:hAnsi="Arial" w:cs="Arial"/>
                <w:sz w:val="20"/>
              </w:rPr>
              <w:t xml:space="preserve"> This leads to unmet care needs of the old people and limits the early intervention and rehabilitation that is required for the maintenance of functional ability and independence. </w:t>
            </w:r>
          </w:p>
          <w:p w14:paraId="6AD5F4CC" w14:textId="77777777" w:rsidR="00F40CEB" w:rsidRPr="00F40CEB" w:rsidRDefault="00F40CEB" w:rsidP="00F40CEB">
            <w:pPr>
              <w:pStyle w:val="Heading1"/>
              <w:spacing w:line="276" w:lineRule="auto"/>
              <w:jc w:val="both"/>
              <w:rPr>
                <w:rFonts w:ascii="Arial" w:hAnsi="Arial" w:cs="Arial"/>
                <w:color w:val="000000"/>
                <w:lang w:val="en-GB"/>
              </w:rPr>
            </w:pPr>
            <w:bookmarkStart w:id="3" w:name="_Toc212039252"/>
            <w:r w:rsidRPr="00F40CEB">
              <w:rPr>
                <w:rFonts w:ascii="Arial" w:hAnsi="Arial" w:cs="Arial"/>
                <w:color w:val="000000"/>
                <w:lang w:val="en-GB"/>
              </w:rPr>
              <w:t>Recommendations and Conclusion</w:t>
            </w:r>
            <w:bookmarkEnd w:id="3"/>
            <w:r w:rsidRPr="00F40CEB">
              <w:rPr>
                <w:rFonts w:ascii="Arial" w:hAnsi="Arial" w:cs="Arial"/>
                <w:color w:val="000000"/>
                <w:lang w:val="en-GB"/>
              </w:rPr>
              <w:t xml:space="preserve"> </w:t>
            </w:r>
          </w:p>
          <w:p w14:paraId="2D1D35B7" w14:textId="77777777"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The following recommendations aims to strengthen the existing services and promote empowerment across older people are as follows: </w:t>
            </w:r>
          </w:p>
          <w:p w14:paraId="54A26DD8" w14:textId="77777777" w:rsidR="00F40CEB" w:rsidRPr="00D466F7" w:rsidRDefault="00F40CEB" w:rsidP="00F40CEB">
            <w:pPr>
              <w:pStyle w:val="ListParagraph"/>
              <w:numPr>
                <w:ilvl w:val="0"/>
                <w:numId w:val="1"/>
              </w:numPr>
              <w:spacing w:line="276" w:lineRule="auto"/>
              <w:rPr>
                <w:rFonts w:ascii="Arial" w:hAnsi="Arial" w:cs="Arial"/>
                <w:sz w:val="20"/>
                <w:lang w:val="en-GB"/>
              </w:rPr>
            </w:pPr>
            <w:r w:rsidRPr="00D466F7">
              <w:rPr>
                <w:rFonts w:ascii="Arial" w:hAnsi="Arial" w:cs="Arial"/>
                <w:sz w:val="20"/>
                <w:lang w:val="en-GB"/>
              </w:rPr>
              <w:t xml:space="preserve">It is recommended that the care services are required to prioritise the person-centred approaches that lead to offer individualised care as per the need of unique values, preferences and capabilities. This leads to enhance empowerment among older adults in their care decisions </w:t>
            </w:r>
            <w:r w:rsidRPr="00D466F7">
              <w:rPr>
                <w:rFonts w:ascii="Arial" w:hAnsi="Arial" w:cs="Arial"/>
                <w:color w:val="222222"/>
                <w:sz w:val="20"/>
                <w:lang w:val="en-GB"/>
              </w:rPr>
              <w:t>(Lind</w:t>
            </w:r>
            <w:r w:rsidRPr="00D466F7">
              <w:rPr>
                <w:rFonts w:ascii="Arial" w:hAnsi="Arial" w:cs="Arial"/>
                <w:i/>
                <w:color w:val="222222"/>
                <w:sz w:val="20"/>
                <w:lang w:val="en-GB"/>
              </w:rPr>
              <w:t xml:space="preserve"> et.al</w:t>
            </w:r>
            <w:r w:rsidRPr="00D466F7">
              <w:rPr>
                <w:rFonts w:ascii="Arial" w:hAnsi="Arial" w:cs="Arial"/>
                <w:color w:val="222222"/>
                <w:sz w:val="20"/>
                <w:lang w:val="en-GB"/>
              </w:rPr>
              <w:t xml:space="preserve"> 2021).</w:t>
            </w:r>
            <w:r w:rsidRPr="00D466F7">
              <w:rPr>
                <w:rFonts w:ascii="Arial" w:hAnsi="Arial" w:cs="Arial"/>
                <w:sz w:val="20"/>
                <w:lang w:val="en-GB"/>
              </w:rPr>
              <w:t xml:space="preserve"> This approach can be effectively implemented with the introduction of personalised care plans, shared tools of decision making and through regular reviews about individual preferences and goals. </w:t>
            </w:r>
          </w:p>
          <w:p w14:paraId="765CD26E" w14:textId="77777777" w:rsidR="00F40CEB" w:rsidRPr="00D466F7" w:rsidRDefault="00F40CEB" w:rsidP="00F40CEB">
            <w:pPr>
              <w:pStyle w:val="ListParagraph"/>
              <w:numPr>
                <w:ilvl w:val="0"/>
                <w:numId w:val="1"/>
              </w:numPr>
              <w:spacing w:line="276" w:lineRule="auto"/>
              <w:rPr>
                <w:rFonts w:ascii="Arial" w:hAnsi="Arial" w:cs="Arial"/>
                <w:sz w:val="20"/>
                <w:lang w:val="en-GB"/>
              </w:rPr>
            </w:pPr>
            <w:r w:rsidRPr="00D466F7">
              <w:rPr>
                <w:rFonts w:ascii="Arial" w:hAnsi="Arial" w:cs="Arial"/>
                <w:sz w:val="20"/>
                <w:lang w:val="en-GB"/>
              </w:rPr>
              <w:t xml:space="preserve">In addition, it is suggested that with enhance in digital inclusion and technological support through offering training on digital literacy and assessable technology to older people, there is a significant improvement in services to empower old adults. This can be </w:t>
            </w:r>
            <w:r w:rsidRPr="00D466F7">
              <w:rPr>
                <w:rFonts w:ascii="Arial" w:hAnsi="Arial" w:cs="Arial"/>
                <w:sz w:val="20"/>
                <w:lang w:val="en-GB"/>
              </w:rPr>
              <w:lastRenderedPageBreak/>
              <w:t xml:space="preserve">implemented through offering training by way of libraries, community hubs, and volunteer-led tech support that ensure about devices and apps are designed with </w:t>
            </w:r>
            <w:r w:rsidRPr="00D466F7">
              <w:rPr>
                <w:rFonts w:ascii="Arial" w:hAnsi="Arial" w:cs="Arial"/>
                <w:iCs/>
                <w:sz w:val="20"/>
                <w:lang w:val="en-GB"/>
              </w:rPr>
              <w:t xml:space="preserve">age-friendly interfaces </w:t>
            </w:r>
            <w:r w:rsidRPr="00D466F7">
              <w:rPr>
                <w:rFonts w:ascii="Arial" w:hAnsi="Arial" w:cs="Arial"/>
                <w:color w:val="222222"/>
                <w:sz w:val="20"/>
                <w:lang w:val="en-GB"/>
              </w:rPr>
              <w:t xml:space="preserve">(Fallowfield and Carins, 2025). </w:t>
            </w:r>
          </w:p>
          <w:p w14:paraId="6201B36E" w14:textId="77777777"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In conclusion, it was evaluated that promotion of independence was termed as crucial element of empowerment that enables the older adults to perform activities and make decisions with the elimination of over reliance on others. In addition, challenges related to natural health decline, emotional and psychological challenges such as anxiety, depression and loss of self-esteem, social isolation and limited healthcare assess and services of social care faced by the old people were concluded. </w:t>
            </w:r>
          </w:p>
          <w:p w14:paraId="764D6B55" w14:textId="77777777" w:rsidR="00F40CEB" w:rsidRPr="00F40CEB" w:rsidRDefault="00F40CEB" w:rsidP="00F40CEB">
            <w:pPr>
              <w:rPr>
                <w:rFonts w:ascii="Arial" w:hAnsi="Arial" w:cs="Arial"/>
              </w:rPr>
            </w:pPr>
          </w:p>
          <w:p w14:paraId="131B9D0F" w14:textId="77777777" w:rsidR="00F40CEB" w:rsidRPr="00F40CEB" w:rsidRDefault="00F40CEB" w:rsidP="00F40CEB">
            <w:pPr>
              <w:spacing w:after="200" w:line="276" w:lineRule="auto"/>
              <w:rPr>
                <w:rFonts w:ascii="Arial" w:eastAsia="Times New Roman" w:hAnsi="Arial" w:cs="Arial"/>
                <w:b/>
                <w:bCs/>
                <w:sz w:val="28"/>
                <w:szCs w:val="28"/>
              </w:rPr>
            </w:pPr>
            <w:r w:rsidRPr="00F40CEB">
              <w:rPr>
                <w:rFonts w:ascii="Arial" w:hAnsi="Arial" w:cs="Arial"/>
              </w:rPr>
              <w:br w:type="page"/>
            </w:r>
          </w:p>
          <w:p w14:paraId="2565019F" w14:textId="77777777" w:rsidR="00505F61" w:rsidRPr="00F40CEB" w:rsidRDefault="00505F61">
            <w:pPr>
              <w:rPr>
                <w:rFonts w:ascii="Arial" w:hAnsi="Arial" w:cs="Arial"/>
              </w:rPr>
            </w:pPr>
          </w:p>
        </w:tc>
      </w:tr>
      <w:tr w:rsidR="00505F61" w:rsidRPr="00F40CEB" w14:paraId="492410BF" w14:textId="77777777">
        <w:trPr>
          <w:trHeight w:val="243"/>
          <w:jc w:val="center"/>
        </w:trPr>
        <w:tc>
          <w:tcPr>
            <w:tcW w:w="4530" w:type="dxa"/>
            <w:vMerge/>
            <w:tcBorders>
              <w:top w:val="single" w:sz="4" w:space="0" w:color="000000"/>
              <w:left w:val="single" w:sz="4" w:space="0" w:color="000000"/>
              <w:bottom w:val="single" w:sz="4" w:space="0" w:color="000000"/>
              <w:right w:val="single" w:sz="4" w:space="0" w:color="000000"/>
            </w:tcBorders>
          </w:tcPr>
          <w:p w14:paraId="13D6C2A6" w14:textId="77777777" w:rsidR="00505F61" w:rsidRPr="00F40CEB" w:rsidRDefault="00505F61">
            <w:pPr>
              <w:rPr>
                <w:rFonts w:ascii="Arial" w:hAnsi="Arial" w:cs="Arial"/>
              </w:rPr>
            </w:pPr>
          </w:p>
        </w:tc>
        <w:tc>
          <w:tcPr>
            <w:tcW w:w="416" w:type="dxa"/>
            <w:vMerge/>
            <w:tcBorders>
              <w:top w:val="single" w:sz="4" w:space="0" w:color="000000"/>
              <w:left w:val="single" w:sz="4" w:space="0" w:color="000000"/>
              <w:bottom w:val="single" w:sz="4" w:space="0" w:color="000000"/>
              <w:right w:val="single" w:sz="4" w:space="0" w:color="000000"/>
            </w:tcBorders>
          </w:tcPr>
          <w:p w14:paraId="30F61EA4" w14:textId="77777777" w:rsidR="00505F61" w:rsidRPr="00F40CEB" w:rsidRDefault="00505F61">
            <w:pPr>
              <w:rPr>
                <w:rFonts w:ascii="Arial" w:hAnsi="Arial" w:cs="Arial"/>
              </w:rPr>
            </w:pPr>
          </w:p>
        </w:tc>
        <w:tc>
          <w:tcPr>
            <w:tcW w:w="44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02463A" w14:textId="77777777" w:rsidR="00505F61" w:rsidRPr="00F40CEB" w:rsidRDefault="00505F61">
            <w:pPr>
              <w:rPr>
                <w:rFonts w:ascii="Arial" w:hAnsi="Arial" w:cs="Arial"/>
              </w:rPr>
            </w:pPr>
          </w:p>
        </w:tc>
        <w:tc>
          <w:tcPr>
            <w:tcW w:w="360" w:type="dxa"/>
            <w:vMerge/>
            <w:tcBorders>
              <w:top w:val="single" w:sz="4" w:space="0" w:color="000000"/>
              <w:left w:val="single" w:sz="4" w:space="0" w:color="000000"/>
              <w:bottom w:val="single" w:sz="4" w:space="0" w:color="000000"/>
              <w:right w:val="single" w:sz="4" w:space="0" w:color="000000"/>
            </w:tcBorders>
          </w:tcPr>
          <w:p w14:paraId="0B4D184F" w14:textId="77777777" w:rsidR="00505F61" w:rsidRPr="00F40CEB" w:rsidRDefault="00505F61">
            <w:pPr>
              <w:rPr>
                <w:rFonts w:ascii="Arial" w:hAnsi="Arial" w:cs="Arial"/>
              </w:rPr>
            </w:pPr>
          </w:p>
        </w:tc>
        <w:tc>
          <w:tcPr>
            <w:tcW w:w="4587" w:type="dxa"/>
            <w:vMerge/>
            <w:tcBorders>
              <w:top w:val="single" w:sz="4" w:space="0" w:color="000000"/>
              <w:left w:val="single" w:sz="4" w:space="0" w:color="000000"/>
              <w:bottom w:val="single" w:sz="4" w:space="0" w:color="000000"/>
              <w:right w:val="single" w:sz="4" w:space="0" w:color="000000"/>
            </w:tcBorders>
          </w:tcPr>
          <w:p w14:paraId="27AA3E48" w14:textId="77777777" w:rsidR="00505F61" w:rsidRPr="00F40CEB" w:rsidRDefault="00505F61">
            <w:pPr>
              <w:rPr>
                <w:rFonts w:ascii="Arial" w:hAnsi="Arial" w:cs="Arial"/>
              </w:rPr>
            </w:pPr>
          </w:p>
        </w:tc>
      </w:tr>
      <w:tr w:rsidR="00505F61" w:rsidRPr="00F40CEB" w14:paraId="4E25665B" w14:textId="77777777">
        <w:trPr>
          <w:trHeight w:val="6271"/>
          <w:jc w:val="center"/>
        </w:trPr>
        <w:tc>
          <w:tcPr>
            <w:tcW w:w="4530" w:type="dxa"/>
            <w:vMerge/>
            <w:tcBorders>
              <w:top w:val="single" w:sz="4" w:space="0" w:color="000000"/>
              <w:left w:val="single" w:sz="4" w:space="0" w:color="000000"/>
              <w:bottom w:val="single" w:sz="4" w:space="0" w:color="000000"/>
              <w:right w:val="single" w:sz="4" w:space="0" w:color="000000"/>
            </w:tcBorders>
          </w:tcPr>
          <w:p w14:paraId="07A338E5" w14:textId="77777777" w:rsidR="00505F61" w:rsidRPr="00F40CEB" w:rsidRDefault="00505F61">
            <w:pPr>
              <w:rPr>
                <w:rFonts w:ascii="Arial" w:hAnsi="Arial" w:cs="Arial"/>
              </w:rPr>
            </w:pPr>
          </w:p>
        </w:tc>
        <w:tc>
          <w:tcPr>
            <w:tcW w:w="416" w:type="dxa"/>
            <w:vMerge/>
            <w:tcBorders>
              <w:top w:val="single" w:sz="4" w:space="0" w:color="000000"/>
              <w:left w:val="single" w:sz="4" w:space="0" w:color="000000"/>
              <w:bottom w:val="single" w:sz="4" w:space="0" w:color="000000"/>
              <w:right w:val="single" w:sz="4" w:space="0" w:color="000000"/>
            </w:tcBorders>
          </w:tcPr>
          <w:p w14:paraId="1BCA63F0" w14:textId="77777777" w:rsidR="00505F61" w:rsidRPr="00F40CEB" w:rsidRDefault="00505F61">
            <w:pPr>
              <w:rPr>
                <w:rFonts w:ascii="Arial" w:hAnsi="Arial" w:cs="Arial"/>
              </w:rPr>
            </w:pPr>
          </w:p>
        </w:tc>
        <w:tc>
          <w:tcPr>
            <w:tcW w:w="44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68B140" w14:textId="77777777" w:rsidR="00D466F7" w:rsidRDefault="00F40CEB" w:rsidP="00F40CEB">
            <w:pPr>
              <w:spacing w:line="276" w:lineRule="auto"/>
              <w:jc w:val="both"/>
              <w:rPr>
                <w:rFonts w:ascii="Arial" w:eastAsia="Arial Unicode MS" w:hAnsi="Arial" w:cs="Arial"/>
                <w:b/>
                <w:bCs/>
                <w:color w:val="44546A"/>
                <w:spacing w:val="10"/>
                <w:sz w:val="24"/>
                <w:szCs w:val="28"/>
                <w:u w:color="44546A"/>
              </w:rPr>
            </w:pPr>
            <w:bookmarkStart w:id="4" w:name="_Toc212039250"/>
            <w:r w:rsidRPr="00D466F7">
              <w:rPr>
                <w:rFonts w:ascii="Arial" w:eastAsia="Arial Unicode MS" w:hAnsi="Arial" w:cs="Arial"/>
                <w:b/>
                <w:bCs/>
                <w:spacing w:val="10"/>
                <w:sz w:val="24"/>
                <w:szCs w:val="28"/>
                <w:u w:color="44546A"/>
              </w:rPr>
              <w:t>Benefits and Effectiveness of Interventions and Approaches</w:t>
            </w:r>
            <w:bookmarkEnd w:id="4"/>
            <w:r w:rsidRPr="00D466F7">
              <w:rPr>
                <w:rFonts w:ascii="Arial" w:eastAsia="Arial Unicode MS" w:hAnsi="Arial" w:cs="Arial"/>
                <w:b/>
                <w:bCs/>
                <w:color w:val="44546A"/>
                <w:spacing w:val="10"/>
                <w:sz w:val="24"/>
                <w:szCs w:val="28"/>
                <w:u w:color="44546A"/>
              </w:rPr>
              <w:t xml:space="preserve"> </w:t>
            </w:r>
          </w:p>
          <w:p w14:paraId="5164AD87" w14:textId="4B1A2446"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The key approach of restorative care offers the benefit of restoring skills and minimises the long-term dependency of the old people </w:t>
            </w:r>
            <w:r w:rsidRPr="00D466F7">
              <w:rPr>
                <w:rFonts w:ascii="Arial" w:hAnsi="Arial" w:cs="Arial"/>
                <w:color w:val="222222"/>
                <w:sz w:val="20"/>
                <w:szCs w:val="24"/>
              </w:rPr>
              <w:t xml:space="preserve">(Fallowfield and Carins, 2025). </w:t>
            </w:r>
            <w:r w:rsidRPr="00D466F7">
              <w:rPr>
                <w:rFonts w:ascii="Arial" w:hAnsi="Arial" w:cs="Arial"/>
                <w:sz w:val="20"/>
              </w:rPr>
              <w:t xml:space="preserve">It involves the establishment of time-limited, goal-focused programmes that are based on homes to help the older adults regain the skills of daily living. Systematic reviews reflect the improved functional outcomes that lead to enhanced independence and reduce the ongoing home-care hours and delayed residential care. A </w:t>
            </w:r>
            <w:r w:rsidR="00AF30FB" w:rsidRPr="00D466F7">
              <w:rPr>
                <w:rFonts w:ascii="Arial" w:hAnsi="Arial" w:cs="Arial"/>
                <w:sz w:val="20"/>
              </w:rPr>
              <w:t>well-resourced</w:t>
            </w:r>
            <w:r w:rsidRPr="00D466F7">
              <w:rPr>
                <w:rFonts w:ascii="Arial" w:hAnsi="Arial" w:cs="Arial"/>
                <w:sz w:val="20"/>
              </w:rPr>
              <w:t xml:space="preserve"> and therapist-led restorative care provides the benefit of cost-effectiveness and better satisfaction to the old-age users </w:t>
            </w:r>
            <w:r w:rsidRPr="00D466F7">
              <w:rPr>
                <w:rFonts w:ascii="Arial" w:hAnsi="Arial" w:cs="Arial"/>
                <w:color w:val="222222"/>
                <w:sz w:val="20"/>
                <w:szCs w:val="24"/>
              </w:rPr>
              <w:t>(Aranda</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2021). </w:t>
            </w:r>
            <w:r w:rsidRPr="00D466F7">
              <w:rPr>
                <w:rFonts w:ascii="Arial" w:hAnsi="Arial" w:cs="Arial"/>
                <w:sz w:val="20"/>
              </w:rPr>
              <w:t xml:space="preserve">The UK provision of the Social Care Institute for Excellence (SCIE) is identified as an integrated care system that aims to scale up the approach of restorative care through strategies of community services. </w:t>
            </w:r>
          </w:p>
          <w:p w14:paraId="1E62069C" w14:textId="77777777"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Theory of person-centred care is based on the core idea of respecting identity, values, preferences, and relationships while offering care. This theory emphasises on partnership, empathy and preserving dignity. It facilitates the personalised care planning and shared decision-making that leads to enhancing the functional ability and overall wellbeing of older people </w:t>
            </w:r>
            <w:r w:rsidRPr="00D466F7">
              <w:rPr>
                <w:rFonts w:ascii="Arial" w:hAnsi="Arial" w:cs="Arial"/>
                <w:color w:val="222222"/>
                <w:sz w:val="20"/>
                <w:szCs w:val="24"/>
              </w:rPr>
              <w:t>(Gentili</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2022). </w:t>
            </w:r>
            <w:r w:rsidRPr="00D466F7">
              <w:rPr>
                <w:rFonts w:ascii="Arial" w:hAnsi="Arial" w:cs="Arial"/>
                <w:sz w:val="20"/>
              </w:rPr>
              <w:t xml:space="preserve">On the other hand, the intervention of personalisation and statutory rights, such as the current provision of the Care Act, 2014 of the UK provides the assessment of needs of the old people and tailors the care plan as per the personal budget. This emerged as effective as it supports the autonomy and improves satisfaction with the alignment of </w:t>
            </w:r>
            <w:r w:rsidRPr="00D466F7">
              <w:rPr>
                <w:rFonts w:ascii="Arial" w:hAnsi="Arial" w:cs="Arial"/>
                <w:sz w:val="20"/>
              </w:rPr>
              <w:lastRenderedPageBreak/>
              <w:t xml:space="preserve">services with the individual goals. </w:t>
            </w:r>
          </w:p>
          <w:p w14:paraId="31A45E19" w14:textId="77777777" w:rsidR="00F40CEB" w:rsidRPr="00D466F7" w:rsidRDefault="00F40CEB" w:rsidP="00F40CEB">
            <w:pPr>
              <w:spacing w:line="276" w:lineRule="auto"/>
              <w:jc w:val="both"/>
              <w:rPr>
                <w:rFonts w:ascii="Arial" w:hAnsi="Arial" w:cs="Arial"/>
                <w:sz w:val="20"/>
              </w:rPr>
            </w:pPr>
            <w:r w:rsidRPr="00D466F7">
              <w:rPr>
                <w:rFonts w:ascii="Arial" w:hAnsi="Arial" w:cs="Arial"/>
                <w:sz w:val="20"/>
              </w:rPr>
              <w:t xml:space="preserve">In addition to that, current intervention of community health integration and integrated care system (ICS) coordinates with the NHS UK, local authority of healthcare, national voluntary sectors and community services </w:t>
            </w:r>
            <w:proofErr w:type="gramStart"/>
            <w:r w:rsidRPr="00D466F7">
              <w:rPr>
                <w:rFonts w:ascii="Arial" w:hAnsi="Arial" w:cs="Arial"/>
                <w:sz w:val="20"/>
              </w:rPr>
              <w:t>in order to</w:t>
            </w:r>
            <w:proofErr w:type="gramEnd"/>
            <w:r w:rsidRPr="00D466F7">
              <w:rPr>
                <w:rFonts w:ascii="Arial" w:hAnsi="Arial" w:cs="Arial"/>
                <w:sz w:val="20"/>
              </w:rPr>
              <w:t xml:space="preserve"> facilitate effective care to older people </w:t>
            </w:r>
            <w:r w:rsidRPr="00D466F7">
              <w:rPr>
                <w:rFonts w:ascii="Arial" w:hAnsi="Arial" w:cs="Arial"/>
                <w:color w:val="222222"/>
                <w:sz w:val="20"/>
                <w:szCs w:val="24"/>
              </w:rPr>
              <w:t xml:space="preserve">(Cohen </w:t>
            </w:r>
            <w:r w:rsidRPr="00D466F7">
              <w:rPr>
                <w:rFonts w:ascii="Arial" w:hAnsi="Arial" w:cs="Arial"/>
                <w:i/>
                <w:color w:val="222222"/>
                <w:sz w:val="20"/>
                <w:szCs w:val="24"/>
              </w:rPr>
              <w:t>et.al</w:t>
            </w:r>
            <w:r w:rsidRPr="00D466F7">
              <w:rPr>
                <w:rFonts w:ascii="Arial" w:hAnsi="Arial" w:cs="Arial"/>
                <w:color w:val="222222"/>
                <w:sz w:val="20"/>
                <w:szCs w:val="24"/>
              </w:rPr>
              <w:t xml:space="preserve"> 2023). </w:t>
            </w:r>
            <w:r w:rsidRPr="00D466F7">
              <w:rPr>
                <w:rFonts w:ascii="Arial" w:hAnsi="Arial" w:cs="Arial"/>
                <w:sz w:val="20"/>
              </w:rPr>
              <w:t xml:space="preserve">ICS aims to minimise fragmentation that is related with the fewer admissions in hospital, better community support and smooth discharge to home. An effective integration supports continuity, timely rehabilitation, and links with the housing, adaptations and social prescribing that are crucial for the maintenance of independence. The self-determination theory (SDT) is primarily based on the core idea that the wellbeing of human is widely depends on the supporting of three basic psychological needs. These are identified as autonomy of choice and control, competence in ability or mastery, and relatedness in terms of social connection </w:t>
            </w:r>
            <w:r w:rsidRPr="00D466F7">
              <w:rPr>
                <w:rFonts w:ascii="Arial" w:hAnsi="Arial" w:cs="Arial"/>
                <w:color w:val="222222"/>
                <w:sz w:val="20"/>
                <w:szCs w:val="24"/>
              </w:rPr>
              <w:t>(Zaman</w:t>
            </w:r>
            <w:r w:rsidRPr="00D466F7">
              <w:rPr>
                <w:rFonts w:ascii="Arial" w:hAnsi="Arial" w:cs="Arial"/>
                <w:i/>
                <w:color w:val="222222"/>
                <w:sz w:val="20"/>
                <w:szCs w:val="24"/>
              </w:rPr>
              <w:t xml:space="preserve"> et.al</w:t>
            </w:r>
            <w:r w:rsidRPr="00D466F7">
              <w:rPr>
                <w:rFonts w:ascii="Arial" w:hAnsi="Arial" w:cs="Arial"/>
                <w:color w:val="222222"/>
                <w:sz w:val="20"/>
                <w:szCs w:val="24"/>
              </w:rPr>
              <w:t xml:space="preserve"> 2022). </w:t>
            </w:r>
            <w:r w:rsidRPr="00D466F7">
              <w:rPr>
                <w:rFonts w:ascii="Arial" w:hAnsi="Arial" w:cs="Arial"/>
                <w:sz w:val="20"/>
              </w:rPr>
              <w:t xml:space="preserve">Application of this theory results in improvement of motivation, adherence and overall mental wellbeing of the old individuals. </w:t>
            </w:r>
          </w:p>
          <w:p w14:paraId="09BAAD3E" w14:textId="77777777" w:rsidR="00505F61" w:rsidRPr="00F40CEB" w:rsidRDefault="00F40CEB" w:rsidP="00F40CEB">
            <w:pPr>
              <w:spacing w:line="276" w:lineRule="auto"/>
              <w:jc w:val="both"/>
              <w:rPr>
                <w:rFonts w:ascii="Arial" w:hAnsi="Arial" w:cs="Arial"/>
              </w:rPr>
            </w:pPr>
            <w:r w:rsidRPr="00D466F7">
              <w:rPr>
                <w:rFonts w:ascii="Arial" w:hAnsi="Arial" w:cs="Arial"/>
                <w:sz w:val="20"/>
              </w:rPr>
              <w:t xml:space="preserve">The current provision of NHS </w:t>
            </w:r>
            <w:proofErr w:type="gramStart"/>
            <w:r w:rsidRPr="00D466F7">
              <w:rPr>
                <w:rFonts w:ascii="Arial" w:hAnsi="Arial" w:cs="Arial"/>
                <w:sz w:val="20"/>
              </w:rPr>
              <w:t>10 year</w:t>
            </w:r>
            <w:proofErr w:type="gramEnd"/>
            <w:r w:rsidRPr="00D466F7">
              <w:rPr>
                <w:rFonts w:ascii="Arial" w:hAnsi="Arial" w:cs="Arial"/>
                <w:sz w:val="20"/>
              </w:rPr>
              <w:t xml:space="preserve"> plan and social care reform outlines the strategies that aim to improve healthcare for older people that includes minimised delay in hospital discharge and integrates social and health care activities (Gov.UK, 2025). Additionally, the government has committed to a long-term reform for the effective adult social care with the establishment of an independent commission to deliver recommendations by 2028.</w:t>
            </w:r>
          </w:p>
        </w:tc>
        <w:tc>
          <w:tcPr>
            <w:tcW w:w="360" w:type="dxa"/>
            <w:vMerge/>
            <w:tcBorders>
              <w:top w:val="single" w:sz="4" w:space="0" w:color="000000"/>
              <w:left w:val="single" w:sz="4" w:space="0" w:color="000000"/>
              <w:bottom w:val="single" w:sz="4" w:space="0" w:color="000000"/>
              <w:right w:val="single" w:sz="4" w:space="0" w:color="000000"/>
            </w:tcBorders>
          </w:tcPr>
          <w:p w14:paraId="5994D3ED" w14:textId="77777777" w:rsidR="00505F61" w:rsidRPr="00F40CEB" w:rsidRDefault="00505F61">
            <w:pPr>
              <w:rPr>
                <w:rFonts w:ascii="Arial" w:hAnsi="Arial" w:cs="Arial"/>
              </w:rPr>
            </w:pPr>
          </w:p>
        </w:tc>
        <w:tc>
          <w:tcPr>
            <w:tcW w:w="4587" w:type="dxa"/>
            <w:vMerge/>
            <w:tcBorders>
              <w:top w:val="single" w:sz="4" w:space="0" w:color="000000"/>
              <w:left w:val="single" w:sz="4" w:space="0" w:color="000000"/>
              <w:bottom w:val="single" w:sz="4" w:space="0" w:color="000000"/>
              <w:right w:val="single" w:sz="4" w:space="0" w:color="000000"/>
            </w:tcBorders>
          </w:tcPr>
          <w:p w14:paraId="3D9311FA" w14:textId="77777777" w:rsidR="00505F61" w:rsidRPr="00F40CEB" w:rsidRDefault="00505F61">
            <w:pPr>
              <w:rPr>
                <w:rFonts w:ascii="Arial" w:hAnsi="Arial" w:cs="Arial"/>
              </w:rPr>
            </w:pPr>
          </w:p>
        </w:tc>
      </w:tr>
    </w:tbl>
    <w:p w14:paraId="0BD4964A" w14:textId="77777777" w:rsidR="00505F61" w:rsidRPr="00F40CEB" w:rsidRDefault="00505F61">
      <w:pPr>
        <w:widowControl w:val="0"/>
        <w:jc w:val="center"/>
        <w:rPr>
          <w:rFonts w:ascii="Arial" w:hAnsi="Arial" w:cs="Arial"/>
        </w:rPr>
      </w:pPr>
    </w:p>
    <w:p w14:paraId="75965791" w14:textId="77777777" w:rsidR="00505F61" w:rsidRPr="00F40CEB" w:rsidRDefault="00D466F7" w:rsidP="00D466F7">
      <w:pPr>
        <w:outlineLvl w:val="0"/>
        <w:rPr>
          <w:rFonts w:ascii="Arial" w:hAnsi="Arial" w:cs="Arial"/>
          <w:b/>
          <w:bCs/>
          <w:sz w:val="28"/>
          <w:szCs w:val="28"/>
        </w:rPr>
      </w:pPr>
      <w:r>
        <w:rPr>
          <w:rFonts w:ascii="Arial" w:hAnsi="Arial" w:cs="Arial"/>
          <w:b/>
          <w:bCs/>
          <w:sz w:val="28"/>
          <w:szCs w:val="28"/>
        </w:rPr>
        <w:br w:type="page"/>
      </w:r>
      <w:r w:rsidR="00657C61" w:rsidRPr="00F40CEB">
        <w:rPr>
          <w:rFonts w:ascii="Arial" w:hAnsi="Arial" w:cs="Arial"/>
          <w:b/>
          <w:bCs/>
          <w:sz w:val="28"/>
          <w:szCs w:val="28"/>
        </w:rPr>
        <w:lastRenderedPageBreak/>
        <w:t>References</w:t>
      </w:r>
    </w:p>
    <w:p w14:paraId="23AA48D8" w14:textId="77777777" w:rsidR="00F40CEB" w:rsidRPr="00F40CEB" w:rsidRDefault="00F40CEB" w:rsidP="00D466F7">
      <w:pPr>
        <w:jc w:val="both"/>
        <w:rPr>
          <w:rFonts w:ascii="Arial" w:hAnsi="Arial" w:cs="Arial"/>
          <w:bCs/>
        </w:rPr>
      </w:pPr>
      <w:r w:rsidRPr="00F40CEB">
        <w:rPr>
          <w:rFonts w:ascii="Arial" w:hAnsi="Arial" w:cs="Arial"/>
          <w:bCs/>
        </w:rPr>
        <w:t xml:space="preserve">Age UK, (2024). </w:t>
      </w:r>
      <w:r w:rsidRPr="00F40CEB">
        <w:rPr>
          <w:rFonts w:ascii="Arial" w:hAnsi="Arial" w:cs="Arial"/>
          <w:bCs/>
          <w:i/>
        </w:rPr>
        <w:t>Annual Report</w:t>
      </w:r>
      <w:r w:rsidRPr="00F40CEB">
        <w:rPr>
          <w:rFonts w:ascii="Arial" w:hAnsi="Arial" w:cs="Arial"/>
          <w:bCs/>
        </w:rPr>
        <w:t>. [Online]. Available through:</w:t>
      </w:r>
      <w:r w:rsidRPr="00F40CEB">
        <w:rPr>
          <w:rFonts w:ascii="Arial" w:hAnsi="Arial" w:cs="Arial"/>
        </w:rPr>
        <w:t xml:space="preserve"> &lt;</w:t>
      </w:r>
      <w:hyperlink r:id="rId10" w:history="1">
        <w:r w:rsidRPr="00F40CEB">
          <w:rPr>
            <w:rStyle w:val="Hyperlink"/>
            <w:rFonts w:ascii="Arial" w:hAnsi="Arial" w:cs="Arial"/>
            <w:bCs/>
          </w:rPr>
          <w:t>https://www.ageuk.org.uk/bp-assets/globalassets/norfolk/original-blocks/about-us/publications/aukn-annual-report-2024.pdf</w:t>
        </w:r>
      </w:hyperlink>
      <w:r w:rsidRPr="00F40CEB">
        <w:rPr>
          <w:rFonts w:ascii="Arial" w:hAnsi="Arial" w:cs="Arial"/>
          <w:bCs/>
        </w:rPr>
        <w:t>&gt;. [Accessed on: 22</w:t>
      </w:r>
      <w:r w:rsidRPr="00F40CEB">
        <w:rPr>
          <w:rFonts w:ascii="Arial" w:hAnsi="Arial" w:cs="Arial"/>
          <w:bCs/>
          <w:vertAlign w:val="superscript"/>
        </w:rPr>
        <w:t>nd</w:t>
      </w:r>
      <w:r w:rsidRPr="00F40CEB">
        <w:rPr>
          <w:rFonts w:ascii="Arial" w:hAnsi="Arial" w:cs="Arial"/>
          <w:bCs/>
        </w:rPr>
        <w:t xml:space="preserve"> </w:t>
      </w:r>
      <w:proofErr w:type="gramStart"/>
      <w:r w:rsidRPr="00F40CEB">
        <w:rPr>
          <w:rFonts w:ascii="Arial" w:hAnsi="Arial" w:cs="Arial"/>
          <w:bCs/>
        </w:rPr>
        <w:t>October,</w:t>
      </w:r>
      <w:proofErr w:type="gramEnd"/>
      <w:r w:rsidRPr="00F40CEB">
        <w:rPr>
          <w:rFonts w:ascii="Arial" w:hAnsi="Arial" w:cs="Arial"/>
          <w:bCs/>
        </w:rPr>
        <w:t xml:space="preserve"> 2025].  </w:t>
      </w:r>
    </w:p>
    <w:p w14:paraId="56B940FD"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Akbar, A., (2021). Problems and challenges faced by elder people in old age homes: a qualitative analysis. </w:t>
      </w:r>
      <w:r w:rsidRPr="00F40CEB">
        <w:rPr>
          <w:rFonts w:ascii="Arial" w:hAnsi="Arial" w:cs="Arial"/>
          <w:i/>
          <w:iCs/>
          <w:color w:val="222222"/>
          <w:szCs w:val="24"/>
        </w:rPr>
        <w:t>Academic Research International</w:t>
      </w:r>
      <w:r w:rsidRPr="00F40CEB">
        <w:rPr>
          <w:rFonts w:ascii="Arial" w:hAnsi="Arial" w:cs="Arial"/>
          <w:color w:val="222222"/>
          <w:szCs w:val="24"/>
        </w:rPr>
        <w:t>, </w:t>
      </w:r>
      <w:r w:rsidRPr="00F40CEB">
        <w:rPr>
          <w:rFonts w:ascii="Arial" w:hAnsi="Arial" w:cs="Arial"/>
          <w:i/>
          <w:iCs/>
          <w:color w:val="222222"/>
          <w:szCs w:val="24"/>
        </w:rPr>
        <w:t>12</w:t>
      </w:r>
      <w:r w:rsidRPr="00F40CEB">
        <w:rPr>
          <w:rFonts w:ascii="Arial" w:hAnsi="Arial" w:cs="Arial"/>
          <w:color w:val="222222"/>
          <w:szCs w:val="24"/>
        </w:rPr>
        <w:t>(2), pp.43-51.</w:t>
      </w:r>
    </w:p>
    <w:p w14:paraId="1BFEFE6F" w14:textId="77777777" w:rsidR="00F40CEB" w:rsidRPr="00F40CEB" w:rsidRDefault="00F40CEB" w:rsidP="00D466F7">
      <w:pPr>
        <w:jc w:val="both"/>
        <w:rPr>
          <w:rFonts w:ascii="Arial" w:hAnsi="Arial" w:cs="Arial"/>
          <w:bCs/>
          <w:szCs w:val="24"/>
        </w:rPr>
      </w:pPr>
      <w:proofErr w:type="spellStart"/>
      <w:r w:rsidRPr="00F40CEB">
        <w:rPr>
          <w:rFonts w:ascii="Arial" w:hAnsi="Arial" w:cs="Arial"/>
          <w:color w:val="222222"/>
          <w:szCs w:val="24"/>
        </w:rPr>
        <w:t>Alderwick</w:t>
      </w:r>
      <w:proofErr w:type="spellEnd"/>
      <w:r w:rsidRPr="00F40CEB">
        <w:rPr>
          <w:rFonts w:ascii="Arial" w:hAnsi="Arial" w:cs="Arial"/>
          <w:color w:val="222222"/>
          <w:szCs w:val="24"/>
        </w:rPr>
        <w:t>, H., Hutchings, A., Briggs, A. and Mays, N., (2021). The impacts of collaboration between local health care and non-health care organizations and factors shaping how they work: a systematic review of reviews. </w:t>
      </w:r>
      <w:r w:rsidRPr="00F40CEB">
        <w:rPr>
          <w:rFonts w:ascii="Arial" w:hAnsi="Arial" w:cs="Arial"/>
          <w:i/>
          <w:iCs/>
          <w:color w:val="222222"/>
          <w:szCs w:val="24"/>
        </w:rPr>
        <w:t>BMC public health</w:t>
      </w:r>
      <w:r w:rsidRPr="00F40CEB">
        <w:rPr>
          <w:rFonts w:ascii="Arial" w:hAnsi="Arial" w:cs="Arial"/>
          <w:color w:val="222222"/>
          <w:szCs w:val="24"/>
        </w:rPr>
        <w:t>, </w:t>
      </w:r>
      <w:r w:rsidRPr="00F40CEB">
        <w:rPr>
          <w:rFonts w:ascii="Arial" w:hAnsi="Arial" w:cs="Arial"/>
          <w:i/>
          <w:iCs/>
          <w:color w:val="222222"/>
          <w:szCs w:val="24"/>
        </w:rPr>
        <w:t>21</w:t>
      </w:r>
      <w:r w:rsidRPr="00F40CEB">
        <w:rPr>
          <w:rFonts w:ascii="Arial" w:hAnsi="Arial" w:cs="Arial"/>
          <w:color w:val="222222"/>
          <w:szCs w:val="24"/>
        </w:rPr>
        <w:t>(1), p.753.</w:t>
      </w:r>
    </w:p>
    <w:p w14:paraId="2073979B"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 xml:space="preserve">Aranda, M.P., Kremer, I.N., Hinton, L., </w:t>
      </w:r>
      <w:proofErr w:type="spellStart"/>
      <w:r w:rsidRPr="00F40CEB">
        <w:rPr>
          <w:rFonts w:ascii="Arial" w:hAnsi="Arial" w:cs="Arial"/>
          <w:color w:val="222222"/>
          <w:szCs w:val="24"/>
        </w:rPr>
        <w:t>Zissimopoulos</w:t>
      </w:r>
      <w:proofErr w:type="spellEnd"/>
      <w:r w:rsidRPr="00F40CEB">
        <w:rPr>
          <w:rFonts w:ascii="Arial" w:hAnsi="Arial" w:cs="Arial"/>
          <w:color w:val="222222"/>
          <w:szCs w:val="24"/>
        </w:rPr>
        <w:t>, J., Whitmer, R.A., Hummel, C.H., Trejo, L. and Fabius, C., (2021). Impact of dementia: Health disparities, population trends, care interventions, and economic costs. </w:t>
      </w:r>
      <w:r w:rsidRPr="00F40CEB">
        <w:rPr>
          <w:rFonts w:ascii="Arial" w:hAnsi="Arial" w:cs="Arial"/>
          <w:i/>
          <w:iCs/>
          <w:color w:val="222222"/>
          <w:szCs w:val="24"/>
        </w:rPr>
        <w:t>Journal of the American Geriatrics Society</w:t>
      </w:r>
      <w:r w:rsidRPr="00F40CEB">
        <w:rPr>
          <w:rFonts w:ascii="Arial" w:hAnsi="Arial" w:cs="Arial"/>
          <w:color w:val="222222"/>
          <w:szCs w:val="24"/>
        </w:rPr>
        <w:t>, </w:t>
      </w:r>
      <w:r w:rsidRPr="00F40CEB">
        <w:rPr>
          <w:rFonts w:ascii="Arial" w:hAnsi="Arial" w:cs="Arial"/>
          <w:i/>
          <w:iCs/>
          <w:color w:val="222222"/>
          <w:szCs w:val="24"/>
        </w:rPr>
        <w:t>69</w:t>
      </w:r>
      <w:r w:rsidRPr="00F40CEB">
        <w:rPr>
          <w:rFonts w:ascii="Arial" w:hAnsi="Arial" w:cs="Arial"/>
          <w:color w:val="222222"/>
          <w:szCs w:val="24"/>
        </w:rPr>
        <w:t>(7), pp.1774-1783.</w:t>
      </w:r>
    </w:p>
    <w:p w14:paraId="0D8BE064"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Bertram, M.Y., Lauer, J.A., Stenberg, K. and Edejer, T.T.T., (2021). Methods for the economic evaluation of health care interventions for priority setting in the health system: an update from WHO CHOICE. </w:t>
      </w:r>
      <w:r w:rsidRPr="00F40CEB">
        <w:rPr>
          <w:rFonts w:ascii="Arial" w:hAnsi="Arial" w:cs="Arial"/>
          <w:i/>
          <w:iCs/>
          <w:color w:val="222222"/>
          <w:szCs w:val="24"/>
        </w:rPr>
        <w:t>International Journal of Health Policy and Management</w:t>
      </w:r>
      <w:r w:rsidRPr="00F40CEB">
        <w:rPr>
          <w:rFonts w:ascii="Arial" w:hAnsi="Arial" w:cs="Arial"/>
          <w:color w:val="222222"/>
          <w:szCs w:val="24"/>
        </w:rPr>
        <w:t>, </w:t>
      </w:r>
      <w:r w:rsidRPr="00F40CEB">
        <w:rPr>
          <w:rFonts w:ascii="Arial" w:hAnsi="Arial" w:cs="Arial"/>
          <w:i/>
          <w:iCs/>
          <w:color w:val="222222"/>
          <w:szCs w:val="24"/>
        </w:rPr>
        <w:t>10</w:t>
      </w:r>
      <w:r w:rsidRPr="00F40CEB">
        <w:rPr>
          <w:rFonts w:ascii="Arial" w:hAnsi="Arial" w:cs="Arial"/>
          <w:color w:val="222222"/>
          <w:szCs w:val="24"/>
        </w:rPr>
        <w:t>(11), p.673.</w:t>
      </w:r>
    </w:p>
    <w:p w14:paraId="4A2C0FF4"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Chu, C.H., Nyrup, R., Leslie, K., Shi, J., Bianchi, A., Lyn, A., McNicholl, M., Khan, S., Rahimi, S. and Grenier, A., (2022). Digital ageism: challenges and opportunities in artificial intelligence for older adults. </w:t>
      </w:r>
      <w:r w:rsidRPr="00F40CEB">
        <w:rPr>
          <w:rFonts w:ascii="Arial" w:hAnsi="Arial" w:cs="Arial"/>
          <w:i/>
          <w:iCs/>
          <w:color w:val="222222"/>
          <w:szCs w:val="24"/>
        </w:rPr>
        <w:t>The Gerontologist</w:t>
      </w:r>
      <w:r w:rsidRPr="00F40CEB">
        <w:rPr>
          <w:rFonts w:ascii="Arial" w:hAnsi="Arial" w:cs="Arial"/>
          <w:color w:val="222222"/>
          <w:szCs w:val="24"/>
        </w:rPr>
        <w:t>, </w:t>
      </w:r>
      <w:r w:rsidRPr="00F40CEB">
        <w:rPr>
          <w:rFonts w:ascii="Arial" w:hAnsi="Arial" w:cs="Arial"/>
          <w:i/>
          <w:iCs/>
          <w:color w:val="222222"/>
          <w:szCs w:val="24"/>
        </w:rPr>
        <w:t>62</w:t>
      </w:r>
      <w:r w:rsidRPr="00F40CEB">
        <w:rPr>
          <w:rFonts w:ascii="Arial" w:hAnsi="Arial" w:cs="Arial"/>
          <w:color w:val="222222"/>
          <w:szCs w:val="24"/>
        </w:rPr>
        <w:t>(7), pp.947-955.</w:t>
      </w:r>
    </w:p>
    <w:p w14:paraId="176CE340"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 xml:space="preserve">Cohen, C., </w:t>
      </w:r>
      <w:proofErr w:type="spellStart"/>
      <w:r w:rsidRPr="00F40CEB">
        <w:rPr>
          <w:rFonts w:ascii="Arial" w:hAnsi="Arial" w:cs="Arial"/>
          <w:color w:val="222222"/>
          <w:szCs w:val="24"/>
        </w:rPr>
        <w:t>Pignata</w:t>
      </w:r>
      <w:proofErr w:type="spellEnd"/>
      <w:r w:rsidRPr="00F40CEB">
        <w:rPr>
          <w:rFonts w:ascii="Arial" w:hAnsi="Arial" w:cs="Arial"/>
          <w:color w:val="222222"/>
          <w:szCs w:val="24"/>
        </w:rPr>
        <w:t>, S., Bezak, E., Tie, M. and Childs, J., (2023). Workplace interventions to improve well-being and reduce burnout for nurses, physicians and allied healthcare professionals: a systematic review. </w:t>
      </w:r>
      <w:r w:rsidRPr="00F40CEB">
        <w:rPr>
          <w:rFonts w:ascii="Arial" w:hAnsi="Arial" w:cs="Arial"/>
          <w:i/>
          <w:iCs/>
          <w:color w:val="222222"/>
          <w:szCs w:val="24"/>
        </w:rPr>
        <w:t>BMJ open</w:t>
      </w:r>
      <w:r w:rsidRPr="00F40CEB">
        <w:rPr>
          <w:rFonts w:ascii="Arial" w:hAnsi="Arial" w:cs="Arial"/>
          <w:color w:val="222222"/>
          <w:szCs w:val="24"/>
        </w:rPr>
        <w:t>, </w:t>
      </w:r>
      <w:r w:rsidRPr="00F40CEB">
        <w:rPr>
          <w:rFonts w:ascii="Arial" w:hAnsi="Arial" w:cs="Arial"/>
          <w:i/>
          <w:iCs/>
          <w:color w:val="222222"/>
          <w:szCs w:val="24"/>
        </w:rPr>
        <w:t>13</w:t>
      </w:r>
      <w:r w:rsidRPr="00F40CEB">
        <w:rPr>
          <w:rFonts w:ascii="Arial" w:hAnsi="Arial" w:cs="Arial"/>
          <w:color w:val="222222"/>
          <w:szCs w:val="24"/>
        </w:rPr>
        <w:t>(6), p.e071203.</w:t>
      </w:r>
    </w:p>
    <w:p w14:paraId="4756DF66"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Fallowfield, J.L. and Carins, J., (2025). Whole System Approach to designing, implementing and measuring health and performance benefits of improving diet behaviour in a military setting. </w:t>
      </w:r>
      <w:r w:rsidRPr="00F40CEB">
        <w:rPr>
          <w:rFonts w:ascii="Arial" w:hAnsi="Arial" w:cs="Arial"/>
          <w:i/>
          <w:iCs/>
          <w:color w:val="222222"/>
          <w:szCs w:val="24"/>
        </w:rPr>
        <w:t>BMJ Mil Health</w:t>
      </w:r>
      <w:r w:rsidRPr="00F40CEB">
        <w:rPr>
          <w:rFonts w:ascii="Arial" w:hAnsi="Arial" w:cs="Arial"/>
          <w:color w:val="222222"/>
          <w:szCs w:val="24"/>
        </w:rPr>
        <w:t>.</w:t>
      </w:r>
    </w:p>
    <w:p w14:paraId="6AC51B07"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 xml:space="preserve">Gentili, A., Failla, G., Melnyk, A., Puleo, V., Tanna, G.L.D., Ricciardi, W. and </w:t>
      </w:r>
      <w:proofErr w:type="spellStart"/>
      <w:r w:rsidRPr="00F40CEB">
        <w:rPr>
          <w:rFonts w:ascii="Arial" w:hAnsi="Arial" w:cs="Arial"/>
          <w:color w:val="222222"/>
          <w:szCs w:val="24"/>
        </w:rPr>
        <w:t>Cascini</w:t>
      </w:r>
      <w:proofErr w:type="spellEnd"/>
      <w:r w:rsidRPr="00F40CEB">
        <w:rPr>
          <w:rFonts w:ascii="Arial" w:hAnsi="Arial" w:cs="Arial"/>
          <w:color w:val="222222"/>
          <w:szCs w:val="24"/>
        </w:rPr>
        <w:t>, F., (2022). The cost-effectiveness of digital health interventions: a systematic review of the literature. </w:t>
      </w:r>
      <w:r w:rsidRPr="00F40CEB">
        <w:rPr>
          <w:rFonts w:ascii="Arial" w:hAnsi="Arial" w:cs="Arial"/>
          <w:i/>
          <w:iCs/>
          <w:color w:val="222222"/>
          <w:szCs w:val="24"/>
        </w:rPr>
        <w:t>Frontiers in public health</w:t>
      </w:r>
      <w:r w:rsidRPr="00F40CEB">
        <w:rPr>
          <w:rFonts w:ascii="Arial" w:hAnsi="Arial" w:cs="Arial"/>
          <w:color w:val="222222"/>
          <w:szCs w:val="24"/>
        </w:rPr>
        <w:t>, </w:t>
      </w:r>
      <w:r w:rsidRPr="00F40CEB">
        <w:rPr>
          <w:rFonts w:ascii="Arial" w:hAnsi="Arial" w:cs="Arial"/>
          <w:i/>
          <w:iCs/>
          <w:color w:val="222222"/>
          <w:szCs w:val="24"/>
        </w:rPr>
        <w:t>10</w:t>
      </w:r>
      <w:r w:rsidRPr="00F40CEB">
        <w:rPr>
          <w:rFonts w:ascii="Arial" w:hAnsi="Arial" w:cs="Arial"/>
          <w:color w:val="222222"/>
          <w:szCs w:val="24"/>
        </w:rPr>
        <w:t>, p.787135.</w:t>
      </w:r>
    </w:p>
    <w:p w14:paraId="26AAC69E" w14:textId="77777777" w:rsidR="00F40CEB" w:rsidRPr="00F40CEB" w:rsidRDefault="00F40CEB" w:rsidP="00D466F7">
      <w:pPr>
        <w:jc w:val="both"/>
        <w:rPr>
          <w:rFonts w:ascii="Arial" w:hAnsi="Arial" w:cs="Arial"/>
          <w:bCs/>
        </w:rPr>
      </w:pPr>
      <w:r w:rsidRPr="00F40CEB">
        <w:rPr>
          <w:rFonts w:ascii="Arial" w:hAnsi="Arial" w:cs="Arial"/>
        </w:rPr>
        <w:t>Gov.UK, (2025).</w:t>
      </w:r>
      <w:r w:rsidRPr="00F40CEB">
        <w:rPr>
          <w:rFonts w:ascii="Arial" w:eastAsia="Times New Roman" w:hAnsi="Arial" w:cs="Arial"/>
          <w:b/>
          <w:bCs/>
          <w:color w:val="141760"/>
          <w:kern w:val="36"/>
          <w:sz w:val="31"/>
          <w:szCs w:val="31"/>
        </w:rPr>
        <w:t xml:space="preserve"> </w:t>
      </w:r>
      <w:r w:rsidRPr="00F40CEB">
        <w:rPr>
          <w:rFonts w:ascii="Arial" w:hAnsi="Arial" w:cs="Arial"/>
          <w:i/>
        </w:rPr>
        <w:t>What the NHS 10 Year Plan means for older people</w:t>
      </w:r>
      <w:r w:rsidRPr="00F40CEB">
        <w:rPr>
          <w:rFonts w:ascii="Arial" w:hAnsi="Arial" w:cs="Arial"/>
        </w:rPr>
        <w:t xml:space="preserve">. </w:t>
      </w:r>
      <w:r w:rsidRPr="00F40CEB">
        <w:rPr>
          <w:rFonts w:ascii="Arial" w:hAnsi="Arial" w:cs="Arial"/>
          <w:bCs/>
        </w:rPr>
        <w:t>[Online]. Available through:</w:t>
      </w:r>
      <w:r w:rsidRPr="00F40CEB">
        <w:rPr>
          <w:rFonts w:ascii="Arial" w:hAnsi="Arial" w:cs="Arial"/>
        </w:rPr>
        <w:t xml:space="preserve"> &lt;</w:t>
      </w:r>
      <w:hyperlink r:id="rId11" w:history="1">
        <w:r w:rsidRPr="00F40CEB">
          <w:rPr>
            <w:rStyle w:val="Hyperlink"/>
            <w:rFonts w:ascii="Arial" w:hAnsi="Arial" w:cs="Arial"/>
            <w:bCs/>
          </w:rPr>
          <w:t>https://www.Gov.uk.org.uk/discover/2025/july/what-the-nhs-10-year-plan-means-for-older-people/</w:t>
        </w:r>
      </w:hyperlink>
      <w:r w:rsidRPr="00F40CEB">
        <w:rPr>
          <w:rFonts w:ascii="Arial" w:hAnsi="Arial" w:cs="Arial"/>
          <w:bCs/>
        </w:rPr>
        <w:t>&gt;. [Accessed on: 22</w:t>
      </w:r>
      <w:r w:rsidRPr="00F40CEB">
        <w:rPr>
          <w:rFonts w:ascii="Arial" w:hAnsi="Arial" w:cs="Arial"/>
          <w:bCs/>
          <w:vertAlign w:val="superscript"/>
        </w:rPr>
        <w:t>nd</w:t>
      </w:r>
      <w:r w:rsidRPr="00F40CEB">
        <w:rPr>
          <w:rFonts w:ascii="Arial" w:hAnsi="Arial" w:cs="Arial"/>
          <w:bCs/>
        </w:rPr>
        <w:t xml:space="preserve"> </w:t>
      </w:r>
      <w:proofErr w:type="gramStart"/>
      <w:r w:rsidRPr="00F40CEB">
        <w:rPr>
          <w:rFonts w:ascii="Arial" w:hAnsi="Arial" w:cs="Arial"/>
          <w:bCs/>
        </w:rPr>
        <w:t>October,</w:t>
      </w:r>
      <w:proofErr w:type="gramEnd"/>
      <w:r w:rsidRPr="00F40CEB">
        <w:rPr>
          <w:rFonts w:ascii="Arial" w:hAnsi="Arial" w:cs="Arial"/>
          <w:bCs/>
        </w:rPr>
        <w:t xml:space="preserve"> 2025].  </w:t>
      </w:r>
    </w:p>
    <w:p w14:paraId="0092649C" w14:textId="77777777" w:rsidR="00F40CEB" w:rsidRPr="00F40CEB" w:rsidRDefault="00F40CEB" w:rsidP="00D466F7">
      <w:pPr>
        <w:jc w:val="both"/>
        <w:rPr>
          <w:rFonts w:ascii="Arial" w:hAnsi="Arial" w:cs="Arial"/>
          <w:bCs/>
          <w:szCs w:val="24"/>
        </w:rPr>
      </w:pPr>
      <w:proofErr w:type="spellStart"/>
      <w:r w:rsidRPr="00F40CEB">
        <w:rPr>
          <w:rFonts w:ascii="Arial" w:hAnsi="Arial" w:cs="Arial"/>
          <w:color w:val="222222"/>
          <w:szCs w:val="24"/>
        </w:rPr>
        <w:t>Klaic</w:t>
      </w:r>
      <w:proofErr w:type="spellEnd"/>
      <w:r w:rsidRPr="00F40CEB">
        <w:rPr>
          <w:rFonts w:ascii="Arial" w:hAnsi="Arial" w:cs="Arial"/>
          <w:color w:val="222222"/>
          <w:szCs w:val="24"/>
        </w:rPr>
        <w:t xml:space="preserve">, M., Kapp, S., Hudson, P., Chapman, W., Denehy, L., Story, D. and Francis, J.J., (2022). </w:t>
      </w:r>
      <w:proofErr w:type="spellStart"/>
      <w:r w:rsidRPr="00F40CEB">
        <w:rPr>
          <w:rFonts w:ascii="Arial" w:hAnsi="Arial" w:cs="Arial"/>
          <w:color w:val="222222"/>
          <w:szCs w:val="24"/>
        </w:rPr>
        <w:t>Implementability</w:t>
      </w:r>
      <w:proofErr w:type="spellEnd"/>
      <w:r w:rsidRPr="00F40CEB">
        <w:rPr>
          <w:rFonts w:ascii="Arial" w:hAnsi="Arial" w:cs="Arial"/>
          <w:color w:val="222222"/>
          <w:szCs w:val="24"/>
        </w:rPr>
        <w:t xml:space="preserve"> of healthcare interventions: an overview of reviews and development of a conceptual framework. </w:t>
      </w:r>
      <w:r w:rsidRPr="00F40CEB">
        <w:rPr>
          <w:rFonts w:ascii="Arial" w:hAnsi="Arial" w:cs="Arial"/>
          <w:i/>
          <w:iCs/>
          <w:color w:val="222222"/>
          <w:szCs w:val="24"/>
        </w:rPr>
        <w:t>Implementation Science</w:t>
      </w:r>
      <w:r w:rsidRPr="00F40CEB">
        <w:rPr>
          <w:rFonts w:ascii="Arial" w:hAnsi="Arial" w:cs="Arial"/>
          <w:color w:val="222222"/>
          <w:szCs w:val="24"/>
        </w:rPr>
        <w:t>, </w:t>
      </w:r>
      <w:r w:rsidRPr="00F40CEB">
        <w:rPr>
          <w:rFonts w:ascii="Arial" w:hAnsi="Arial" w:cs="Arial"/>
          <w:i/>
          <w:iCs/>
          <w:color w:val="222222"/>
          <w:szCs w:val="24"/>
        </w:rPr>
        <w:t>17</w:t>
      </w:r>
      <w:r w:rsidRPr="00F40CEB">
        <w:rPr>
          <w:rFonts w:ascii="Arial" w:hAnsi="Arial" w:cs="Arial"/>
          <w:color w:val="222222"/>
          <w:szCs w:val="24"/>
        </w:rPr>
        <w:t>(1), p.10.</w:t>
      </w:r>
    </w:p>
    <w:p w14:paraId="0B2A538C"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Lind, M., Bluck, S. and McAdams, D.P., (2021). More vulnerable? The life story approach highlights older people’s potential for strength during the pandemic. </w:t>
      </w:r>
      <w:r w:rsidRPr="00F40CEB">
        <w:rPr>
          <w:rFonts w:ascii="Arial" w:hAnsi="Arial" w:cs="Arial"/>
          <w:i/>
          <w:iCs/>
          <w:color w:val="222222"/>
          <w:szCs w:val="24"/>
        </w:rPr>
        <w:t>The Journals of Gerontology: Series B</w:t>
      </w:r>
      <w:r w:rsidRPr="00F40CEB">
        <w:rPr>
          <w:rFonts w:ascii="Arial" w:hAnsi="Arial" w:cs="Arial"/>
          <w:color w:val="222222"/>
          <w:szCs w:val="24"/>
        </w:rPr>
        <w:t>, </w:t>
      </w:r>
      <w:r w:rsidRPr="00F40CEB">
        <w:rPr>
          <w:rFonts w:ascii="Arial" w:hAnsi="Arial" w:cs="Arial"/>
          <w:i/>
          <w:iCs/>
          <w:color w:val="222222"/>
          <w:szCs w:val="24"/>
        </w:rPr>
        <w:t>76</w:t>
      </w:r>
      <w:r w:rsidRPr="00F40CEB">
        <w:rPr>
          <w:rFonts w:ascii="Arial" w:hAnsi="Arial" w:cs="Arial"/>
          <w:color w:val="222222"/>
          <w:szCs w:val="24"/>
        </w:rPr>
        <w:t xml:space="preserve">(2), </w:t>
      </w:r>
      <w:proofErr w:type="gramStart"/>
      <w:r w:rsidRPr="00F40CEB">
        <w:rPr>
          <w:rFonts w:ascii="Arial" w:hAnsi="Arial" w:cs="Arial"/>
          <w:color w:val="222222"/>
          <w:szCs w:val="24"/>
        </w:rPr>
        <w:t>pp.e</w:t>
      </w:r>
      <w:proofErr w:type="gramEnd"/>
      <w:r w:rsidRPr="00F40CEB">
        <w:rPr>
          <w:rFonts w:ascii="Arial" w:hAnsi="Arial" w:cs="Arial"/>
          <w:color w:val="222222"/>
          <w:szCs w:val="24"/>
        </w:rPr>
        <w:t>45-e48.</w:t>
      </w:r>
    </w:p>
    <w:p w14:paraId="71D3CF0A"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 xml:space="preserve">Nilsen, E.R., Hollister, B., </w:t>
      </w:r>
      <w:proofErr w:type="spellStart"/>
      <w:r w:rsidRPr="00F40CEB">
        <w:rPr>
          <w:rFonts w:ascii="Arial" w:hAnsi="Arial" w:cs="Arial"/>
          <w:color w:val="222222"/>
          <w:szCs w:val="24"/>
        </w:rPr>
        <w:t>Söderhamn</w:t>
      </w:r>
      <w:proofErr w:type="spellEnd"/>
      <w:r w:rsidRPr="00F40CEB">
        <w:rPr>
          <w:rFonts w:ascii="Arial" w:hAnsi="Arial" w:cs="Arial"/>
          <w:color w:val="222222"/>
          <w:szCs w:val="24"/>
        </w:rPr>
        <w:t>, U. and Dale, B., (2022). What matters to older adults? Exploring person</w:t>
      </w:r>
      <w:r w:rsidRPr="00F40CEB">
        <w:rPr>
          <w:rFonts w:ascii="Times New Roman" w:hAnsi="Times New Roman" w:cs="Arial"/>
          <w:color w:val="222222"/>
          <w:szCs w:val="24"/>
        </w:rPr>
        <w:t>‐</w:t>
      </w:r>
      <w:r w:rsidRPr="00F40CEB">
        <w:rPr>
          <w:rFonts w:ascii="Arial" w:hAnsi="Arial" w:cs="Arial"/>
          <w:color w:val="222222"/>
          <w:szCs w:val="24"/>
        </w:rPr>
        <w:t>centred care during and after transitions between hospital and home. </w:t>
      </w:r>
      <w:r w:rsidRPr="00F40CEB">
        <w:rPr>
          <w:rFonts w:ascii="Arial" w:hAnsi="Arial" w:cs="Arial"/>
          <w:i/>
          <w:iCs/>
          <w:color w:val="222222"/>
          <w:szCs w:val="24"/>
        </w:rPr>
        <w:t>Journal of Clinical Nursing</w:t>
      </w:r>
      <w:r w:rsidRPr="00F40CEB">
        <w:rPr>
          <w:rFonts w:ascii="Arial" w:hAnsi="Arial" w:cs="Arial"/>
          <w:color w:val="222222"/>
          <w:szCs w:val="24"/>
        </w:rPr>
        <w:t>, </w:t>
      </w:r>
      <w:r w:rsidRPr="00F40CEB">
        <w:rPr>
          <w:rFonts w:ascii="Arial" w:hAnsi="Arial" w:cs="Arial"/>
          <w:i/>
          <w:iCs/>
          <w:color w:val="222222"/>
          <w:szCs w:val="24"/>
        </w:rPr>
        <w:t>31</w:t>
      </w:r>
      <w:r w:rsidRPr="00F40CEB">
        <w:rPr>
          <w:rFonts w:ascii="Arial" w:hAnsi="Arial" w:cs="Arial"/>
          <w:color w:val="222222"/>
          <w:szCs w:val="24"/>
        </w:rPr>
        <w:t>(5-6), pp.569-581.</w:t>
      </w:r>
    </w:p>
    <w:p w14:paraId="65BAAC47" w14:textId="77777777" w:rsidR="00F40CEB" w:rsidRPr="00F40CEB" w:rsidRDefault="00F40CEB" w:rsidP="00D466F7">
      <w:pPr>
        <w:jc w:val="both"/>
        <w:rPr>
          <w:rFonts w:ascii="Arial" w:hAnsi="Arial" w:cs="Arial"/>
          <w:bCs/>
        </w:rPr>
      </w:pPr>
      <w:r w:rsidRPr="00F40CEB">
        <w:rPr>
          <w:rFonts w:ascii="Arial" w:hAnsi="Arial" w:cs="Arial"/>
        </w:rPr>
        <w:lastRenderedPageBreak/>
        <w:t>Office for National Statistics, (2025).</w:t>
      </w:r>
      <w:r w:rsidRPr="00F40CEB">
        <w:rPr>
          <w:rFonts w:ascii="Arial" w:eastAsia="Times New Roman" w:hAnsi="Arial" w:cs="Arial"/>
          <w:color w:val="FFFFFF"/>
          <w:kern w:val="36"/>
          <w:sz w:val="35"/>
          <w:szCs w:val="35"/>
        </w:rPr>
        <w:t xml:space="preserve"> </w:t>
      </w:r>
      <w:r w:rsidRPr="00F40CEB">
        <w:rPr>
          <w:rFonts w:ascii="Arial" w:hAnsi="Arial" w:cs="Arial"/>
          <w:bCs/>
          <w:i/>
        </w:rPr>
        <w:t>Estimates of the very old, including centenarians, UK: 2002 to 2024</w:t>
      </w:r>
      <w:r w:rsidRPr="00F40CEB">
        <w:rPr>
          <w:rFonts w:ascii="Arial" w:hAnsi="Arial" w:cs="Arial"/>
          <w:bCs/>
        </w:rPr>
        <w:t>. [Online]. Available through: &lt;</w:t>
      </w:r>
      <w:hyperlink r:id="rId12" w:history="1">
        <w:r w:rsidRPr="00F40CEB">
          <w:rPr>
            <w:rStyle w:val="Hyperlink"/>
            <w:rFonts w:ascii="Arial" w:hAnsi="Arial" w:cs="Arial"/>
            <w:bCs/>
          </w:rPr>
          <w:t>https://www.ons.gov.uk/peoplepopulationandcommunity/birthsdeathsandmarriages/ageing/bulletins/estimatesoftheveryoldincludingcentenarians/2002to2024</w:t>
        </w:r>
      </w:hyperlink>
      <w:r w:rsidRPr="00F40CEB">
        <w:rPr>
          <w:rFonts w:ascii="Arial" w:hAnsi="Arial" w:cs="Arial"/>
          <w:bCs/>
        </w:rPr>
        <w:t>&gt;. [Accessed on: 22</w:t>
      </w:r>
      <w:r w:rsidRPr="00F40CEB">
        <w:rPr>
          <w:rFonts w:ascii="Arial" w:hAnsi="Arial" w:cs="Arial"/>
          <w:bCs/>
          <w:vertAlign w:val="superscript"/>
        </w:rPr>
        <w:t>nd</w:t>
      </w:r>
      <w:r w:rsidRPr="00F40CEB">
        <w:rPr>
          <w:rFonts w:ascii="Arial" w:hAnsi="Arial" w:cs="Arial"/>
          <w:bCs/>
        </w:rPr>
        <w:t xml:space="preserve"> </w:t>
      </w:r>
      <w:proofErr w:type="gramStart"/>
      <w:r w:rsidRPr="00F40CEB">
        <w:rPr>
          <w:rFonts w:ascii="Arial" w:hAnsi="Arial" w:cs="Arial"/>
          <w:bCs/>
        </w:rPr>
        <w:t>October,</w:t>
      </w:r>
      <w:proofErr w:type="gramEnd"/>
      <w:r w:rsidRPr="00F40CEB">
        <w:rPr>
          <w:rFonts w:ascii="Arial" w:hAnsi="Arial" w:cs="Arial"/>
          <w:bCs/>
        </w:rPr>
        <w:t xml:space="preserve"> 2025].  </w:t>
      </w:r>
    </w:p>
    <w:p w14:paraId="457008C4" w14:textId="77777777" w:rsidR="00F40CEB" w:rsidRPr="00F40CEB" w:rsidRDefault="00F40CEB" w:rsidP="00D466F7">
      <w:pPr>
        <w:jc w:val="both"/>
        <w:rPr>
          <w:rFonts w:ascii="Arial" w:hAnsi="Arial" w:cs="Arial"/>
          <w:bCs/>
          <w:szCs w:val="24"/>
        </w:rPr>
      </w:pPr>
      <w:proofErr w:type="spellStart"/>
      <w:r w:rsidRPr="00F40CEB">
        <w:rPr>
          <w:rFonts w:ascii="Arial" w:hAnsi="Arial" w:cs="Arial"/>
          <w:color w:val="222222"/>
          <w:szCs w:val="24"/>
        </w:rPr>
        <w:t>Pitkala</w:t>
      </w:r>
      <w:proofErr w:type="spellEnd"/>
      <w:r w:rsidRPr="00F40CEB">
        <w:rPr>
          <w:rFonts w:ascii="Arial" w:hAnsi="Arial" w:cs="Arial"/>
          <w:color w:val="222222"/>
          <w:szCs w:val="24"/>
        </w:rPr>
        <w:t>, K.H. and Strandberg, T.E., (2022). Clinical trials in older people. </w:t>
      </w:r>
      <w:r w:rsidRPr="00F40CEB">
        <w:rPr>
          <w:rFonts w:ascii="Arial" w:hAnsi="Arial" w:cs="Arial"/>
          <w:i/>
          <w:iCs/>
          <w:color w:val="222222"/>
          <w:szCs w:val="24"/>
        </w:rPr>
        <w:t>Age and ageing</w:t>
      </w:r>
      <w:r w:rsidRPr="00F40CEB">
        <w:rPr>
          <w:rFonts w:ascii="Arial" w:hAnsi="Arial" w:cs="Arial"/>
          <w:color w:val="222222"/>
          <w:szCs w:val="24"/>
        </w:rPr>
        <w:t>, </w:t>
      </w:r>
      <w:r w:rsidRPr="00F40CEB">
        <w:rPr>
          <w:rFonts w:ascii="Arial" w:hAnsi="Arial" w:cs="Arial"/>
          <w:i/>
          <w:iCs/>
          <w:color w:val="222222"/>
          <w:szCs w:val="24"/>
        </w:rPr>
        <w:t>51</w:t>
      </w:r>
      <w:r w:rsidRPr="00F40CEB">
        <w:rPr>
          <w:rFonts w:ascii="Arial" w:hAnsi="Arial" w:cs="Arial"/>
          <w:color w:val="222222"/>
          <w:szCs w:val="24"/>
        </w:rPr>
        <w:t xml:space="preserve">(5), </w:t>
      </w:r>
      <w:proofErr w:type="gramStart"/>
      <w:r w:rsidRPr="00F40CEB">
        <w:rPr>
          <w:rFonts w:ascii="Arial" w:hAnsi="Arial" w:cs="Arial"/>
          <w:color w:val="222222"/>
          <w:szCs w:val="24"/>
        </w:rPr>
        <w:t>p.afab</w:t>
      </w:r>
      <w:proofErr w:type="gramEnd"/>
      <w:r w:rsidRPr="00F40CEB">
        <w:rPr>
          <w:rFonts w:ascii="Arial" w:hAnsi="Arial" w:cs="Arial"/>
          <w:color w:val="222222"/>
          <w:szCs w:val="24"/>
        </w:rPr>
        <w:t>282.</w:t>
      </w:r>
    </w:p>
    <w:p w14:paraId="760D3366"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 xml:space="preserve">Turner, H.C., Archer, R.A., Downey, L.E., </w:t>
      </w:r>
      <w:proofErr w:type="spellStart"/>
      <w:r w:rsidRPr="00F40CEB">
        <w:rPr>
          <w:rFonts w:ascii="Arial" w:hAnsi="Arial" w:cs="Arial"/>
          <w:color w:val="222222"/>
          <w:szCs w:val="24"/>
        </w:rPr>
        <w:t>Isaranuwatchai</w:t>
      </w:r>
      <w:proofErr w:type="spellEnd"/>
      <w:r w:rsidRPr="00F40CEB">
        <w:rPr>
          <w:rFonts w:ascii="Arial" w:hAnsi="Arial" w:cs="Arial"/>
          <w:color w:val="222222"/>
          <w:szCs w:val="24"/>
        </w:rPr>
        <w:t xml:space="preserve">, W., </w:t>
      </w:r>
      <w:proofErr w:type="spellStart"/>
      <w:r w:rsidRPr="00F40CEB">
        <w:rPr>
          <w:rFonts w:ascii="Arial" w:hAnsi="Arial" w:cs="Arial"/>
          <w:color w:val="222222"/>
          <w:szCs w:val="24"/>
        </w:rPr>
        <w:t>Chalkidou</w:t>
      </w:r>
      <w:proofErr w:type="spellEnd"/>
      <w:r w:rsidRPr="00F40CEB">
        <w:rPr>
          <w:rFonts w:ascii="Arial" w:hAnsi="Arial" w:cs="Arial"/>
          <w:color w:val="222222"/>
          <w:szCs w:val="24"/>
        </w:rPr>
        <w:t xml:space="preserve">, K., Jit, M. and </w:t>
      </w:r>
      <w:proofErr w:type="spellStart"/>
      <w:r w:rsidRPr="00F40CEB">
        <w:rPr>
          <w:rFonts w:ascii="Arial" w:hAnsi="Arial" w:cs="Arial"/>
          <w:color w:val="222222"/>
          <w:szCs w:val="24"/>
        </w:rPr>
        <w:t>Teerawattananon</w:t>
      </w:r>
      <w:proofErr w:type="spellEnd"/>
      <w:r w:rsidRPr="00F40CEB">
        <w:rPr>
          <w:rFonts w:ascii="Arial" w:hAnsi="Arial" w:cs="Arial"/>
          <w:color w:val="222222"/>
          <w:szCs w:val="24"/>
        </w:rPr>
        <w:t>, Y., (2021). An introduction to the main types of economic evaluations used for informing priority setting and resource allocation in healthcare: key features, uses, and limitations. </w:t>
      </w:r>
      <w:r w:rsidRPr="00F40CEB">
        <w:rPr>
          <w:rFonts w:ascii="Arial" w:hAnsi="Arial" w:cs="Arial"/>
          <w:i/>
          <w:iCs/>
          <w:color w:val="222222"/>
          <w:szCs w:val="24"/>
        </w:rPr>
        <w:t>Frontiers in public health</w:t>
      </w:r>
      <w:r w:rsidRPr="00F40CEB">
        <w:rPr>
          <w:rFonts w:ascii="Arial" w:hAnsi="Arial" w:cs="Arial"/>
          <w:color w:val="222222"/>
          <w:szCs w:val="24"/>
        </w:rPr>
        <w:t>, </w:t>
      </w:r>
      <w:r w:rsidRPr="00F40CEB">
        <w:rPr>
          <w:rFonts w:ascii="Arial" w:hAnsi="Arial" w:cs="Arial"/>
          <w:i/>
          <w:iCs/>
          <w:color w:val="222222"/>
          <w:szCs w:val="24"/>
        </w:rPr>
        <w:t>9</w:t>
      </w:r>
      <w:r w:rsidRPr="00F40CEB">
        <w:rPr>
          <w:rFonts w:ascii="Arial" w:hAnsi="Arial" w:cs="Arial"/>
          <w:color w:val="222222"/>
          <w:szCs w:val="24"/>
        </w:rPr>
        <w:t>, p.722927.</w:t>
      </w:r>
    </w:p>
    <w:p w14:paraId="7379B4FB"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Western, M.J., Armstrong, M.E., Islam, I., Morgan, K., Jones, U.F. and Kelson, M.J., (2021). The effectiveness of digital interventions for increasing physical activity in individuals of low socioeconomic status: a systematic review and meta-analysis. </w:t>
      </w:r>
      <w:r w:rsidRPr="00F40CEB">
        <w:rPr>
          <w:rFonts w:ascii="Arial" w:hAnsi="Arial" w:cs="Arial"/>
          <w:i/>
          <w:iCs/>
          <w:color w:val="222222"/>
          <w:szCs w:val="24"/>
        </w:rPr>
        <w:t xml:space="preserve">International Journal of </w:t>
      </w:r>
      <w:proofErr w:type="spellStart"/>
      <w:r w:rsidRPr="00F40CEB">
        <w:rPr>
          <w:rFonts w:ascii="Arial" w:hAnsi="Arial" w:cs="Arial"/>
          <w:i/>
          <w:iCs/>
          <w:color w:val="222222"/>
          <w:szCs w:val="24"/>
        </w:rPr>
        <w:t>Behavioral</w:t>
      </w:r>
      <w:proofErr w:type="spellEnd"/>
      <w:r w:rsidRPr="00F40CEB">
        <w:rPr>
          <w:rFonts w:ascii="Arial" w:hAnsi="Arial" w:cs="Arial"/>
          <w:i/>
          <w:iCs/>
          <w:color w:val="222222"/>
          <w:szCs w:val="24"/>
        </w:rPr>
        <w:t xml:space="preserve"> Nutrition and Physical Activity</w:t>
      </w:r>
      <w:r w:rsidRPr="00F40CEB">
        <w:rPr>
          <w:rFonts w:ascii="Arial" w:hAnsi="Arial" w:cs="Arial"/>
          <w:color w:val="222222"/>
          <w:szCs w:val="24"/>
        </w:rPr>
        <w:t>, </w:t>
      </w:r>
      <w:r w:rsidRPr="00F40CEB">
        <w:rPr>
          <w:rFonts w:ascii="Arial" w:hAnsi="Arial" w:cs="Arial"/>
          <w:i/>
          <w:iCs/>
          <w:color w:val="222222"/>
          <w:szCs w:val="24"/>
        </w:rPr>
        <w:t>18</w:t>
      </w:r>
      <w:r w:rsidRPr="00F40CEB">
        <w:rPr>
          <w:rFonts w:ascii="Arial" w:hAnsi="Arial" w:cs="Arial"/>
          <w:color w:val="222222"/>
          <w:szCs w:val="24"/>
        </w:rPr>
        <w:t>(1), p.148.</w:t>
      </w:r>
    </w:p>
    <w:p w14:paraId="1F20F4CD" w14:textId="77777777" w:rsidR="00F40CEB" w:rsidRPr="00F40CEB" w:rsidRDefault="00F40CEB" w:rsidP="00D466F7">
      <w:pPr>
        <w:jc w:val="both"/>
        <w:rPr>
          <w:rFonts w:ascii="Arial" w:hAnsi="Arial" w:cs="Arial"/>
          <w:bCs/>
          <w:szCs w:val="24"/>
        </w:rPr>
      </w:pPr>
      <w:r w:rsidRPr="00F40CEB">
        <w:rPr>
          <w:rFonts w:ascii="Arial" w:hAnsi="Arial" w:cs="Arial"/>
          <w:color w:val="222222"/>
          <w:szCs w:val="24"/>
        </w:rPr>
        <w:t>Zaman, S.B., Khan, R.K., Evans, R.G., Thrift, A.G., Maddison, R. and Islam, S.M.S., (2022). Exploring barriers to and enablers of the adoption of information and communication technology for the care of older adults with chronic diseases: scoping review. </w:t>
      </w:r>
      <w:r w:rsidRPr="00F40CEB">
        <w:rPr>
          <w:rFonts w:ascii="Arial" w:hAnsi="Arial" w:cs="Arial"/>
          <w:i/>
          <w:iCs/>
          <w:color w:val="222222"/>
          <w:szCs w:val="24"/>
        </w:rPr>
        <w:t>JMIR aging</w:t>
      </w:r>
      <w:r w:rsidRPr="00F40CEB">
        <w:rPr>
          <w:rFonts w:ascii="Arial" w:hAnsi="Arial" w:cs="Arial"/>
          <w:color w:val="222222"/>
          <w:szCs w:val="24"/>
        </w:rPr>
        <w:t>, </w:t>
      </w:r>
      <w:r w:rsidRPr="00F40CEB">
        <w:rPr>
          <w:rFonts w:ascii="Arial" w:hAnsi="Arial" w:cs="Arial"/>
          <w:i/>
          <w:iCs/>
          <w:color w:val="222222"/>
          <w:szCs w:val="24"/>
        </w:rPr>
        <w:t>5</w:t>
      </w:r>
      <w:r w:rsidRPr="00F40CEB">
        <w:rPr>
          <w:rFonts w:ascii="Arial" w:hAnsi="Arial" w:cs="Arial"/>
          <w:color w:val="222222"/>
          <w:szCs w:val="24"/>
        </w:rPr>
        <w:t>(1), p.e25251.</w:t>
      </w:r>
    </w:p>
    <w:p w14:paraId="4E5C1A70" w14:textId="77777777" w:rsidR="00F40CEB" w:rsidRPr="00F40CEB" w:rsidRDefault="00F40CEB">
      <w:pPr>
        <w:rPr>
          <w:rFonts w:ascii="Arial" w:eastAsia="Arial" w:hAnsi="Arial" w:cs="Arial"/>
          <w:b/>
          <w:bCs/>
          <w:sz w:val="28"/>
          <w:szCs w:val="28"/>
        </w:rPr>
      </w:pPr>
    </w:p>
    <w:p w14:paraId="3E6F1CD8" w14:textId="77777777" w:rsidR="00505F61" w:rsidRPr="00F40CEB" w:rsidRDefault="00657C61">
      <w:pPr>
        <w:rPr>
          <w:rFonts w:ascii="Arial" w:eastAsia="Arial" w:hAnsi="Arial" w:cs="Arial"/>
          <w:sz w:val="24"/>
          <w:szCs w:val="24"/>
        </w:rPr>
      </w:pPr>
      <w:r w:rsidRPr="00F40CEB">
        <w:rPr>
          <w:rFonts w:ascii="Arial" w:hAnsi="Arial" w:cs="Arial"/>
          <w:sz w:val="24"/>
          <w:szCs w:val="24"/>
        </w:rPr>
        <w:t xml:space="preserve">    </w:t>
      </w:r>
    </w:p>
    <w:p w14:paraId="47B2625C" w14:textId="77777777" w:rsidR="00505F61" w:rsidRPr="00F40CEB" w:rsidRDefault="00505F61">
      <w:pPr>
        <w:rPr>
          <w:rFonts w:ascii="Arial" w:hAnsi="Arial" w:cs="Arial"/>
        </w:rPr>
      </w:pPr>
    </w:p>
    <w:sectPr w:rsidR="00505F61" w:rsidRPr="00F40CEB">
      <w:headerReference w:type="default" r:id="rId13"/>
      <w:pgSz w:w="15840" w:h="12240" w:orient="landscape"/>
      <w:pgMar w:top="720" w:right="720" w:bottom="576" w:left="720" w:header="432" w:footer="28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8CACD" w14:textId="77777777" w:rsidR="00F7126A" w:rsidRDefault="00F7126A">
      <w:pPr>
        <w:spacing w:after="0"/>
      </w:pPr>
      <w:r>
        <w:separator/>
      </w:r>
    </w:p>
  </w:endnote>
  <w:endnote w:type="continuationSeparator" w:id="0">
    <w:p w14:paraId="7E2EFA6F" w14:textId="77777777" w:rsidR="00F7126A" w:rsidRDefault="00F7126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Century Schoolbook">
    <w:panose1 w:val="02040604050505020304"/>
    <w:charset w:val="00"/>
    <w:family w:val="roman"/>
    <w:pitch w:val="variable"/>
    <w:sig w:usb0="00000287" w:usb1="00000000" w:usb2="00000000" w:usb3="00000000" w:csb0="0000009F" w:csb1="00000000"/>
  </w:font>
  <w:font w:name="Helvetica Neue">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F20FC0" w14:textId="77777777" w:rsidR="00F7126A" w:rsidRDefault="00F7126A">
      <w:pPr>
        <w:spacing w:after="0"/>
      </w:pPr>
      <w:r>
        <w:separator/>
      </w:r>
    </w:p>
  </w:footnote>
  <w:footnote w:type="continuationSeparator" w:id="0">
    <w:p w14:paraId="7893D1E1" w14:textId="77777777" w:rsidR="00F7126A" w:rsidRDefault="00F7126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9216E6" w14:textId="77777777" w:rsidR="00D466F7" w:rsidRDefault="00000000">
    <w:pPr>
      <w:pStyle w:val="Header"/>
    </w:pPr>
    <w:r>
      <w:fldChar w:fldCharType="begin"/>
    </w:r>
    <w:r>
      <w:instrText xml:space="preserve"> PAGE   \* MERGEFORMAT </w:instrText>
    </w:r>
    <w:r>
      <w:fldChar w:fldCharType="separate"/>
    </w:r>
    <w:r w:rsidR="00BF2F70">
      <w:rPr>
        <w:noProof/>
      </w:rPr>
      <w:t>7</w:t>
    </w:r>
    <w:r>
      <w:rPr>
        <w:noProof/>
      </w:rPr>
      <w:fldChar w:fldCharType="end"/>
    </w:r>
  </w:p>
  <w:p w14:paraId="73852129" w14:textId="77777777" w:rsidR="00505F61" w:rsidRDefault="00505F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874291"/>
    <w:multiLevelType w:val="hybridMultilevel"/>
    <w:tmpl w:val="F7FC2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8714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05F61"/>
    <w:rsid w:val="00505F61"/>
    <w:rsid w:val="00542674"/>
    <w:rsid w:val="00657C61"/>
    <w:rsid w:val="00985D84"/>
    <w:rsid w:val="009B400F"/>
    <w:rsid w:val="009C13C5"/>
    <w:rsid w:val="009D0BCF"/>
    <w:rsid w:val="00AF30FB"/>
    <w:rsid w:val="00BF2F70"/>
    <w:rsid w:val="00BF32BE"/>
    <w:rsid w:val="00C616A4"/>
    <w:rsid w:val="00D062EA"/>
    <w:rsid w:val="00D466F7"/>
    <w:rsid w:val="00E02EC1"/>
    <w:rsid w:val="00F00741"/>
    <w:rsid w:val="00F40CEB"/>
    <w:rsid w:val="00F52F58"/>
    <w:rsid w:val="00F71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B1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pBdr>
        <w:top w:val="nil"/>
        <w:left w:val="nil"/>
        <w:bottom w:val="nil"/>
        <w:right w:val="nil"/>
        <w:between w:val="nil"/>
        <w:bar w:val="nil"/>
      </w:pBdr>
      <w:spacing w:after="220"/>
    </w:pPr>
    <w:rPr>
      <w:rFonts w:ascii="Century Schoolbook" w:eastAsia="Century Schoolbook" w:hAnsi="Century Schoolbook" w:cs="Century Schoolbook"/>
      <w:color w:val="000000"/>
      <w:sz w:val="22"/>
      <w:szCs w:val="22"/>
      <w:u w:color="000000"/>
      <w:bdr w:val="nil"/>
      <w:lang w:val="en-GB"/>
    </w:rPr>
  </w:style>
  <w:style w:type="paragraph" w:styleId="Heading1">
    <w:name w:val="heading 1"/>
    <w:next w:val="Normal"/>
    <w:uiPriority w:val="9"/>
    <w:qFormat/>
    <w:pPr>
      <w:pBdr>
        <w:top w:val="nil"/>
        <w:left w:val="nil"/>
        <w:bottom w:val="nil"/>
        <w:right w:val="nil"/>
        <w:between w:val="nil"/>
        <w:bar w:val="nil"/>
      </w:pBdr>
      <w:spacing w:after="240"/>
      <w:outlineLvl w:val="0"/>
    </w:pPr>
    <w:rPr>
      <w:rFonts w:ascii="Century Schoolbook" w:hAnsi="Century Schoolbook" w:cs="Arial Unicode MS"/>
      <w:b/>
      <w:bCs/>
      <w:color w:val="44546A"/>
      <w:spacing w:val="10"/>
      <w:sz w:val="28"/>
      <w:szCs w:val="28"/>
      <w:u w:color="44546A"/>
      <w:bdr w:val="ni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link w:val="HeaderChar"/>
    <w:uiPriority w:val="99"/>
    <w:pPr>
      <w:pBdr>
        <w:top w:val="nil"/>
        <w:left w:val="nil"/>
        <w:bottom w:val="nil"/>
        <w:right w:val="nil"/>
        <w:between w:val="nil"/>
        <w:bar w:val="nil"/>
      </w:pBdr>
    </w:pPr>
    <w:rPr>
      <w:rFonts w:ascii="Century Schoolbook" w:hAnsi="Century Schoolbook" w:cs="Arial Unicode MS"/>
      <w:color w:val="000000"/>
      <w:sz w:val="22"/>
      <w:szCs w:val="22"/>
      <w:u w:color="000000"/>
      <w:bdr w:val="nil"/>
    </w:rPr>
  </w:style>
  <w:style w:type="paragraph" w:customStyle="1" w:styleId="HeaderFooter">
    <w:name w:val="Header &amp; Footer"/>
    <w:pPr>
      <w:pBdr>
        <w:top w:val="nil"/>
        <w:left w:val="nil"/>
        <w:bottom w:val="nil"/>
        <w:right w:val="nil"/>
        <w:between w:val="nil"/>
        <w:bar w:val="nil"/>
      </w:pBdr>
      <w:tabs>
        <w:tab w:val="right" w:pos="9020"/>
      </w:tabs>
    </w:pPr>
    <w:rPr>
      <w:rFonts w:ascii="Helvetica Neue" w:eastAsia="Helvetica Neue" w:hAnsi="Helvetica Neue" w:cs="Helvetica Neue"/>
      <w:color w:val="000000"/>
      <w:sz w:val="24"/>
      <w:szCs w:val="24"/>
      <w:bdr w:val="nil"/>
    </w:rPr>
  </w:style>
  <w:style w:type="character" w:styleId="Emphasis">
    <w:name w:val="Emphasis"/>
    <w:basedOn w:val="DefaultParagraphFont"/>
    <w:uiPriority w:val="20"/>
    <w:qFormat/>
    <w:rsid w:val="00F40CEB"/>
    <w:rPr>
      <w:i/>
      <w:iCs/>
    </w:rPr>
  </w:style>
  <w:style w:type="character" w:styleId="Strong">
    <w:name w:val="Strong"/>
    <w:basedOn w:val="DefaultParagraphFont"/>
    <w:uiPriority w:val="22"/>
    <w:qFormat/>
    <w:rsid w:val="00F40CEB"/>
    <w:rPr>
      <w:b/>
      <w:bCs/>
    </w:rPr>
  </w:style>
  <w:style w:type="paragraph" w:styleId="ListParagraph">
    <w:name w:val="List Paragraph"/>
    <w:basedOn w:val="Normal"/>
    <w:link w:val="ListParagraphChar"/>
    <w:uiPriority w:val="34"/>
    <w:qFormat/>
    <w:rsid w:val="00F40CEB"/>
    <w:pPr>
      <w:pBdr>
        <w:top w:val="none" w:sz="0" w:space="0" w:color="auto"/>
        <w:left w:val="none" w:sz="0" w:space="0" w:color="auto"/>
        <w:bottom w:val="none" w:sz="0" w:space="0" w:color="auto"/>
        <w:right w:val="none" w:sz="0" w:space="0" w:color="auto"/>
        <w:between w:val="none" w:sz="0" w:space="0" w:color="auto"/>
        <w:bar w:val="none" w:sz="0" w:color="auto"/>
      </w:pBdr>
      <w:spacing w:after="0" w:line="360" w:lineRule="auto"/>
      <w:ind w:left="720"/>
      <w:contextualSpacing/>
      <w:jc w:val="both"/>
    </w:pPr>
    <w:rPr>
      <w:rFonts w:ascii="Times New Roman" w:eastAsia="Calibri" w:hAnsi="Times New Roman" w:cs="Times New Roman"/>
      <w:color w:val="auto"/>
      <w:sz w:val="24"/>
      <w:bdr w:val="none" w:sz="0" w:space="0" w:color="auto"/>
      <w:shd w:val="clear" w:color="auto" w:fill="FFFFFF"/>
      <w:lang w:val="ms-MY"/>
    </w:rPr>
  </w:style>
  <w:style w:type="character" w:customStyle="1" w:styleId="ListParagraphChar">
    <w:name w:val="List Paragraph Char"/>
    <w:link w:val="ListParagraph"/>
    <w:uiPriority w:val="34"/>
    <w:locked/>
    <w:rsid w:val="00F40CEB"/>
    <w:rPr>
      <w:rFonts w:eastAsia="Calibri" w:cs="Times New Roman"/>
      <w:sz w:val="24"/>
      <w:szCs w:val="22"/>
      <w:lang w:val="ms-MY"/>
    </w:rPr>
  </w:style>
  <w:style w:type="paragraph" w:styleId="DocumentMap">
    <w:name w:val="Document Map"/>
    <w:basedOn w:val="Normal"/>
    <w:link w:val="DocumentMapChar"/>
    <w:uiPriority w:val="99"/>
    <w:semiHidden/>
    <w:unhideWhenUsed/>
    <w:rsid w:val="00D466F7"/>
    <w:rPr>
      <w:rFonts w:ascii="Tahoma" w:hAnsi="Tahoma" w:cs="Tahoma"/>
      <w:sz w:val="16"/>
      <w:szCs w:val="16"/>
    </w:rPr>
  </w:style>
  <w:style w:type="character" w:customStyle="1" w:styleId="DocumentMapChar">
    <w:name w:val="Document Map Char"/>
    <w:basedOn w:val="DefaultParagraphFont"/>
    <w:link w:val="DocumentMap"/>
    <w:uiPriority w:val="99"/>
    <w:semiHidden/>
    <w:rsid w:val="00D466F7"/>
    <w:rPr>
      <w:rFonts w:ascii="Tahoma" w:eastAsia="Century Schoolbook" w:hAnsi="Tahoma" w:cs="Tahoma"/>
      <w:color w:val="000000"/>
      <w:sz w:val="16"/>
      <w:szCs w:val="16"/>
      <w:u w:color="000000"/>
      <w:bdr w:val="nil"/>
      <w:lang w:val="en-GB" w:eastAsia="en-US"/>
    </w:rPr>
  </w:style>
  <w:style w:type="paragraph" w:styleId="Footer">
    <w:name w:val="footer"/>
    <w:basedOn w:val="Normal"/>
    <w:link w:val="FooterChar"/>
    <w:uiPriority w:val="99"/>
    <w:semiHidden/>
    <w:unhideWhenUsed/>
    <w:rsid w:val="00D466F7"/>
    <w:pPr>
      <w:tabs>
        <w:tab w:val="center" w:pos="4513"/>
        <w:tab w:val="right" w:pos="9026"/>
      </w:tabs>
    </w:pPr>
  </w:style>
  <w:style w:type="character" w:customStyle="1" w:styleId="FooterChar">
    <w:name w:val="Footer Char"/>
    <w:basedOn w:val="DefaultParagraphFont"/>
    <w:link w:val="Footer"/>
    <w:uiPriority w:val="99"/>
    <w:semiHidden/>
    <w:rsid w:val="00D466F7"/>
    <w:rPr>
      <w:rFonts w:ascii="Century Schoolbook" w:eastAsia="Century Schoolbook" w:hAnsi="Century Schoolbook" w:cs="Century Schoolbook"/>
      <w:color w:val="000000"/>
      <w:sz w:val="22"/>
      <w:szCs w:val="22"/>
      <w:u w:color="000000"/>
      <w:bdr w:val="nil"/>
      <w:lang w:val="en-GB" w:eastAsia="en-US"/>
    </w:rPr>
  </w:style>
  <w:style w:type="character" w:customStyle="1" w:styleId="HeaderChar">
    <w:name w:val="Header Char"/>
    <w:basedOn w:val="DefaultParagraphFont"/>
    <w:link w:val="Header"/>
    <w:uiPriority w:val="99"/>
    <w:rsid w:val="00D466F7"/>
    <w:rPr>
      <w:rFonts w:ascii="Century Schoolbook" w:hAnsi="Century Schoolbook" w:cs="Arial Unicode MS"/>
      <w:color w:val="000000"/>
      <w:sz w:val="22"/>
      <w:szCs w:val="22"/>
      <w:u w:color="000000"/>
      <w:bdr w:val="nil"/>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peoplepopulationandcommunity/birthsdeathsandmarriages/ageing/bulletins/estimatesoftheveryoldincludingcentenarians/2002to2024?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org.uk/discover/2025/july/what-the-nhs-10-year-plan-means-for-older-peop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geuk.org.uk/bp-assets/globalassets/norfolk/original-blocks/about-us/publications/aukn-annual-report-2024.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2422</Words>
  <Characters>13806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16196</CharactersWithSpaces>
  <SharedDoc>false</SharedDoc>
  <HLinks>
    <vt:vector size="18" baseType="variant">
      <vt:variant>
        <vt:i4>393337</vt:i4>
      </vt:variant>
      <vt:variant>
        <vt:i4>6</vt:i4>
      </vt:variant>
      <vt:variant>
        <vt:i4>0</vt:i4>
      </vt:variant>
      <vt:variant>
        <vt:i4>5</vt:i4>
      </vt:variant>
      <vt:variant>
        <vt:lpwstr>https://www.ons.gov.uk/peoplepopulationandcommunity/birthsdeathsandmarriages/ageing/bulletins/estimatesoftheveryoldincludingcentenarians/2002to2024?utm_source=chatgpt.com</vt:lpwstr>
      </vt:variant>
      <vt:variant>
        <vt:lpwstr/>
      </vt:variant>
      <vt:variant>
        <vt:i4>7274548</vt:i4>
      </vt:variant>
      <vt:variant>
        <vt:i4>3</vt:i4>
      </vt:variant>
      <vt:variant>
        <vt:i4>0</vt:i4>
      </vt:variant>
      <vt:variant>
        <vt:i4>5</vt:i4>
      </vt:variant>
      <vt:variant>
        <vt:lpwstr>https://www.gov.uk.org.uk/discover/2025/july/what-the-nhs-10-year-plan-means-for-older-people/</vt:lpwstr>
      </vt:variant>
      <vt:variant>
        <vt:lpwstr/>
      </vt:variant>
      <vt:variant>
        <vt:i4>4849743</vt:i4>
      </vt:variant>
      <vt:variant>
        <vt:i4>0</vt:i4>
      </vt:variant>
      <vt:variant>
        <vt:i4>0</vt:i4>
      </vt:variant>
      <vt:variant>
        <vt:i4>5</vt:i4>
      </vt:variant>
      <vt:variant>
        <vt:lpwstr>https://www.ageuk.org.uk/bp-assets/globalassets/norfolk/original-blocks/about-us/publications/aukn-annual-report-2024.pdf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2</cp:revision>
  <dcterms:created xsi:type="dcterms:W3CDTF">2025-10-22T12:03:00Z</dcterms:created>
  <dcterms:modified xsi:type="dcterms:W3CDTF">2025-11-12T23:48:00Z</dcterms:modified>
</cp:coreProperties>
</file>