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235.63636363636365" w:lineRule="auto"/>
        <w:rPr>
          <w:rFonts w:ascii="Times New Roman" w:cs="Times New Roman" w:eastAsia="Times New Roman" w:hAnsi="Times New Roman"/>
          <w:b w:val="1"/>
          <w:bCs w:val="1"/>
          <w:sz w:val="40"/>
          <w:szCs w:val="40"/>
        </w:rPr>
      </w:pPr>
      <w:r w:rsidDel="00000000" w:rsidR="00000000" w:rsidRPr="00000000">
        <w:rPr>
          <w:rFonts w:ascii="Times New Roman" w:cs="Times New Roman" w:eastAsia="Times New Roman" w:hAnsi="Times New Roman"/>
          <w:b w:val="1"/>
          <w:bCs w:val="1"/>
          <w:sz w:val="40"/>
          <w:szCs w:val="40"/>
        </w:rPr>
        <w:drawing>
          <wp:inline distB="114300" distT="114300" distL="114300" distR="114300">
            <wp:extent cx="1816100" cy="723900"/>
            <wp:effectExtent b="0" l="0" r="0" t="0"/>
            <wp:docPr descr="Discover University of Wales Trinity Saint David" id="4" name="image2.png"/>
            <a:graphic>
              <a:graphicData uri="http://schemas.openxmlformats.org/drawingml/2006/picture">
                <pic:pic>
                  <pic:nvPicPr>
                    <pic:cNvPr descr="Discover University of Wales Trinity Saint David" id="0" name="image2.png"/>
                    <pic:cNvPicPr preferRelativeResize="0"/>
                  </pic:nvPicPr>
                  <pic:blipFill>
                    <a:blip r:embed="rId6"/>
                    <a:srcRect b="0" l="0" r="0" t="0"/>
                    <a:stretch>
                      <a:fillRect/>
                    </a:stretch>
                  </pic:blipFill>
                  <pic:spPr>
                    <a:xfrm>
                      <a:off x="0" y="0"/>
                      <a:ext cx="1816100"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235.63636363636365"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b w:val="1"/>
          <w:bCs w:val="1"/>
          <w:sz w:val="40"/>
          <w:szCs w:val="40"/>
          <w:rtl w:val="0"/>
        </w:rPr>
        <w:t xml:space="preserve">LEVEL 4 ASSESSMENT SPECIFICATION </w:t>
      </w: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235.6363636363636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1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235.63636363636365" w:lineRule="auto"/>
        <w:jc w:val="center"/>
        <w:rPr>
          <w:rFonts w:ascii="Times New Roman" w:cs="Times New Roman" w:eastAsia="Times New Roman" w:hAnsi="Times New Roman"/>
          <w:sz w:val="32"/>
          <w:szCs w:val="32"/>
          <w:shd w:fill="c6c6c6" w:val="clear"/>
        </w:rPr>
      </w:pPr>
      <w:r w:rsidDel="00000000" w:rsidR="00000000" w:rsidRPr="00000000">
        <w:rPr>
          <w:rFonts w:ascii="Times New Roman" w:cs="Times New Roman" w:eastAsia="Times New Roman" w:hAnsi="Times New Roman"/>
          <w:sz w:val="32"/>
          <w:szCs w:val="32"/>
          <w:shd w:fill="c6c6c6" w:val="clear"/>
          <w:rtl w:val="0"/>
        </w:rPr>
        <w:t xml:space="preserve"> </w:t>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973.4939759036147"/>
        <w:gridCol w:w="3101.2048192771085"/>
        <w:gridCol w:w="2142.650602409639"/>
        <w:gridCol w:w="2142.650602409639"/>
        <w:tblGridChange w:id="0">
          <w:tblGrid>
            <w:gridCol w:w="1973.4939759036147"/>
            <w:gridCol w:w="3101.2048192771085"/>
            <w:gridCol w:w="2142.650602409639"/>
            <w:gridCol w:w="2142.650602409639"/>
          </w:tblGrid>
        </w:tblGridChange>
      </w:tblGrid>
      <w:tr>
        <w:trPr>
          <w:cantSplit w:val="0"/>
          <w:trHeight w:val="5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SARAH BINTI JOHAN SHAH</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0.0" w:type="dxa"/>
              <w:left w:w="0.0" w:type="dxa"/>
              <w:bottom w:w="0.0" w:type="dxa"/>
              <w:right w:w="0.0" w:type="dxa"/>
            </w:tcMar>
            <w:vAlign w:val="top"/>
          </w:tcPr>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ID number:</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2527783</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Programme:</w:t>
            </w:r>
            <w:r w:rsidDel="00000000" w:rsidR="00000000" w:rsidRPr="00000000">
              <w:rPr>
                <w:rFonts w:ascii="Times New Roman" w:cs="Times New Roman" w:eastAsia="Times New Roman" w:hAnsi="Times New Roman"/>
                <w:rtl w:val="0"/>
              </w:rPr>
              <w:t xml:space="preserve"> </w:t>
            </w:r>
          </w:p>
        </w:tc>
        <w:tc>
          <w:tcPr>
            <w:gridSpan w:val="3"/>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BACHELOR IN ACCOUNTING</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Module:</w:t>
            </w:r>
            <w:r w:rsidDel="00000000" w:rsidR="00000000" w:rsidRPr="00000000">
              <w:rPr>
                <w:rFonts w:ascii="Times New Roman" w:cs="Times New Roman" w:eastAsia="Times New Roman" w:hAnsi="Times New Roman"/>
                <w:rtl w:val="0"/>
              </w:rPr>
              <w:t xml:space="preserve"> </w:t>
            </w:r>
          </w:p>
        </w:tc>
        <w:tc>
          <w:tcPr>
            <w:gridSpan w:val="3"/>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Contemporary Challenges: Making a Difference</w:t>
            </w:r>
            <w:r w:rsidDel="00000000" w:rsidR="00000000" w:rsidRPr="00000000">
              <w:rPr>
                <w:rFonts w:ascii="Times New Roman" w:cs="Times New Roman" w:eastAsia="Times New Roman" w:hAnsi="Times New Roman"/>
                <w:rtl w:val="0"/>
              </w:rPr>
              <w:t xml:space="preserve"> </w:t>
            </w:r>
          </w:p>
        </w:tc>
      </w:tr>
      <w:tr>
        <w:trPr>
          <w:cantSplit w:val="0"/>
          <w:trHeight w:val="78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Module code:</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MWBA4000</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d9d9d9" w:val="clear"/>
            <w:tcMar>
              <w:top w:w="0.0" w:type="dxa"/>
              <w:left w:w="0.0" w:type="dxa"/>
              <w:bottom w:w="0.0" w:type="dxa"/>
              <w:right w:w="0.0" w:type="dxa"/>
            </w:tcMar>
            <w:vAlign w:val="top"/>
          </w:tcPr>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Contribution to Overall Module Assessment (%):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100%</w:t>
            </w:r>
            <w:r w:rsidDel="00000000" w:rsidR="00000000" w:rsidRPr="00000000">
              <w:rPr>
                <w:rFonts w:ascii="Times New Roman" w:cs="Times New Roman" w:eastAsia="Times New Roman" w:hAnsi="Times New Roman"/>
                <w:rtl w:val="0"/>
              </w:rPr>
              <w:t xml:space="preserv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Lecturer:</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Emma Roberts</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d9d9d9" w:val="clear"/>
            <w:tcMar>
              <w:top w:w="0.0" w:type="dxa"/>
              <w:left w:w="0.0" w:type="dxa"/>
              <w:bottom w:w="0.0" w:type="dxa"/>
              <w:right w:w="0.0" w:type="dxa"/>
            </w:tcMar>
            <w:vAlign w:val="top"/>
          </w:tcPr>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Internal Verifier:</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Vic Saunders</w:t>
            </w:r>
            <w:r w:rsidDel="00000000" w:rsidR="00000000" w:rsidRPr="00000000">
              <w:rPr>
                <w:rFonts w:ascii="Times New Roman" w:cs="Times New Roman" w:eastAsia="Times New Roman" w:hAnsi="Times New Roman"/>
                <w:rtl w:val="0"/>
              </w:rPr>
              <w:t xml:space="preserve"> </w:t>
            </w:r>
          </w:p>
        </w:tc>
      </w:tr>
      <w:tr>
        <w:trPr>
          <w:cantSplit w:val="0"/>
          <w:trHeight w:val="103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Assignment Title:</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Group Presentation with supporting material (max 4 in a group)</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Word count (or equivalent):</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1,657 words </w:t>
            </w:r>
            <w:r w:rsidDel="00000000" w:rsidR="00000000" w:rsidRPr="00000000">
              <w:rPr>
                <w:rtl w:val="0"/>
              </w:rPr>
            </w:r>
          </w:p>
        </w:tc>
      </w:tr>
      <w:tr>
        <w:trPr>
          <w:cantSplit w:val="0"/>
          <w:trHeight w:val="103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Submission deadline:</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Monday 24</w:t>
            </w:r>
            <w:r w:rsidDel="00000000" w:rsidR="00000000" w:rsidRPr="00000000">
              <w:rPr>
                <w:rFonts w:ascii="Times New Roman" w:cs="Times New Roman" w:eastAsia="Times New Roman" w:hAnsi="Times New Roman"/>
                <w:b w:val="1"/>
                <w:bCs w:val="1"/>
                <w:sz w:val="28"/>
                <w:szCs w:val="28"/>
                <w:vertAlign w:val="superscript"/>
                <w:rtl w:val="0"/>
              </w:rPr>
              <w:t xml:space="preserve">th</w:t>
            </w:r>
            <w:r w:rsidDel="00000000" w:rsidR="00000000" w:rsidRPr="00000000">
              <w:rPr>
                <w:rFonts w:ascii="Times New Roman" w:cs="Times New Roman" w:eastAsia="Times New Roman" w:hAnsi="Times New Roman"/>
                <w:b w:val="1"/>
                <w:bCs w:val="1"/>
                <w:rtl w:val="0"/>
              </w:rPr>
              <w:t xml:space="preserve"> August  2026 (23.55/ 11.55pm British Summer Time BST)</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Return date of provisional marks &amp; written feedback:</w:t>
            </w:r>
            <w:r w:rsidDel="00000000" w:rsidR="00000000" w:rsidRPr="00000000">
              <w:rPr>
                <w:rFonts w:ascii="Times New Roman" w:cs="Times New Roman" w:eastAsia="Times New Roman" w:hAnsi="Times New Roman"/>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line="235.63636363636365"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21</w:t>
            </w:r>
            <w:r w:rsidDel="00000000" w:rsidR="00000000" w:rsidRPr="00000000">
              <w:rPr>
                <w:rFonts w:ascii="Times New Roman" w:cs="Times New Roman" w:eastAsia="Times New Roman" w:hAnsi="Times New Roman"/>
                <w:b w:val="1"/>
                <w:bCs w:val="1"/>
                <w:sz w:val="28"/>
                <w:szCs w:val="28"/>
                <w:vertAlign w:val="superscript"/>
                <w:rtl w:val="0"/>
              </w:rPr>
              <w:t xml:space="preserve">st</w:t>
            </w:r>
            <w:r w:rsidDel="00000000" w:rsidR="00000000" w:rsidRPr="00000000">
              <w:rPr>
                <w:rFonts w:ascii="Times New Roman" w:cs="Times New Roman" w:eastAsia="Times New Roman" w:hAnsi="Times New Roman"/>
                <w:b w:val="1"/>
                <w:bCs w:val="1"/>
                <w:rtl w:val="0"/>
              </w:rPr>
              <w:t xml:space="preserve"> September 2026</w:t>
            </w:r>
            <w:r w:rsidDel="00000000" w:rsidR="00000000" w:rsidRPr="00000000">
              <w:rPr>
                <w:rFonts w:ascii="Times New Roman" w:cs="Times New Roman" w:eastAsia="Times New Roman" w:hAnsi="Times New Roman"/>
                <w:rtl w:val="0"/>
              </w:rPr>
              <w:t xml:space="preserve"> </w:t>
            </w:r>
          </w:p>
        </w:tc>
      </w:tr>
      <w:tr>
        <w:trPr>
          <w:cantSplit w:val="0"/>
          <w:trHeight w:val="358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Submission method:</w:t>
            </w:r>
            <w:r w:rsidDel="00000000" w:rsidR="00000000" w:rsidRPr="00000000">
              <w:rPr>
                <w:rFonts w:ascii="Times New Roman" w:cs="Times New Roman" w:eastAsia="Times New Roman" w:hAnsi="Times New Roman"/>
                <w:rtl w:val="0"/>
              </w:rPr>
              <w:t xml:space="preserve"> </w:t>
            </w:r>
          </w:p>
        </w:tc>
        <w:tc>
          <w:tcPr>
            <w:gridSpan w:val="3"/>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line="235.63636363636365"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Alternative submission method (if applicable):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Late submission of the assessment will result in a late penalty mark:</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which is submitted up to 1 week late will be capped at 40% for the first attempt and will be awarded a mark of 0% for re-assessment. Late submission penalties may be lifted only if there is an approved extenuating circumstances claim.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trPr>
          <w:cantSplit w:val="0"/>
          <w:trHeight w:val="129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line="235.63636363636365"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Academic honesty / referencing:</w:t>
            </w:r>
            <w:r w:rsidDel="00000000" w:rsidR="00000000" w:rsidRPr="00000000">
              <w:rPr>
                <w:rFonts w:ascii="Times New Roman" w:cs="Times New Roman" w:eastAsia="Times New Roman" w:hAnsi="Times New Roman"/>
                <w:rtl w:val="0"/>
              </w:rPr>
              <w:t xml:space="preserve"> </w:t>
            </w:r>
          </w:p>
        </w:tc>
        <w:tc>
          <w:tcPr>
            <w:gridSpan w:val="3"/>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line="235.63636363636365"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D">
      <w:pPr>
        <w:spacing w:line="235.63636363636365"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TABLE OF CONTENT</w:t>
      </w:r>
    </w:p>
    <w:sdt>
      <w:sdtPr>
        <w:id w:val="108082539"/>
        <w:docPartObj>
          <w:docPartGallery w:val="Table of Contents"/>
          <w:docPartUnique w:val="1"/>
        </w:docPartObj>
      </w:sdtPr>
      <w:sdtContent>
        <w:p w:rsidR="00000000" w:rsidDel="00000000" w:rsidP="00000000" w:rsidRDefault="00000000" w:rsidRPr="00000000" w14:paraId="0000002F">
          <w:pPr>
            <w:widowControl w:val="0"/>
            <w:tabs>
              <w:tab w:val="right" w:leader="dot" w:pos="9360"/>
            </w:tabs>
            <w:spacing w:before="60" w:line="360" w:lineRule="auto"/>
            <w:rPr>
              <w:rFonts w:ascii="Times New Roman" w:cs="Times New Roman" w:eastAsia="Times New Roman" w:hAnsi="Times New Roman"/>
              <w:b w:val="1"/>
              <w:bCs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9oywuktdzv9">
            <w:r w:rsidDel="00000000" w:rsidR="00000000" w:rsidRPr="00000000">
              <w:rPr>
                <w:rFonts w:ascii="Times New Roman" w:cs="Times New Roman" w:eastAsia="Times New Roman" w:hAnsi="Times New Roman"/>
                <w:b w:val="1"/>
                <w:bCs w:val="1"/>
                <w:color w:val="000000"/>
                <w:sz w:val="24"/>
                <w:szCs w:val="24"/>
                <w:u w:val="none"/>
                <w:rtl w:val="0"/>
              </w:rPr>
              <w:t xml:space="preserve">SECTION 1 - PRESENTATION</w:t>
              <w:tab/>
            </w:r>
          </w:hyperlink>
          <w:r w:rsidDel="00000000" w:rsidR="00000000" w:rsidRPr="00000000">
            <w:fldChar w:fldCharType="begin"/>
            <w:instrText xml:space="preserve"> PAGEREF _9oywuktdzv9 \h </w:instrText>
            <w:fldChar w:fldCharType="separate"/>
          </w: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30">
          <w:pPr>
            <w:widowControl w:val="0"/>
            <w:tabs>
              <w:tab w:val="right" w:leader="dot" w:pos="9360"/>
            </w:tabs>
            <w:spacing w:before="60" w:line="360" w:lineRule="auto"/>
            <w:rPr>
              <w:rFonts w:ascii="Times New Roman" w:cs="Times New Roman" w:eastAsia="Times New Roman" w:hAnsi="Times New Roman"/>
              <w:b w:val="1"/>
              <w:bCs w:val="1"/>
              <w:color w:val="000000"/>
              <w:sz w:val="24"/>
              <w:szCs w:val="24"/>
              <w:u w:val="none"/>
            </w:rPr>
          </w:pPr>
          <w:hyperlink w:anchor="_5e8ajr8gll34">
            <w:r w:rsidDel="00000000" w:rsidR="00000000" w:rsidRPr="00000000">
              <w:rPr>
                <w:rFonts w:ascii="Times New Roman" w:cs="Times New Roman" w:eastAsia="Times New Roman" w:hAnsi="Times New Roman"/>
                <w:b w:val="1"/>
                <w:bCs w:val="1"/>
                <w:color w:val="000000"/>
                <w:sz w:val="24"/>
                <w:szCs w:val="24"/>
                <w:u w:val="none"/>
                <w:rtl w:val="0"/>
              </w:rPr>
              <w:t xml:space="preserve">SECTION 2 - DISCUSSIONS</w:t>
              <w:tab/>
            </w:r>
          </w:hyperlink>
          <w:r w:rsidDel="00000000" w:rsidR="00000000" w:rsidRPr="00000000">
            <w:fldChar w:fldCharType="begin"/>
            <w:instrText xml:space="preserve"> PAGEREF _5e8ajr8gll34 \h </w:instrText>
            <w:fldChar w:fldCharType="separate"/>
          </w:r>
          <w:r w:rsidDel="00000000" w:rsidR="00000000" w:rsidRPr="00000000">
            <w:rPr>
              <w:rFonts w:ascii="Times New Roman" w:cs="Times New Roman" w:eastAsia="Times New Roman" w:hAnsi="Times New Roman"/>
              <w:b w:val="1"/>
              <w:bCs w:val="1"/>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1">
          <w:pPr>
            <w:widowControl w:val="0"/>
            <w:tabs>
              <w:tab w:val="right" w:leader="dot" w:pos="9360"/>
            </w:tabs>
            <w:spacing w:before="60" w:line="360" w:lineRule="auto"/>
            <w:rPr>
              <w:rFonts w:ascii="Times New Roman" w:cs="Times New Roman" w:eastAsia="Times New Roman" w:hAnsi="Times New Roman"/>
              <w:b w:val="1"/>
              <w:bCs w:val="1"/>
              <w:color w:val="000000"/>
              <w:sz w:val="24"/>
              <w:szCs w:val="24"/>
              <w:u w:val="none"/>
            </w:rPr>
          </w:pPr>
          <w:hyperlink w:anchor="_7gvl7gsntxou">
            <w:r w:rsidDel="00000000" w:rsidR="00000000" w:rsidRPr="00000000">
              <w:rPr>
                <w:rFonts w:ascii="Times New Roman" w:cs="Times New Roman" w:eastAsia="Times New Roman" w:hAnsi="Times New Roman"/>
                <w:b w:val="1"/>
                <w:bCs w:val="1"/>
                <w:color w:val="000000"/>
                <w:sz w:val="24"/>
                <w:szCs w:val="24"/>
                <w:u w:val="none"/>
                <w:rtl w:val="0"/>
              </w:rPr>
              <w:t xml:space="preserve">SECTION 3 - CRITIQUES</w:t>
              <w:tab/>
            </w:r>
          </w:hyperlink>
          <w:r w:rsidDel="00000000" w:rsidR="00000000" w:rsidRPr="00000000">
            <w:fldChar w:fldCharType="begin"/>
            <w:instrText xml:space="preserve"> PAGEREF _7gvl7gsntxou \h </w:instrText>
            <w:fldChar w:fldCharType="separate"/>
          </w:r>
          <w:r w:rsidDel="00000000" w:rsidR="00000000" w:rsidRPr="00000000">
            <w:rPr>
              <w:rFonts w:ascii="Times New Roman" w:cs="Times New Roman" w:eastAsia="Times New Roman" w:hAnsi="Times New Roman"/>
              <w:b w:val="1"/>
              <w:bCs w:val="1"/>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2">
          <w:pPr>
            <w:widowControl w:val="0"/>
            <w:tabs>
              <w:tab w:val="right" w:leader="dot" w:pos="9360"/>
            </w:tabs>
            <w:spacing w:before="60" w:line="360" w:lineRule="auto"/>
            <w:rPr>
              <w:rFonts w:ascii="Times New Roman" w:cs="Times New Roman" w:eastAsia="Times New Roman" w:hAnsi="Times New Roman"/>
              <w:b w:val="1"/>
              <w:bCs w:val="1"/>
              <w:color w:val="000000"/>
              <w:sz w:val="24"/>
              <w:szCs w:val="24"/>
              <w:u w:val="none"/>
            </w:rPr>
          </w:pPr>
          <w:hyperlink w:anchor="_m2008t4bldwc">
            <w:r w:rsidDel="00000000" w:rsidR="00000000" w:rsidRPr="00000000">
              <w:rPr>
                <w:rFonts w:ascii="Times New Roman" w:cs="Times New Roman" w:eastAsia="Times New Roman" w:hAnsi="Times New Roman"/>
                <w:b w:val="1"/>
                <w:bCs w:val="1"/>
                <w:color w:val="000000"/>
                <w:sz w:val="24"/>
                <w:szCs w:val="24"/>
                <w:u w:val="none"/>
                <w:rtl w:val="0"/>
              </w:rPr>
              <w:t xml:space="preserve">SECTION 4 – REFLECTION</w:t>
              <w:tab/>
            </w:r>
          </w:hyperlink>
          <w:r w:rsidDel="00000000" w:rsidR="00000000" w:rsidRPr="00000000">
            <w:fldChar w:fldCharType="begin"/>
            <w:instrText xml:space="preserve"> PAGEREF _m2008t4bldwc \h </w:instrText>
            <w:fldChar w:fldCharType="separate"/>
          </w:r>
          <w:r w:rsidDel="00000000" w:rsidR="00000000" w:rsidRPr="00000000">
            <w:rPr>
              <w:rFonts w:ascii="Times New Roman" w:cs="Times New Roman" w:eastAsia="Times New Roman" w:hAnsi="Times New Roman"/>
              <w:b w:val="1"/>
              <w:bCs w:val="1"/>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33">
          <w:pPr>
            <w:widowControl w:val="0"/>
            <w:tabs>
              <w:tab w:val="right" w:leader="dot" w:pos="9360"/>
            </w:tabs>
            <w:spacing w:before="60" w:line="360" w:lineRule="auto"/>
            <w:rPr>
              <w:rFonts w:ascii="Times New Roman" w:cs="Times New Roman" w:eastAsia="Times New Roman" w:hAnsi="Times New Roman"/>
              <w:b w:val="1"/>
              <w:bCs w:val="1"/>
              <w:color w:val="000000"/>
              <w:sz w:val="24"/>
              <w:szCs w:val="24"/>
              <w:u w:val="none"/>
            </w:rPr>
          </w:pPr>
          <w:hyperlink w:anchor="_bef7o7wajqth">
            <w:r w:rsidDel="00000000" w:rsidR="00000000" w:rsidRPr="00000000">
              <w:rPr>
                <w:rFonts w:ascii="Times New Roman" w:cs="Times New Roman" w:eastAsia="Times New Roman" w:hAnsi="Times New Roman"/>
                <w:b w:val="1"/>
                <w:bCs w:val="1"/>
                <w:color w:val="000000"/>
                <w:sz w:val="24"/>
                <w:szCs w:val="24"/>
                <w:u w:val="none"/>
                <w:rtl w:val="0"/>
              </w:rPr>
              <w:t xml:space="preserve">REFERENCES</w:t>
              <w:tab/>
            </w:r>
          </w:hyperlink>
          <w:r w:rsidDel="00000000" w:rsidR="00000000" w:rsidRPr="00000000">
            <w:fldChar w:fldCharType="begin"/>
            <w:instrText xml:space="preserve"> PAGEREF _bef7o7wajqth \h </w:instrText>
            <w:fldChar w:fldCharType="separate"/>
          </w:r>
          <w:r w:rsidDel="00000000" w:rsidR="00000000" w:rsidRPr="00000000">
            <w:rPr>
              <w:rFonts w:ascii="Times New Roman" w:cs="Times New Roman" w:eastAsia="Times New Roman" w:hAnsi="Times New Roman"/>
              <w:b w:val="1"/>
              <w:bCs w:val="1"/>
              <w:sz w:val="24"/>
              <w:szCs w:val="24"/>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spacing w:line="360" w:lineRule="auto"/>
        <w:jc w:val="both"/>
        <w:rPr>
          <w:sz w:val="24"/>
          <w:szCs w:val="24"/>
        </w:rPr>
      </w:pPr>
      <w:bookmarkStart w:colFirst="0" w:colLast="0" w:name="_9oywuktdzv9" w:id="0"/>
      <w:bookmarkEnd w:id="0"/>
      <w:r w:rsidDel="00000000" w:rsidR="00000000" w:rsidRPr="00000000">
        <w:rPr>
          <w:sz w:val="24"/>
          <w:szCs w:val="24"/>
          <w:rtl w:val="0"/>
        </w:rPr>
        <w:t xml:space="preserve">SECTION 1 - PRESENTATION</w:t>
      </w: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link provided is the video presentation for the whole of Group 2.</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color w:val="1155cc"/>
            <w:sz w:val="24"/>
            <w:szCs w:val="24"/>
            <w:u w:val="single"/>
            <w:rtl w:val="0"/>
          </w:rPr>
          <w:t xml:space="preserve">https://drive.google.com/file/d/1PsED7T-G_0WyGG-u7H56Wlvdi6fGDdVX/view?usp=sharing</w:t>
        </w:r>
      </w:hyperlink>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886450" cy="3343275"/>
            <wp:effectExtent b="0" l="0" r="0" t="0"/>
            <wp:docPr id="3" name="image3.png"/>
            <a:graphic>
              <a:graphicData uri="http://schemas.openxmlformats.org/drawingml/2006/picture">
                <pic:pic>
                  <pic:nvPicPr>
                    <pic:cNvPr id="0" name="image3.png"/>
                    <pic:cNvPicPr preferRelativeResize="0"/>
                  </pic:nvPicPr>
                  <pic:blipFill>
                    <a:blip r:embed="rId8"/>
                    <a:srcRect b="0" l="0" r="962" t="0"/>
                    <a:stretch>
                      <a:fillRect/>
                    </a:stretch>
                  </pic:blipFill>
                  <pic:spPr>
                    <a:xfrm>
                      <a:off x="0" y="0"/>
                      <a:ext cx="588645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891213" cy="3343275"/>
            <wp:effectExtent b="0" l="0" r="0" t="0"/>
            <wp:docPr id="2"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891213"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327400"/>
            <wp:effectExtent b="0" l="0" r="0" t="0"/>
            <wp:docPr id="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365500"/>
            <wp:effectExtent b="0" l="0" r="0" t="0"/>
            <wp:docPr id="6"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94360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1"/>
        <w:spacing w:line="360" w:lineRule="auto"/>
        <w:rPr>
          <w:b w:val="0"/>
          <w:bCs w:val="0"/>
          <w:sz w:val="24"/>
          <w:szCs w:val="24"/>
        </w:rPr>
      </w:pPr>
      <w:bookmarkStart w:colFirst="0" w:colLast="0" w:name="_xogb6o7nn5uz" w:id="1"/>
      <w:bookmarkEnd w:id="1"/>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sz w:val="24"/>
          <w:szCs w:val="24"/>
        </w:rPr>
      </w:pPr>
      <w:bookmarkStart w:colFirst="0" w:colLast="0" w:name="_5e8ajr8gll34" w:id="2"/>
      <w:bookmarkEnd w:id="2"/>
      <w:r w:rsidDel="00000000" w:rsidR="00000000" w:rsidRPr="00000000">
        <w:rPr>
          <w:sz w:val="24"/>
          <w:szCs w:val="24"/>
          <w:rtl w:val="0"/>
        </w:rPr>
        <w:t xml:space="preserve">SECTION 2 </w:t>
      </w:r>
      <w:r w:rsidDel="00000000" w:rsidR="00000000" w:rsidRPr="00000000">
        <w:rPr>
          <w:sz w:val="24"/>
          <w:szCs w:val="24"/>
          <w:rtl w:val="0"/>
        </w:rPr>
        <w:t xml:space="preserve">- DISCUSSIONS</w:t>
      </w:r>
    </w:p>
    <w:p w:rsidR="00000000" w:rsidDel="00000000" w:rsidP="00000000" w:rsidRDefault="00000000" w:rsidRPr="00000000" w14:paraId="00000040">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four students in our group, which was given the name 'Group 2' to represent us. The first member to present is Sarah Johan, who started with slides 3 to 6; then Nur Sabrina continued with slides 7 to 10, Madeeha Mohamudiah explained slides 11 to 14, and Mya Syahindah finished up and concluded the whole presentation and its notes. </w:t>
      </w:r>
    </w:p>
    <w:p w:rsidR="00000000" w:rsidDel="00000000" w:rsidP="00000000" w:rsidRDefault="00000000" w:rsidRPr="00000000" w14:paraId="00000041">
      <w:pPr>
        <w:spacing w:line="360" w:lineRule="auto"/>
        <w:ind w:left="800" w:hanging="2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widowControl w:val="0"/>
        <w:spacing w:after="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presentation that is named </w:t>
      </w:r>
      <w:r w:rsidDel="00000000" w:rsidR="00000000" w:rsidRPr="00000000">
        <w:rPr>
          <w:rFonts w:ascii="Times New Roman" w:cs="Times New Roman" w:eastAsia="Times New Roman" w:hAnsi="Times New Roman"/>
          <w:i w:val="1"/>
          <w:iCs w:val="1"/>
          <w:sz w:val="24"/>
          <w:szCs w:val="24"/>
          <w:rtl w:val="0"/>
        </w:rPr>
        <w:t xml:space="preserve">“Leading Asynchronous &amp; Cross-Cultural Global Teams from Malaysia”</w:t>
      </w:r>
      <w:r w:rsidDel="00000000" w:rsidR="00000000" w:rsidRPr="00000000">
        <w:rPr>
          <w:rFonts w:ascii="Times New Roman" w:cs="Times New Roman" w:eastAsia="Times New Roman" w:hAnsi="Times New Roman"/>
          <w:sz w:val="24"/>
          <w:szCs w:val="24"/>
          <w:rtl w:val="0"/>
        </w:rPr>
        <w:t xml:space="preserve"> talks about the cultural challenges that a global team of Malaysian employees may face when joining forces with Western peers and the significance of having effective problem-solving when dealing with these challenges.</w:t>
      </w:r>
    </w:p>
    <w:p w:rsidR="00000000" w:rsidDel="00000000" w:rsidP="00000000" w:rsidRDefault="00000000" w:rsidRPr="00000000" w14:paraId="00000043">
      <w:pPr>
        <w:widowControl w:val="0"/>
        <w:spacing w:after="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content of the slides mainly encompasses the cross-cultural communication gaps that may occur using Hofstede’s cultural dimension theory (Wale, 2020), language barriers, psychological barriers to employee voices, and understanding the risk of burnout being caused by time-zone differences using the JD-R model. and the virtual leadership strategies needed for a global team to work together and maintain productivity in a global environment. The overall conclusion of the slides is that to properly have global synergy through virtual leadership, the management has to adapt to new forms of monitoring progress through more focus on the outcome rather than real-time monitoring and trust-based virtual leadership, allowing for sustainable working models and closing the gap between the cultural &amp; operational divide between Malaysian and Western employees.</w:t>
      </w:r>
    </w:p>
    <w:p w:rsidR="00000000" w:rsidDel="00000000" w:rsidP="00000000" w:rsidRDefault="00000000" w:rsidRPr="00000000" w14:paraId="00000044">
      <w:pPr>
        <w:widowControl w:val="0"/>
        <w:spacing w:after="240" w:line="360" w:lineRule="auto"/>
        <w:ind w:firstLine="72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The first of Sarah’s slides explains the role of Malaysia in being one of the major hubs for multinational companies in all multiple kinds of sectors worldwide. With the rapid expansion of Malaysia in these markets, they are bound to work with Western teams, consisting of those from the US and Europe. An example being Penang's semiconductor hubs  and Cyberjaya's shared service centres (BAC Education, 2025). The next slide explains the differences and contrasts in work culture between both sides with Hofstede’s Cultural Dimensions framework, with Malaysians having high power distance, high context, respect for authority and indirect communication, while the Western counterparts have low power distance, low context, direct feedback and a willingness to challenge ideas. The third slide then highlights how these cultural differences can be a future risk and problem to the company's projects by having Malaysian employees hesitate to interrupt, avoid public disagreement, delay reporting current and potential problems, and prioritise saving face among fellow employees (Salleh, 2005). The last slide then asks the core questions of the introduction: </w:t>
      </w:r>
      <w:r w:rsidDel="00000000" w:rsidR="00000000" w:rsidRPr="00000000">
        <w:rPr>
          <w:rFonts w:ascii="Times New Roman" w:cs="Times New Roman" w:eastAsia="Times New Roman" w:hAnsi="Times New Roman"/>
          <w:i w:val="1"/>
          <w:iCs w:val="1"/>
          <w:sz w:val="24"/>
          <w:szCs w:val="24"/>
          <w:rtl w:val="0"/>
        </w:rPr>
        <w:t xml:space="preserve">"How can leaders create an environment where everyone feels safe to contribute?"</w:t>
      </w:r>
    </w:p>
    <w:p w:rsidR="00000000" w:rsidDel="00000000" w:rsidP="00000000" w:rsidRDefault="00000000" w:rsidRPr="00000000" w14:paraId="00000045">
      <w:pPr>
        <w:widowControl w:val="0"/>
        <w:spacing w:after="24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ab/>
      </w:r>
      <w:r w:rsidDel="00000000" w:rsidR="00000000" w:rsidRPr="00000000">
        <w:rPr>
          <w:rFonts w:ascii="Times New Roman" w:cs="Times New Roman" w:eastAsia="Times New Roman" w:hAnsi="Times New Roman"/>
          <w:sz w:val="24"/>
          <w:szCs w:val="24"/>
          <w:rtl w:val="0"/>
        </w:rPr>
        <w:t xml:space="preserve">The next slide continues with Sabrina, who first introduces Amy Edmondson’s concept of psychological safety (Edmondson, 1999)., which explains the belief that the team is safe for interpersonal risk-taking and explains why employees stay silent  through the "Fastest Speaker Wins" problem. They then propose several leadership interventions and the link of psychological safety to the better quality of work done and early defect reporting. Sabrina builds on the foundation by providing the psychological framework and interventions that are needed to overcome the cultural gaps Sarah has recognised.</w:t>
      </w:r>
    </w:p>
    <w:p w:rsidR="00000000" w:rsidDel="00000000" w:rsidP="00000000" w:rsidRDefault="00000000" w:rsidRPr="00000000" w14:paraId="00000046">
      <w:pPr>
        <w:widowControl w:val="0"/>
        <w:spacing w:after="24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is Madeeha, who discusses the “12-Hour Gap” and time zone differences between Penang and the US, interprets the burnout mechanism using the Job Demands-Resources (JD-R) Model (Bakker &amp; Demerouti, 2007)., introduces Swift Trust Theory for virtual meetings of teams, and gives actionable solutions such as "no-call" hours and increased autonomy (Meyerson et al., 1996).. Their slides address the physical and time-zone structure challenges that may occur. The hesitation to speak up from a high-power-distance culture clarifies the stress of late-night calls and time-zone friction.</w:t>
      </w:r>
    </w:p>
    <w:p w:rsidR="00000000" w:rsidDel="00000000" w:rsidP="00000000" w:rsidRDefault="00000000" w:rsidRPr="00000000" w14:paraId="00000047">
      <w:pPr>
        <w:widowControl w:val="0"/>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Mya concluded the presentation by defining e-leadership through technology, trust, communication, and emotional intelligence and summarised global virtual leadership strategies to address the issues that were brought up in the presentation. They had also established measures for success with asynchronous efficiency and team retention and summarised the core drivers of global synergy.  </w:t>
      </w:r>
      <w:r w:rsidDel="00000000" w:rsidR="00000000" w:rsidRPr="00000000">
        <w:rPr>
          <w:rtl w:val="0"/>
        </w:rPr>
      </w:r>
    </w:p>
    <w:p w:rsidR="00000000" w:rsidDel="00000000" w:rsidP="00000000" w:rsidRDefault="00000000" w:rsidRPr="00000000" w14:paraId="00000048">
      <w:pPr>
        <w:widowControl w:val="0"/>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Sarah’s slides introduce the foundational problem statement for the entire presentation for the group. The acknowledgement of the cultural difference between both work norms and expectations allows for the explanation of why each other's cultures' conventional leadership models may fail in global teams. It helps conclude that corporations should find methods to overcome this issue and must adapt towards more culturally inclusive and outcome-orientated virtual leadership models.</w:t>
      </w:r>
    </w:p>
    <w:p w:rsidR="00000000" w:rsidDel="00000000" w:rsidP="00000000" w:rsidRDefault="00000000" w:rsidRPr="00000000" w14:paraId="00000049">
      <w:pPr>
        <w:widowControl w:val="0"/>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pStyle w:val="Heading1"/>
        <w:rPr>
          <w:sz w:val="24"/>
          <w:szCs w:val="24"/>
        </w:rPr>
      </w:pPr>
      <w:bookmarkStart w:colFirst="0" w:colLast="0" w:name="_7gvl7gsntxou" w:id="3"/>
      <w:bookmarkEnd w:id="3"/>
      <w:r w:rsidDel="00000000" w:rsidR="00000000" w:rsidRPr="00000000">
        <w:rPr>
          <w:sz w:val="24"/>
          <w:szCs w:val="24"/>
          <w:rtl w:val="0"/>
        </w:rPr>
        <w:t xml:space="preserve">SECTION 3 </w:t>
      </w:r>
      <w:r w:rsidDel="00000000" w:rsidR="00000000" w:rsidRPr="00000000">
        <w:rPr>
          <w:sz w:val="24"/>
          <w:szCs w:val="24"/>
          <w:rtl w:val="0"/>
        </w:rPr>
        <w:t xml:space="preserve">- CRITIQUES</w:t>
      </w:r>
    </w:p>
    <w:p w:rsidR="00000000" w:rsidDel="00000000" w:rsidP="00000000" w:rsidRDefault="00000000" w:rsidRPr="00000000" w14:paraId="0000004B">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presentation had carefully explained how Hofstede’s cultural dimensions can be applied to the relationship between Malaysian employees and Western management in global teams, a key area of critique that can be worked on is the generalisation of a culture’s traits and their people, which can lead to the stereotyping of an employee rather than properly directed leadership. The personal viewpoint that I have on this issue differs slightly from the group's, with disagreement on the interventions made through the Edmondson’s psychological safety protocols. My personal experience of working with Western counterparts but still under the influence of Malaysia's culture is that it shows that high power distance is deeply ingrained in our culture and that purely formal methods rarely work without the help of non-hierarchical rapport building between two parties.</w:t>
      </w:r>
    </w:p>
    <w:p w:rsidR="00000000" w:rsidDel="00000000" w:rsidP="00000000" w:rsidRDefault="00000000" w:rsidRPr="00000000" w14:paraId="0000004C">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Meyer (2014), theories such as The Culture Map focus more on the positional differences between  national cultures rather than on whole collectives, allowing for  leaders to adapt more flexibly in more common situations in global teams rather than to fixed dimensional scores.</w:t>
      </w:r>
    </w:p>
    <w:p w:rsidR="00000000" w:rsidDel="00000000" w:rsidP="00000000" w:rsidRDefault="00000000" w:rsidRPr="00000000" w14:paraId="0000004D">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applied critical thinking by properly setting up an introduction that clearly explains the foundation needed to be put in place, rather than just listing the cultural traits. I had influenced the member that presented after me, Sabrina, by connecting our topics together from my cultural analysis straight to psychological safety. I had practised conflict management by devising how much time is appropriate for each slide to get enough information to be explained. </w:t>
      </w:r>
    </w:p>
    <w:p w:rsidR="00000000" w:rsidDel="00000000" w:rsidP="00000000" w:rsidRDefault="00000000" w:rsidRPr="00000000" w14:paraId="0000004E">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managing this reflection within this group task requires me to be aware of what my group members will be explaining in order for the presentation order to go smoothly and for the information to be understood cohesively. By starting the presentation, I had laid the foundation for what was the issue that needed to be solved through my member’s chosen theories and how they relate to real-world global leadership strategies.</w:t>
      </w:r>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widowControl w:val="0"/>
        <w:spacing w:after="240" w:before="240" w:line="360" w:lineRule="auto"/>
        <w:jc w:val="both"/>
        <w:rPr>
          <w:rFonts w:ascii="Times New Roman" w:cs="Times New Roman" w:eastAsia="Times New Roman" w:hAnsi="Times New Roman"/>
          <w:sz w:val="24"/>
          <w:szCs w:val="24"/>
        </w:rPr>
      </w:pPr>
      <w:bookmarkStart w:colFirst="0" w:colLast="0" w:name="_m2008t4bldwc" w:id="4"/>
      <w:bookmarkEnd w:id="4"/>
      <w:r w:rsidDel="00000000" w:rsidR="00000000" w:rsidRPr="00000000">
        <w:rPr>
          <w:sz w:val="24"/>
          <w:szCs w:val="24"/>
          <w:rtl w:val="0"/>
        </w:rPr>
        <w:t xml:space="preserve">SECTION 4 – REFLECTION</w:t>
      </w: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688404" cy="3290888"/>
            <wp:effectExtent b="0" l="0" r="0" t="0"/>
            <wp:docPr id="5"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688404" cy="3290888"/>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spacing w:line="36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Dynamic Training. (n.d.). Reflective accounts and Gibbs' reflective cycle. </w:t>
      </w:r>
      <w:hyperlink r:id="rId13">
        <w:r w:rsidDel="00000000" w:rsidR="00000000" w:rsidRPr="00000000">
          <w:rPr>
            <w:rFonts w:ascii="Times New Roman" w:cs="Times New Roman" w:eastAsia="Times New Roman" w:hAnsi="Times New Roman"/>
            <w:color w:val="1155cc"/>
            <w:sz w:val="18"/>
            <w:szCs w:val="18"/>
            <w:u w:val="single"/>
            <w:rtl w:val="0"/>
          </w:rPr>
          <w:t xml:space="preserve">https://www.dynamictraining.org.uk/learner-pulse/reflective-accounts-and-gibbs-reflective-cycle/</w:t>
        </w:r>
      </w:hyperlink>
      <w:r w:rsidDel="00000000" w:rsidR="00000000" w:rsidRPr="00000000">
        <w:rPr>
          <w:rtl w:val="0"/>
        </w:rPr>
      </w:r>
    </w:p>
    <w:p w:rsidR="00000000" w:rsidDel="00000000" w:rsidP="00000000" w:rsidRDefault="00000000" w:rsidRPr="00000000" w14:paraId="00000052">
      <w:pPr>
        <w:spacing w:line="360" w:lineRule="auto"/>
        <w:jc w:val="center"/>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5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Gibbs’ Reflective Cycle (1988) is a model of reflection that examines experiences through six distinct stages: Description, Feelings, Evaluation, Analysis, Conclusion, and Action Plan. This framework allows for working dynamics to turn into structured learning and make reflective writing feel more manageable.</w:t>
      </w:r>
    </w:p>
    <w:p w:rsidR="00000000" w:rsidDel="00000000" w:rsidP="00000000" w:rsidRDefault="00000000" w:rsidRPr="00000000" w14:paraId="000000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part of the cycle is the Description. Our group that is named Group 2 had delivered a team presentation that is named </w:t>
      </w:r>
      <w:r w:rsidDel="00000000" w:rsidR="00000000" w:rsidRPr="00000000">
        <w:rPr>
          <w:rFonts w:ascii="Times New Roman" w:cs="Times New Roman" w:eastAsia="Times New Roman" w:hAnsi="Times New Roman"/>
          <w:i w:val="1"/>
          <w:iCs w:val="1"/>
          <w:sz w:val="24"/>
          <w:szCs w:val="24"/>
          <w:rtl w:val="0"/>
        </w:rPr>
        <w:t xml:space="preserve">“Leading Asynchronous &amp; Cross-Cultural Global Teams from Malaysia".</w:t>
      </w:r>
      <w:r w:rsidDel="00000000" w:rsidR="00000000" w:rsidRPr="00000000">
        <w:rPr>
          <w:rFonts w:ascii="Times New Roman" w:cs="Times New Roman" w:eastAsia="Times New Roman" w:hAnsi="Times New Roman"/>
          <w:sz w:val="24"/>
          <w:szCs w:val="24"/>
          <w:rtl w:val="0"/>
        </w:rPr>
        <w:t xml:space="preserve"> I had opened the presentation by speaking and explaining through slides 3 to 6, exposing the core problem and framework by establishing Malaysia as a global hub and using Hofstede’s Cultural Dimensions framework to contrast the differences between Malaysian and Western work cultures. Nur Sabrina then followed with slides 7–10 on Edmondson’s psychological safety framework. Madeeha Mohamudiah had encompassed the 12-hour time zone gap utilising the JD-R model in slides 11–14, and Mya Syahindah ended the slides by explaining the integration of virtual leadership strategies and performance metrics.</w:t>
      </w:r>
    </w:p>
    <w:p w:rsidR="00000000" w:rsidDel="00000000" w:rsidP="00000000" w:rsidRDefault="00000000" w:rsidRPr="00000000" w14:paraId="000000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part is Feelings. I was excited due to the fact that I have previously studied and analysed the Hofstede framework, meaning that I can explore more in depth about the topic due to the task given. I felt confident enough to be able to build the baseline for the other members to obtain information from my part and for them to be able to build a cohesive flow making the presentation. Though the more I study the theory, the more I have felt as if it is too stiff to properly judge a nation's culture on when matched against virtual workplace interactions.</w:t>
      </w:r>
    </w:p>
    <w:p w:rsidR="00000000" w:rsidDel="00000000" w:rsidP="00000000" w:rsidRDefault="00000000" w:rsidRPr="00000000" w14:paraId="000000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part is Evaluation. The teamwork of our group had gone smoothly, and we had enough members to divide the tasks of the presentation slides. While there were some issues such as in time management and following set deadlines, we managed to push through it and finish the work that was assigned to us. </w:t>
      </w:r>
    </w:p>
    <w:p w:rsidR="00000000" w:rsidDel="00000000" w:rsidP="00000000" w:rsidRDefault="00000000" w:rsidRPr="00000000" w14:paraId="000000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part of the Analysis, this group task allowed for us to apply collaborative skills together to help manage both the task and the division. We chose parts that were the most suitable for us and what we could explain the best, starting with the cultural analysis of Malaysia by Sarah, to psychological safety with Sabrina, structural time-zone limitations with Madeeha, and Mya finishing it off with overarching virtual leadership strategies.</w:t>
      </w:r>
    </w:p>
    <w:p w:rsidR="00000000" w:rsidDel="00000000" w:rsidP="00000000" w:rsidRDefault="00000000" w:rsidRPr="00000000" w14:paraId="0000005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Conclusion part, I had realised the limits that may occur in global team meetings and risks that pure reliance on formal methods such as Edmondson’s psychological safety may not be as suited for the average Malaysian due to the highly ingrained  high power distance. Meyer’s (2014) </w:t>
      </w:r>
      <w:r w:rsidDel="00000000" w:rsidR="00000000" w:rsidRPr="00000000">
        <w:rPr>
          <w:rFonts w:ascii="Times New Roman" w:cs="Times New Roman" w:eastAsia="Times New Roman" w:hAnsi="Times New Roman"/>
          <w:i w:val="1"/>
          <w:iCs w:val="1"/>
          <w:sz w:val="24"/>
          <w:szCs w:val="24"/>
          <w:rtl w:val="0"/>
        </w:rPr>
        <w:t xml:space="preserve">Culture Map</w:t>
      </w:r>
      <w:r w:rsidDel="00000000" w:rsidR="00000000" w:rsidRPr="00000000">
        <w:rPr>
          <w:rFonts w:ascii="Times New Roman" w:cs="Times New Roman" w:eastAsia="Times New Roman" w:hAnsi="Times New Roman"/>
          <w:sz w:val="24"/>
          <w:szCs w:val="24"/>
          <w:rtl w:val="0"/>
        </w:rPr>
        <w:t xml:space="preserve"> allows for more flexibility for the improvement of teamwork between both sides to work together. Collaboration for this assignment requires  a shared vision r and a surface-level understanding of the theories the teammates have allocated  and how they can all be correlated all together. </w:t>
      </w:r>
    </w:p>
    <w:p w:rsidR="00000000" w:rsidDel="00000000" w:rsidP="00000000" w:rsidRDefault="00000000" w:rsidRPr="00000000" w14:paraId="000000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Action Plan regarding if I were to do this assignment again, is to have clearer time frames of when my group should've finished their work in order to prevent any rush and last-minute changes. Instead of only relying purely on one formal theory, I should have studied more on multiple theories that explore national culutes in a different manner to prevent any rigid pieces of information and to allow for more openness to discuss.</w:t>
      </w:r>
    </w:p>
    <w:p w:rsidR="00000000" w:rsidDel="00000000" w:rsidP="00000000" w:rsidRDefault="00000000" w:rsidRPr="00000000" w14:paraId="0000005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Overall Reflection on this assignment is that factors of how well a presentation may go, including planning, shared accountability, and active listening, should be prioritised. Studying the relationship between cultural theory, psychological safety, and virtual team operations has helped me gain more knowledge in dealing with international affairs for potential future studies or careers.</w:t>
      </w:r>
    </w:p>
    <w:p w:rsidR="00000000" w:rsidDel="00000000" w:rsidP="00000000" w:rsidRDefault="00000000" w:rsidRPr="00000000" w14:paraId="0000005B">
      <w:pPr>
        <w:spacing w:after="240" w:before="24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1"/>
        <w:spacing w:after="240" w:before="240" w:line="360" w:lineRule="auto"/>
        <w:jc w:val="both"/>
        <w:rPr>
          <w:sz w:val="24"/>
          <w:szCs w:val="24"/>
        </w:rPr>
      </w:pPr>
      <w:bookmarkStart w:colFirst="0" w:colLast="0" w:name="_bef7o7wajqth" w:id="5"/>
      <w:bookmarkEnd w:id="5"/>
      <w:r w:rsidDel="00000000" w:rsidR="00000000" w:rsidRPr="00000000">
        <w:rPr>
          <w:sz w:val="24"/>
          <w:szCs w:val="24"/>
          <w:rtl w:val="0"/>
        </w:rPr>
        <w:t xml:space="preserve">REFERENCES</w:t>
      </w:r>
    </w:p>
    <w:p w:rsidR="00000000" w:rsidDel="00000000" w:rsidP="00000000" w:rsidRDefault="00000000" w:rsidRPr="00000000" w14:paraId="0000005D">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BAC Education. (2025). </w:t>
      </w:r>
      <w:r w:rsidDel="00000000" w:rsidR="00000000" w:rsidRPr="00000000">
        <w:rPr>
          <w:rFonts w:ascii="Times New Roman" w:cs="Times New Roman" w:eastAsia="Times New Roman" w:hAnsi="Times New Roman"/>
          <w:i w:val="1"/>
          <w:iCs w:val="1"/>
          <w:sz w:val="24"/>
          <w:szCs w:val="24"/>
          <w:rtl w:val="0"/>
        </w:rPr>
        <w:t xml:space="preserve">Penang's Silicon Valley: Inside Malaysia's booming semiconductor industry</w:t>
      </w:r>
      <w:r w:rsidDel="00000000" w:rsidR="00000000" w:rsidRPr="00000000">
        <w:rPr>
          <w:rFonts w:ascii="Times New Roman" w:cs="Times New Roman" w:eastAsia="Times New Roman" w:hAnsi="Times New Roman"/>
          <w:sz w:val="24"/>
          <w:szCs w:val="24"/>
          <w:rtl w:val="0"/>
        </w:rPr>
        <w:t xml:space="preserve">. </w:t>
      </w:r>
      <w:hyperlink r:id="rId14">
        <w:r w:rsidDel="00000000" w:rsidR="00000000" w:rsidRPr="00000000">
          <w:rPr>
            <w:rFonts w:ascii="Times New Roman" w:cs="Times New Roman" w:eastAsia="Times New Roman" w:hAnsi="Times New Roman"/>
            <w:color w:val="1155cc"/>
            <w:sz w:val="24"/>
            <w:szCs w:val="24"/>
            <w:u w:val="single"/>
            <w:rtl w:val="0"/>
          </w:rPr>
          <w:t xml:space="preserve">https://www.bac.edu.my/bac/penangs-silicon-valley-inside-malaysias-booming-semiconductor-industry/</w:t>
        </w:r>
      </w:hyperlink>
      <w:r w:rsidDel="00000000" w:rsidR="00000000" w:rsidRPr="00000000">
        <w:rPr>
          <w:rtl w:val="0"/>
        </w:rPr>
      </w:r>
    </w:p>
    <w:p w:rsidR="00000000" w:rsidDel="00000000" w:rsidP="00000000" w:rsidRDefault="00000000" w:rsidRPr="00000000" w14:paraId="000000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Bakker, A. B., &amp; Demerouti, E. (2007). The Job Demands-Resources model: State of the art. </w:t>
      </w:r>
      <w:r w:rsidDel="00000000" w:rsidR="00000000" w:rsidRPr="00000000">
        <w:rPr>
          <w:rFonts w:ascii="Times New Roman" w:cs="Times New Roman" w:eastAsia="Times New Roman" w:hAnsi="Times New Roman"/>
          <w:i w:val="1"/>
          <w:iCs w:val="1"/>
          <w:sz w:val="24"/>
          <w:szCs w:val="24"/>
          <w:rtl w:val="0"/>
        </w:rPr>
        <w:t xml:space="preserve">Journal of Managerial Psychology</w:t>
      </w:r>
      <w:r w:rsidDel="00000000" w:rsidR="00000000" w:rsidRPr="00000000">
        <w:rPr>
          <w:rFonts w:ascii="Times New Roman" w:cs="Times New Roman" w:eastAsia="Times New Roman" w:hAnsi="Times New Roman"/>
          <w:sz w:val="24"/>
          <w:szCs w:val="24"/>
          <w:rtl w:val="0"/>
        </w:rPr>
        <w:t xml:space="preserve">, 22(3), 309–328.</w:t>
      </w:r>
      <w:hyperlink r:id="rId15">
        <w:r w:rsidDel="00000000" w:rsidR="00000000" w:rsidRPr="00000000">
          <w:rPr>
            <w:rFonts w:ascii="Times New Roman" w:cs="Times New Roman" w:eastAsia="Times New Roman" w:hAnsi="Times New Roman"/>
            <w:sz w:val="24"/>
            <w:szCs w:val="24"/>
            <w:rtl w:val="0"/>
          </w:rPr>
          <w:t xml:space="preserve"> </w:t>
        </w:r>
      </w:hyperlink>
      <w:hyperlink r:id="rId16">
        <w:r w:rsidDel="00000000" w:rsidR="00000000" w:rsidRPr="00000000">
          <w:rPr>
            <w:rFonts w:ascii="Times New Roman" w:cs="Times New Roman" w:eastAsia="Times New Roman" w:hAnsi="Times New Roman"/>
            <w:color w:val="1155cc"/>
            <w:sz w:val="24"/>
            <w:szCs w:val="24"/>
            <w:u w:val="single"/>
            <w:rtl w:val="0"/>
          </w:rPr>
          <w:t xml:space="preserve">https://doi.org/10.1108/02683940710733115</w:t>
        </w:r>
      </w:hyperlink>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Edmondson, A. (1999). Psychological safety and learning behavior in work teams. </w:t>
      </w:r>
      <w:r w:rsidDel="00000000" w:rsidR="00000000" w:rsidRPr="00000000">
        <w:rPr>
          <w:rFonts w:ascii="Times New Roman" w:cs="Times New Roman" w:eastAsia="Times New Roman" w:hAnsi="Times New Roman"/>
          <w:i w:val="1"/>
          <w:iCs w:val="1"/>
          <w:sz w:val="24"/>
          <w:szCs w:val="24"/>
          <w:rtl w:val="0"/>
        </w:rPr>
        <w:t xml:space="preserve">Administrative Science Quarterly</w:t>
      </w:r>
      <w:r w:rsidDel="00000000" w:rsidR="00000000" w:rsidRPr="00000000">
        <w:rPr>
          <w:rFonts w:ascii="Times New Roman" w:cs="Times New Roman" w:eastAsia="Times New Roman" w:hAnsi="Times New Roman"/>
          <w:sz w:val="24"/>
          <w:szCs w:val="24"/>
          <w:rtl w:val="0"/>
        </w:rPr>
        <w:t xml:space="preserve">, 44(2), 350–383.</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u w:val="single"/>
            <w:rtl w:val="0"/>
          </w:rPr>
          <w:t xml:space="preserve">https://doi.org/10.2307/2666999</w:t>
        </w:r>
      </w:hyperlink>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Gibbs, G. (1988). </w:t>
      </w:r>
      <w:r w:rsidDel="00000000" w:rsidR="00000000" w:rsidRPr="00000000">
        <w:rPr>
          <w:rFonts w:ascii="Times New Roman" w:cs="Times New Roman" w:eastAsia="Times New Roman" w:hAnsi="Times New Roman"/>
          <w:i w:val="1"/>
          <w:iCs w:val="1"/>
          <w:sz w:val="24"/>
          <w:szCs w:val="24"/>
          <w:rtl w:val="0"/>
        </w:rPr>
        <w:t xml:space="preserve">Learning by doing: A guide to teaching and learning methods</w:t>
      </w:r>
      <w:r w:rsidDel="00000000" w:rsidR="00000000" w:rsidRPr="00000000">
        <w:rPr>
          <w:rFonts w:ascii="Times New Roman" w:cs="Times New Roman" w:eastAsia="Times New Roman" w:hAnsi="Times New Roman"/>
          <w:sz w:val="24"/>
          <w:szCs w:val="24"/>
          <w:rtl w:val="0"/>
        </w:rPr>
        <w:t xml:space="preserve">. Further Education Unit, Oxford Polytechnic.</w:t>
      </w:r>
    </w:p>
    <w:p w:rsidR="00000000" w:rsidDel="00000000" w:rsidP="00000000" w:rsidRDefault="00000000" w:rsidRPr="00000000" w14:paraId="0000006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Meyer, E. (2014). </w:t>
      </w:r>
      <w:r w:rsidDel="00000000" w:rsidR="00000000" w:rsidRPr="00000000">
        <w:rPr>
          <w:rFonts w:ascii="Times New Roman" w:cs="Times New Roman" w:eastAsia="Times New Roman" w:hAnsi="Times New Roman"/>
          <w:i w:val="1"/>
          <w:iCs w:val="1"/>
          <w:sz w:val="24"/>
          <w:szCs w:val="24"/>
          <w:rtl w:val="0"/>
        </w:rPr>
        <w:t xml:space="preserve">The culture map: Breaking through the invisible boundaries of global business</w:t>
      </w:r>
      <w:r w:rsidDel="00000000" w:rsidR="00000000" w:rsidRPr="00000000">
        <w:rPr>
          <w:rFonts w:ascii="Times New Roman" w:cs="Times New Roman" w:eastAsia="Times New Roman" w:hAnsi="Times New Roman"/>
          <w:sz w:val="24"/>
          <w:szCs w:val="24"/>
          <w:rtl w:val="0"/>
        </w:rPr>
        <w:t xml:space="preserve">. PublicAffairs.</w:t>
      </w:r>
    </w:p>
    <w:p w:rsidR="00000000" w:rsidDel="00000000" w:rsidP="00000000" w:rsidRDefault="00000000" w:rsidRPr="00000000" w14:paraId="000000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Meyerson, D., Weick, K. E., &amp; Kramer, R. M. (1996). Swift trust and temporary groups. In R. M. Kramer &amp; T. R. Tyler (Eds.), </w:t>
      </w:r>
      <w:r w:rsidDel="00000000" w:rsidR="00000000" w:rsidRPr="00000000">
        <w:rPr>
          <w:rFonts w:ascii="Times New Roman" w:cs="Times New Roman" w:eastAsia="Times New Roman" w:hAnsi="Times New Roman"/>
          <w:i w:val="1"/>
          <w:iCs w:val="1"/>
          <w:sz w:val="24"/>
          <w:szCs w:val="24"/>
          <w:rtl w:val="0"/>
        </w:rPr>
        <w:t xml:space="preserve">Trust in organizations: Frontiers of theory and research</w:t>
      </w:r>
      <w:r w:rsidDel="00000000" w:rsidR="00000000" w:rsidRPr="00000000">
        <w:rPr>
          <w:rFonts w:ascii="Times New Roman" w:cs="Times New Roman" w:eastAsia="Times New Roman" w:hAnsi="Times New Roman"/>
          <w:sz w:val="24"/>
          <w:szCs w:val="24"/>
          <w:rtl w:val="0"/>
        </w:rPr>
        <w:t xml:space="preserve"> (pp. 166–195). SAGE Publications.</w:t>
      </w:r>
    </w:p>
    <w:p w:rsidR="00000000" w:rsidDel="00000000" w:rsidP="00000000" w:rsidRDefault="00000000" w:rsidRPr="00000000" w14:paraId="0000006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Salleh, L. M. (2005). High/low context communication: The Malaysian Malay style. </w:t>
      </w:r>
      <w:r w:rsidDel="00000000" w:rsidR="00000000" w:rsidRPr="00000000">
        <w:rPr>
          <w:rFonts w:ascii="Times New Roman" w:cs="Times New Roman" w:eastAsia="Times New Roman" w:hAnsi="Times New Roman"/>
          <w:i w:val="1"/>
          <w:iCs w:val="1"/>
          <w:sz w:val="24"/>
          <w:szCs w:val="24"/>
          <w:rtl w:val="0"/>
        </w:rPr>
        <w:t xml:space="preserve">Proceedings of the Association for Business Communication Annual Convention</w:t>
      </w:r>
      <w:r w:rsidDel="00000000" w:rsidR="00000000" w:rsidRPr="00000000">
        <w:rPr>
          <w:rFonts w:ascii="Times New Roman" w:cs="Times New Roman" w:eastAsia="Times New Roman" w:hAnsi="Times New Roman"/>
          <w:sz w:val="24"/>
          <w:szCs w:val="24"/>
          <w:rtl w:val="0"/>
        </w:rPr>
        <w:t xml:space="preserve">, 1–11.</w:t>
      </w:r>
    </w:p>
    <w:p w:rsidR="00000000" w:rsidDel="00000000" w:rsidP="00000000" w:rsidRDefault="00000000" w:rsidRPr="00000000" w14:paraId="0000006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rPr>
          <w:color w:val="1155cc"/>
          <w:u w:val="single"/>
        </w:rPr>
      </w:pPr>
      <w:r w:rsidDel="00000000" w:rsidR="00000000" w:rsidRPr="00000000">
        <w:rPr>
          <w:rFonts w:ascii="Times New Roman" w:cs="Times New Roman" w:eastAsia="Times New Roman" w:hAnsi="Times New Roman"/>
          <w:sz w:val="24"/>
          <w:szCs w:val="24"/>
          <w:rtl w:val="0"/>
        </w:rPr>
        <w:t xml:space="preserve">Wale, H. (2020). </w:t>
      </w:r>
      <w:r w:rsidDel="00000000" w:rsidR="00000000" w:rsidRPr="00000000">
        <w:rPr>
          <w:rFonts w:ascii="Times New Roman" w:cs="Times New Roman" w:eastAsia="Times New Roman" w:hAnsi="Times New Roman"/>
          <w:i w:val="1"/>
          <w:iCs w:val="1"/>
          <w:sz w:val="24"/>
          <w:szCs w:val="24"/>
          <w:rtl w:val="0"/>
        </w:rPr>
        <w:t xml:space="preserve">Hofstede’s cultural dimensions theory</w:t>
      </w:r>
      <w:r w:rsidDel="00000000" w:rsidR="00000000" w:rsidRPr="00000000">
        <w:rPr>
          <w:rFonts w:ascii="Times New Roman" w:cs="Times New Roman" w:eastAsia="Times New Roman" w:hAnsi="Times New Roman"/>
          <w:sz w:val="24"/>
          <w:szCs w:val="24"/>
          <w:rtl w:val="0"/>
        </w:rPr>
        <w:t xml:space="preserve">. Corporate Finance Institute.</w:t>
      </w:r>
      <w:hyperlink r:id="rId19">
        <w:r w:rsidDel="00000000" w:rsidR="00000000" w:rsidRPr="00000000">
          <w:rPr>
            <w:rFonts w:ascii="Times New Roman" w:cs="Times New Roman" w:eastAsia="Times New Roman" w:hAnsi="Times New Roman"/>
            <w:sz w:val="24"/>
            <w:szCs w:val="24"/>
            <w:rtl w:val="0"/>
          </w:rPr>
          <w:t xml:space="preserve"> </w:t>
        </w:r>
      </w:hyperlink>
      <w:hyperlink r:id="rId20">
        <w:r w:rsidDel="00000000" w:rsidR="00000000" w:rsidRPr="00000000">
          <w:rPr>
            <w:color w:val="1155cc"/>
            <w:u w:val="single"/>
            <w:rtl w:val="0"/>
          </w:rPr>
          <w:t xml:space="preserve">https://corporatefinanceinstitute.com/resources/management/hofstedes-cultural-dimensions-theory/</w:t>
        </w:r>
      </w:hyperlink>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sectPr>
      <w:footerReference r:id="rId21" w:type="default"/>
      <w:footerReference r:id="rId22"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235.63636363636365" w:lineRule="auto"/>
    </w:pPr>
    <w:rPr>
      <w:rFonts w:ascii="Times New Roman" w:cs="Times New Roman" w:eastAsia="Times New Roman" w:hAnsi="Times New Roman"/>
      <w:b w:val="1"/>
      <w:bCs w:val="1"/>
      <w:sz w:val="25"/>
      <w:szCs w:val="25"/>
      <w:u w:val="single"/>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orporatefinanceinstitute.com/resources/management/hofstedes-cultural-dimensions-theory/" TargetMode="External"/><Relationship Id="rId11" Type="http://schemas.openxmlformats.org/officeDocument/2006/relationships/image" Target="media/image5.png"/><Relationship Id="rId22" Type="http://schemas.openxmlformats.org/officeDocument/2006/relationships/footer" Target="footer1.xml"/><Relationship Id="rId10" Type="http://schemas.openxmlformats.org/officeDocument/2006/relationships/image" Target="media/image4.png"/><Relationship Id="rId21" Type="http://schemas.openxmlformats.org/officeDocument/2006/relationships/footer" Target="footer2.xml"/><Relationship Id="rId13" Type="http://schemas.openxmlformats.org/officeDocument/2006/relationships/hyperlink" Target="https://www.dynamictraining.org.uk/learner-pulse/reflective-accounts-and-gibbs-reflective-cycle/"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doi.org/10.1108/02683940710733115" TargetMode="External"/><Relationship Id="rId14" Type="http://schemas.openxmlformats.org/officeDocument/2006/relationships/hyperlink" Target="https://www.bac.edu.my/bac/penangs-silicon-valley-inside-malaysias-booming-semiconductor-industry/" TargetMode="External"/><Relationship Id="rId17" Type="http://schemas.openxmlformats.org/officeDocument/2006/relationships/hyperlink" Target="https://doi.org/10.2307/2666999" TargetMode="External"/><Relationship Id="rId16" Type="http://schemas.openxmlformats.org/officeDocument/2006/relationships/hyperlink" Target="https://doi.org/10.1108/02683940710733115" TargetMode="External"/><Relationship Id="rId5" Type="http://schemas.openxmlformats.org/officeDocument/2006/relationships/styles" Target="styles.xml"/><Relationship Id="rId19" Type="http://schemas.openxmlformats.org/officeDocument/2006/relationships/hyperlink" Target="https://corporatefinanceinstitute.com/resources/management/hofstedes-cultural-dimensions-theory/" TargetMode="External"/><Relationship Id="rId6" Type="http://schemas.openxmlformats.org/officeDocument/2006/relationships/image" Target="media/image2.png"/><Relationship Id="rId18" Type="http://schemas.openxmlformats.org/officeDocument/2006/relationships/hyperlink" Target="https://doi.org/10.2307/2666999" TargetMode="External"/><Relationship Id="rId7" Type="http://schemas.openxmlformats.org/officeDocument/2006/relationships/hyperlink" Target="https://drive.google.com/file/d/1PsED7T-G_0WyGG-u7H56Wlvdi6fGDdVX/view?usp=sharing"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