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5">
      <w:pPr>
        <w:spacing w:after="0" w:line="240" w:lineRule="auto"/>
        <w:rPr>
          <w:sz w:val="2"/>
          <w:szCs w:val="2"/>
        </w:rPr>
      </w:pPr>
      <w:r w:rsidDel="00000000" w:rsidR="00000000" w:rsidRPr="00000000">
        <w:rPr>
          <w:rtl w:val="0"/>
        </w:rPr>
      </w:r>
    </w:p>
    <w:p w:rsidR="00000000" w:rsidDel="00000000" w:rsidP="00000000" w:rsidRDefault="00000000" w:rsidRPr="00000000" w14:paraId="00000006">
      <w:pPr>
        <w:spacing w:after="0" w:line="240" w:lineRule="auto"/>
        <w:rPr>
          <w:sz w:val="2"/>
          <w:szCs w:val="2"/>
        </w:rPr>
      </w:pPr>
      <w:r w:rsidDel="00000000" w:rsidR="00000000" w:rsidRPr="00000000">
        <w:rPr>
          <w:rtl w:val="0"/>
        </w:rPr>
      </w:r>
    </w:p>
    <w:p w:rsidR="00000000" w:rsidDel="00000000" w:rsidP="00000000" w:rsidRDefault="00000000" w:rsidRPr="00000000" w14:paraId="00000007">
      <w:pPr>
        <w:pBdr>
          <w:top w:color="4f81bd" w:space="10" w:sz="4" w:val="single"/>
          <w:bottom w:color="4f81bd" w:space="26" w:sz="4" w:val="single"/>
        </w:pBdr>
        <w:spacing w:after="360" w:before="360" w:lineRule="auto"/>
        <w:ind w:left="864" w:right="864" w:firstLine="0"/>
        <w:rPr>
          <w:i w:val="1"/>
          <w:color w:val="4f81bd"/>
        </w:rPr>
      </w:pPr>
      <w:r w:rsidDel="00000000" w:rsidR="00000000" w:rsidRPr="00000000">
        <w:rPr>
          <w:i w:val="1"/>
          <w:color w:val="4f81bd"/>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869429492" name="image3.png"/>
            <a:graphic>
              <a:graphicData uri="http://schemas.openxmlformats.org/drawingml/2006/picture">
                <pic:pic>
                  <pic:nvPicPr>
                    <pic:cNvPr descr="A close up of black text&#10;&#10;Description automatically generated" id="0" name="image3.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8">
      <w:pPr>
        <w:pBdr>
          <w:top w:color="4f81bd" w:space="10" w:sz="4" w:val="single"/>
          <w:bottom w:color="4f81bd" w:space="26" w:sz="4" w:val="single"/>
        </w:pBdr>
        <w:spacing w:after="360" w:before="360" w:lineRule="auto"/>
        <w:ind w:left="864" w:right="864" w:firstLine="0"/>
        <w:jc w:val="center"/>
        <w:rPr>
          <w:rFonts w:ascii="Arial" w:cs="Arial" w:eastAsia="Arial" w:hAnsi="Arial"/>
          <w:b w:val="1"/>
          <w:i w:val="1"/>
          <w:color w:val="4f81bd"/>
          <w:sz w:val="36"/>
          <w:szCs w:val="36"/>
        </w:rPr>
      </w:pPr>
      <w:r w:rsidDel="00000000" w:rsidR="00000000" w:rsidRPr="00000000">
        <w:rPr>
          <w:b w:val="1"/>
          <w:smallCaps w:val="1"/>
          <w:color w:val="4f81bd"/>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9">
      <w:pPr>
        <w:jc w:val="center"/>
        <w:rPr>
          <w:rFonts w:ascii="Arial" w:cs="Arial" w:eastAsia="Arial" w:hAnsi="Arial"/>
          <w:b w:val="1"/>
          <w:i w:val="1"/>
          <w:color w:val="1f497d"/>
        </w:rPr>
      </w:pPr>
      <w:r w:rsidDel="00000000" w:rsidR="00000000" w:rsidRPr="00000000">
        <w:rPr>
          <w:rFonts w:ascii="Arial" w:cs="Arial" w:eastAsia="Arial" w:hAnsi="Arial"/>
          <w:b w:val="1"/>
          <w:i w:val="1"/>
          <w:color w:val="1f497d"/>
          <w:rtl w:val="0"/>
        </w:rPr>
        <w:t xml:space="preserve">Justify a hospitality business concept of your own creation using the BMC:</w:t>
      </w:r>
    </w:p>
    <w:p w:rsidR="00000000" w:rsidDel="00000000" w:rsidP="00000000" w:rsidRDefault="00000000" w:rsidRPr="00000000" w14:paraId="0000000A">
      <w:pPr>
        <w:rPr>
          <w:rFonts w:ascii="Arial" w:cs="Arial" w:eastAsia="Arial" w:hAnsi="Arial"/>
          <w:b w:val="1"/>
          <w:color w:val="1f497d"/>
          <w:sz w:val="36"/>
          <w:szCs w:val="36"/>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color w:val="1f497d"/>
          <w:sz w:val="36"/>
          <w:szCs w:val="36"/>
        </w:rPr>
      </w:pPr>
      <w:r w:rsidDel="00000000" w:rsidR="00000000" w:rsidRPr="00000000">
        <w:rPr>
          <w:rFonts w:ascii="Arial" w:cs="Arial" w:eastAsia="Arial" w:hAnsi="Arial"/>
          <w:b w:val="1"/>
          <w:color w:val="1f497d"/>
          <w:sz w:val="36"/>
          <w:szCs w:val="36"/>
          <w:rtl w:val="0"/>
        </w:rPr>
        <w:t xml:space="preserve">Crafting Sustainable Luxury: Business Model and Entrepreneurial Insights for GreenVista Retreat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Student Name:</w:t>
        <w:br w:type="textWrapping"/>
      </w:r>
      <w:r w:rsidDel="00000000" w:rsidR="00000000" w:rsidRPr="00000000">
        <w:rPr>
          <w:b w:val="1"/>
          <w:sz w:val="24"/>
          <w:szCs w:val="24"/>
          <w:rtl w:val="0"/>
        </w:rPr>
        <w:t xml:space="preserve">Georgiana Poteaca</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Student ID:</w:t>
        <w:br w:type="textWrapping"/>
      </w:r>
      <w:r w:rsidDel="00000000" w:rsidR="00000000" w:rsidRPr="00000000">
        <w:rPr>
          <w:b w:val="1"/>
          <w:sz w:val="24"/>
          <w:szCs w:val="24"/>
          <w:rtl w:val="0"/>
        </w:rPr>
        <w:t xml:space="preserve">2206484</w:t>
      </w: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Tutor's Name:</w:t>
        <w:br w:type="textWrapping"/>
      </w:r>
      <w:r w:rsidDel="00000000" w:rsidR="00000000" w:rsidRPr="00000000">
        <w:rPr>
          <w:b w:val="1"/>
          <w:rtl w:val="0"/>
        </w:rPr>
        <w:t xml:space="preserve">Charlotte Joyner</w:t>
        <w:br w:type="textWrapping"/>
        <w:br w:type="textWrapping"/>
        <w:t xml:space="preserve">Module title: </w:t>
        <w:br w:type="textWrapping"/>
        <w:t xml:space="preserve">Entrepreneurship</w:t>
        <w:br w:type="textWrapping"/>
        <w:br w:type="textWrapping"/>
        <w:t xml:space="preserve">Module code:</w:t>
        <w:br w:type="textWrapping"/>
        <w:t xml:space="preserve">BMIH5001</w:t>
        <w:br w:type="textWrapping"/>
        <w:br w:type="textWrapping"/>
        <w:t xml:space="preserve">Date:</w:t>
        <w:br w:type="textWrapping"/>
        <w:t xml:space="preserve">03/05/2024</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color="4f81bd" w:space="10" w:sz="4" w:val="single"/>
          <w:left w:space="0" w:sz="0" w:val="nil"/>
          <w:bottom w:color="4f81bd" w:space="10" w:sz="4" w:val="single"/>
          <w:right w:space="0" w:sz="0" w:val="nil"/>
          <w:between w:space="0" w:sz="0" w:val="nil"/>
        </w:pBdr>
        <w:shd w:fill="auto" w:val="clear"/>
        <w:spacing w:after="360" w:before="360" w:line="259" w:lineRule="auto"/>
        <w:ind w:left="864" w:right="864" w:firstLine="0"/>
        <w:jc w:val="center"/>
        <w:rPr>
          <w:rFonts w:ascii="Arial" w:cs="Arial" w:eastAsia="Arial" w:hAnsi="Arial"/>
          <w:b w:val="1"/>
          <w:i w:val="1"/>
          <w:smallCaps w:val="0"/>
          <w:strike w:val="0"/>
          <w:color w:val="4f81bd"/>
          <w:sz w:val="24"/>
          <w:szCs w:val="24"/>
          <w:u w:val="none"/>
          <w:shd w:fill="auto" w:val="clear"/>
          <w:vertAlign w:val="baseline"/>
        </w:rPr>
      </w:pPr>
      <w:r w:rsidDel="00000000" w:rsidR="00000000" w:rsidRPr="00000000">
        <w:rPr>
          <w:rFonts w:ascii="Calibri" w:cs="Calibri" w:eastAsia="Calibri" w:hAnsi="Calibri"/>
          <w:b w:val="1"/>
          <w:i w:val="0"/>
          <w:smallCaps w:val="0"/>
          <w:strike w:val="0"/>
          <w:color w:val="4f81bd"/>
          <w:sz w:val="28"/>
          <w:szCs w:val="28"/>
          <w:u w:val="none"/>
          <w:shd w:fill="auto" w:val="clear"/>
          <w:vertAlign w:val="baseline"/>
          <w:rtl w:val="0"/>
        </w:rPr>
        <w:t xml:space="preserve">Entrepreneurship </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color="4f81bd" w:space="10" w:sz="4" w:val="single"/>
          <w:left w:space="0" w:sz="0" w:val="nil"/>
          <w:bottom w:color="4f81bd" w:space="10" w:sz="4" w:val="single"/>
          <w:right w:space="0" w:sz="0" w:val="nil"/>
          <w:between w:space="0" w:sz="0" w:val="nil"/>
        </w:pBdr>
        <w:shd w:fill="auto" w:val="clear"/>
        <w:spacing w:after="360" w:before="360" w:line="259" w:lineRule="auto"/>
        <w:ind w:left="864" w:right="864" w:firstLine="0"/>
        <w:jc w:val="center"/>
        <w:rPr>
          <w:rFonts w:ascii="Arial" w:cs="Arial" w:eastAsia="Arial" w:hAnsi="Arial"/>
          <w:b w:val="1"/>
          <w:i w:val="1"/>
          <w:smallCaps w:val="0"/>
          <w:strike w:val="0"/>
          <w:color w:val="4f81bd"/>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i w:val="1"/>
          <w:smallCaps w:val="0"/>
          <w:strike w:val="0"/>
          <w:color w:val="4f81bd"/>
          <w:sz w:val="24"/>
          <w:szCs w:val="24"/>
          <w:u w:val="none"/>
          <w:shd w:fill="auto" w:val="clear"/>
          <w:vertAlign w:val="baseline"/>
          <w:rtl w:val="0"/>
        </w:rPr>
        <w:t xml:space="preserve">BMIH5001 Rework</w:t>
      </w:r>
    </w:p>
    <w:p w:rsidR="00000000" w:rsidDel="00000000" w:rsidP="00000000" w:rsidRDefault="00000000" w:rsidRPr="00000000" w14:paraId="00000019">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b w:val="1"/>
          <w:sz w:val="24"/>
          <w:szCs w:val="24"/>
        </w:rPr>
      </w:pPr>
      <w:bookmarkStart w:colFirst="0" w:colLast="0" w:name="_heading=h.gjdgxs" w:id="0"/>
      <w:bookmarkEnd w:id="0"/>
      <w:r w:rsidDel="00000000" w:rsidR="00000000" w:rsidRPr="00000000">
        <w:rPr>
          <w:rFonts w:ascii="Times New Roman" w:cs="Times New Roman" w:eastAsia="Times New Roman" w:hAnsi="Times New Roman"/>
          <w:b w:val="1"/>
          <w:sz w:val="24"/>
          <w:szCs w:val="24"/>
          <w:rtl w:val="0"/>
        </w:rPr>
        <w:t xml:space="preserve">Crafting Sustainable Luxury: Business Model and Entrepreneurial Insights for GreenVista Retreat</w:t>
      </w:r>
    </w:p>
    <w:p w:rsidR="00000000" w:rsidDel="00000000" w:rsidP="00000000" w:rsidRDefault="00000000" w:rsidRPr="00000000" w14:paraId="0000001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Contents</w:t>
      </w:r>
    </w:p>
    <w:tbl>
      <w:tblPr>
        <w:tblStyle w:val="Table1"/>
        <w:tblW w:w="9036.0" w:type="dxa"/>
        <w:jc w:val="left"/>
        <w:tblBorders>
          <w:top w:color="95b3d7" w:space="0" w:sz="4" w:val="single"/>
          <w:left w:color="95b3d7" w:space="0" w:sz="4" w:val="single"/>
          <w:bottom w:color="95b3d7" w:space="0" w:sz="4" w:val="single"/>
          <w:right w:color="95b3d7" w:space="0" w:sz="4" w:val="single"/>
          <w:insideH w:color="95b3d7" w:space="0" w:sz="4" w:val="single"/>
        </w:tblBorders>
        <w:tblLayout w:type="fixed"/>
        <w:tblLook w:val="01C0"/>
      </w:tblPr>
      <w:tblGrid>
        <w:gridCol w:w="8196"/>
        <w:gridCol w:w="840"/>
        <w:tblGridChange w:id="0">
          <w:tblGrid>
            <w:gridCol w:w="8196"/>
            <w:gridCol w:w="840"/>
          </w:tblGrid>
        </w:tblGridChange>
      </w:tblGrid>
      <w:tr>
        <w:trPr>
          <w:cantSplit w:val="0"/>
          <w:trHeight w:val="436" w:hRule="atLeast"/>
          <w:tblHeader w:val="0"/>
        </w:trPr>
        <w:tc>
          <w:tcPr/>
          <w:p w:rsidR="00000000" w:rsidDel="00000000" w:rsidP="00000000" w:rsidRDefault="00000000" w:rsidRPr="00000000" w14:paraId="0000001E">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Introduction</w:t>
            </w:r>
            <w:r w:rsidDel="00000000" w:rsidR="00000000" w:rsidRPr="00000000">
              <w:rPr>
                <w:rtl w:val="0"/>
              </w:rPr>
            </w:r>
          </w:p>
        </w:tc>
        <w:tc>
          <w:tcPr/>
          <w:p w:rsidR="00000000" w:rsidDel="00000000" w:rsidP="00000000" w:rsidRDefault="00000000" w:rsidRPr="00000000" w14:paraId="0000001F">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2</w:t>
            </w:r>
          </w:p>
        </w:tc>
      </w:tr>
      <w:tr>
        <w:trPr>
          <w:cantSplit w:val="0"/>
          <w:trHeight w:val="552" w:hRule="atLeast"/>
          <w:tblHeader w:val="0"/>
        </w:trPr>
        <w:tc>
          <w:tcPr/>
          <w:p w:rsidR="00000000" w:rsidDel="00000000" w:rsidP="00000000" w:rsidRDefault="00000000" w:rsidRPr="00000000" w14:paraId="00000020">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Business Model Canvas for GreenVista Retreat</w:t>
            </w:r>
            <w:r w:rsidDel="00000000" w:rsidR="00000000" w:rsidRPr="00000000">
              <w:rPr>
                <w:rtl w:val="0"/>
              </w:rPr>
            </w:r>
          </w:p>
        </w:tc>
        <w:tc>
          <w:tcPr/>
          <w:p w:rsidR="00000000" w:rsidDel="00000000" w:rsidP="00000000" w:rsidRDefault="00000000" w:rsidRPr="00000000" w14:paraId="00000021">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2</w:t>
            </w:r>
          </w:p>
        </w:tc>
      </w:tr>
      <w:tr>
        <w:trPr>
          <w:cantSplit w:val="0"/>
          <w:trHeight w:val="408" w:hRule="atLeast"/>
          <w:tblHeader w:val="0"/>
        </w:trPr>
        <w:tc>
          <w:tcPr/>
          <w:p w:rsidR="00000000" w:rsidDel="00000000" w:rsidP="00000000" w:rsidRDefault="00000000" w:rsidRPr="00000000" w14:paraId="00000022">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Strategic Rationale</w:t>
            </w:r>
            <w:r w:rsidDel="00000000" w:rsidR="00000000" w:rsidRPr="00000000">
              <w:rPr>
                <w:rtl w:val="0"/>
              </w:rPr>
            </w:r>
          </w:p>
        </w:tc>
        <w:tc>
          <w:tcPr/>
          <w:p w:rsidR="00000000" w:rsidDel="00000000" w:rsidP="00000000" w:rsidRDefault="00000000" w:rsidRPr="00000000" w14:paraId="00000023">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3</w:t>
            </w:r>
          </w:p>
        </w:tc>
      </w:tr>
      <w:tr>
        <w:trPr>
          <w:cantSplit w:val="0"/>
          <w:trHeight w:val="456" w:hRule="atLeast"/>
          <w:tblHeader w:val="0"/>
        </w:trPr>
        <w:tc>
          <w:tcPr/>
          <w:p w:rsidR="00000000" w:rsidDel="00000000" w:rsidP="00000000" w:rsidRDefault="00000000" w:rsidRPr="00000000" w14:paraId="00000024">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Industry Context and Sustainable Practices</w:t>
            </w:r>
            <w:r w:rsidDel="00000000" w:rsidR="00000000" w:rsidRPr="00000000">
              <w:rPr>
                <w:rtl w:val="0"/>
              </w:rPr>
            </w:r>
          </w:p>
        </w:tc>
        <w:tc>
          <w:tcPr/>
          <w:p w:rsidR="00000000" w:rsidDel="00000000" w:rsidP="00000000" w:rsidRDefault="00000000" w:rsidRPr="00000000" w14:paraId="00000025">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5</w:t>
            </w:r>
          </w:p>
        </w:tc>
      </w:tr>
      <w:tr>
        <w:trPr>
          <w:cantSplit w:val="0"/>
          <w:trHeight w:val="540" w:hRule="atLeast"/>
          <w:tblHeader w:val="0"/>
        </w:trPr>
        <w:tc>
          <w:tcPr/>
          <w:p w:rsidR="00000000" w:rsidDel="00000000" w:rsidP="00000000" w:rsidRDefault="00000000" w:rsidRPr="00000000" w14:paraId="00000026">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Personal Entrepreneurial Reflection</w:t>
            </w:r>
            <w:r w:rsidDel="00000000" w:rsidR="00000000" w:rsidRPr="00000000">
              <w:rPr>
                <w:rtl w:val="0"/>
              </w:rPr>
            </w:r>
          </w:p>
        </w:tc>
        <w:tc>
          <w:tcPr/>
          <w:p w:rsidR="00000000" w:rsidDel="00000000" w:rsidP="00000000" w:rsidRDefault="00000000" w:rsidRPr="00000000" w14:paraId="00000027">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6</w:t>
            </w:r>
          </w:p>
        </w:tc>
      </w:tr>
      <w:tr>
        <w:trPr>
          <w:cantSplit w:val="0"/>
          <w:trHeight w:val="360" w:hRule="atLeast"/>
          <w:tblHeader w:val="0"/>
        </w:trPr>
        <w:tc>
          <w:tcPr/>
          <w:p w:rsidR="00000000" w:rsidDel="00000000" w:rsidP="00000000" w:rsidRDefault="00000000" w:rsidRPr="00000000" w14:paraId="00000028">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Conclusion</w:t>
            </w:r>
            <w:r w:rsidDel="00000000" w:rsidR="00000000" w:rsidRPr="00000000">
              <w:rPr>
                <w:rtl w:val="0"/>
              </w:rPr>
            </w:r>
          </w:p>
        </w:tc>
        <w:tc>
          <w:tcPr/>
          <w:p w:rsidR="00000000" w:rsidDel="00000000" w:rsidP="00000000" w:rsidRDefault="00000000" w:rsidRPr="00000000" w14:paraId="00000029">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7</w:t>
            </w:r>
          </w:p>
        </w:tc>
      </w:tr>
      <w:tr>
        <w:trPr>
          <w:cantSplit w:val="0"/>
          <w:trHeight w:val="516" w:hRule="atLeast"/>
          <w:tblHeader w:val="0"/>
        </w:trPr>
        <w:tc>
          <w:tcPr/>
          <w:p w:rsidR="00000000" w:rsidDel="00000000" w:rsidP="00000000" w:rsidRDefault="00000000" w:rsidRPr="00000000" w14:paraId="0000002A">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References</w:t>
            </w:r>
            <w:r w:rsidDel="00000000" w:rsidR="00000000" w:rsidRPr="00000000">
              <w:rPr>
                <w:rtl w:val="0"/>
              </w:rPr>
            </w:r>
          </w:p>
        </w:tc>
        <w:tc>
          <w:tcPr/>
          <w:p w:rsidR="00000000" w:rsidDel="00000000" w:rsidP="00000000" w:rsidRDefault="00000000" w:rsidRPr="00000000" w14:paraId="0000002B">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8</w:t>
            </w:r>
          </w:p>
        </w:tc>
      </w:tr>
      <w:tr>
        <w:trPr>
          <w:cantSplit w:val="0"/>
          <w:trHeight w:val="686" w:hRule="atLeast"/>
          <w:tblHeader w:val="0"/>
        </w:trPr>
        <w:tc>
          <w:tcPr/>
          <w:p w:rsidR="00000000" w:rsidDel="00000000" w:rsidP="00000000" w:rsidRDefault="00000000" w:rsidRPr="00000000" w14:paraId="0000002C">
            <w:pPr>
              <w:numPr>
                <w:ilvl w:val="0"/>
                <w:numId w:val="10"/>
              </w:numPr>
              <w:spacing w:after="200" w:line="360" w:lineRule="auto"/>
              <w:ind w:left="846" w:hanging="360"/>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sz w:val="24"/>
                <w:szCs w:val="24"/>
                <w:rtl w:val="0"/>
              </w:rPr>
              <w:t xml:space="preserve">Appendices</w:t>
            </w:r>
            <w:r w:rsidDel="00000000" w:rsidR="00000000" w:rsidRPr="00000000">
              <w:rPr>
                <w:rtl w:val="0"/>
              </w:rPr>
            </w:r>
          </w:p>
        </w:tc>
        <w:tc>
          <w:tcPr/>
          <w:p w:rsidR="00000000" w:rsidDel="00000000" w:rsidP="00000000" w:rsidRDefault="00000000" w:rsidRPr="00000000" w14:paraId="0000002D">
            <w:pPr>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10</w:t>
            </w:r>
          </w:p>
        </w:tc>
      </w:tr>
    </w:tbl>
    <w:p w:rsidR="00000000" w:rsidDel="00000000" w:rsidP="00000000" w:rsidRDefault="00000000" w:rsidRPr="00000000" w14:paraId="0000002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Introduction </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reaction to the environmental imperatives of our time, the hotel sector is now undergoing a paradigm change towards sustainability. Beyond only meeting legal requirements, sustainable hospitality involves incorporating environmentally conscious practices into every aspect of a hotel's operations (Jones, P., Hillier, D., &amp; Comfort, 2016). Bohdanowicz, Zientara, and Novotna (2017) state that it expresses an ethical stance by putting an emphasis on reducing carbon footprints, conserving resources, and improving local communities. This idea is embodied by GreenVista Retreat, which strives to provide eco-conscious tourists with exquisite experiences while maintaining a strong commitment to environmental stewardship (Mensah, I., 2006). By responding to consumer demand while simultaneously supporting worldwide environmental initiatives, this type of company model might revolutionise the market (Smith, V. L., &amp; Eadington, W. R., 2017).</w:t>
      </w:r>
    </w:p>
    <w:p w:rsidR="00000000" w:rsidDel="00000000" w:rsidP="00000000" w:rsidRDefault="00000000" w:rsidRPr="00000000" w14:paraId="0000003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2. Business Model Canvas for GreenVista Retreat</w:t>
      </w: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Resources</w:t>
      </w: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beginning and throughout its development, GreenVista Retreat's initial cash served as its basic asset (Appendix 1). Capital funds with an emphasis on environmental protection have provided this seed money, continuing a trend towards sustainable investment in the hotel sector (Bohdanowicz et al., 2011). As more and more customers show their support for environmentally conscious companies, The Retreat takes use of financial planning approaches that put an emphasis on environmental effect (Jones et al., 2014).</w:t>
      </w:r>
    </w:p>
    <w:p w:rsidR="00000000" w:rsidDel="00000000" w:rsidP="00000000" w:rsidRDefault="00000000" w:rsidRPr="00000000" w14:paraId="0000003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Cost Structure</w:t>
      </w: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Crucial to the cost structure are the acquisition and upkeep of high-quality, energy-efficient machinery. This makes sure everything runs well and fits in with the growing trend of eco-friendly, money-saving procedures in the hotel industry (Chan &amp; Hawkins, 2010). A key component in today's market, the Retreat's dedication to long-term sustainability is demonstrated by the resources invested for upkeep.</w:t>
      </w:r>
    </w:p>
    <w:p w:rsidR="00000000" w:rsidDel="00000000" w:rsidP="00000000" w:rsidRDefault="00000000" w:rsidRPr="00000000" w14:paraId="0000003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Partnerships and Human Resources</w:t>
      </w: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Partnerships extending to staff management are an integral aspect of The Retreat's human resources strategy, which aims to support the enterprise's mission and operations. Those who work there are dedicated to sustainability, which improves service quality and makes customers happy (Harkison , 2018). This applies to everyone from managers to waiters. The growing trend of incorporating environmental experts into hospitality companies is mirrored in the establishment of a specialised green team (Jones &amp; Hillier, 2016).</w:t>
      </w:r>
    </w:p>
    <w:p w:rsidR="00000000" w:rsidDel="00000000" w:rsidP="00000000" w:rsidRDefault="00000000" w:rsidRPr="00000000" w14:paraId="0000003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Activities</w:t>
      </w: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time management is the key to GreenVista Retreat' s smooth operations. Ensuring a harmonious coexistence of high-quality service with ecological consciousness requires efficient scheduling and running operations. Positioning the Retreat as eco-friendly and client-centric, this contributes to customer happiness and reflects practices where efficiency and sustainability interact (Legrand et al., 2016).</w:t>
      </w:r>
    </w:p>
    <w:p w:rsidR="00000000" w:rsidDel="00000000" w:rsidP="00000000" w:rsidRDefault="00000000" w:rsidRPr="00000000" w14:paraId="0000003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Value Propositions</w:t>
      </w: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Choosing a car and furnishings are the physical parts of GreenVista's selling point. A dedication to decreasing emissions is demonstrated using eco-friendly cars for transport services at The Retreat (Tang et al., 2014). While it improves the client experience and lessens the environmental impact, the selection of sustainable furniture further establishes the Retreat's commitment to environmental ethics (Manaktola &amp; Jauhari, 2007).</w:t>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Revenue Streams</w:t>
      </w: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 novel way, GreenVista Retreat' s sustainable value proposition is connected to its revenue streams. Guests are prepared to pay a premium for sustainable experiences, and the Retreat capitalises on this trend by offering rooms with green living features and holding activities that encourage eco-friendly behaviours (Cone Communications , 2017). </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sustainability-focused business concept is on display in the GreenVista Retreat BMC. Each part, backed by real-life instances and scholarly studies, highlights the Retreat's dedication to a sustainable future for hospitality. In addition to being the right thing to do from a moral standpoint, this strategy is becoming more and more of a need for success in the hotel sector (WEF, 2019).</w:t>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Strategic Rationale </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convergence of environmental imperatives, market trends, and operational concerns forms the multi -faceted strategic reasoning underpinning GreenVista Retreat' s hospitality industry. To ensure congruence with both corporate aims and sustainable practices, GreenVista Retreat has meticulously evaluated several elements that impact strategic decisions as it forges its way through the competitive hospitality industry.</w:t>
      </w:r>
    </w:p>
    <w:p w:rsidR="00000000" w:rsidDel="00000000" w:rsidP="00000000" w:rsidRDefault="00000000" w:rsidRPr="00000000" w14:paraId="00000044">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Environmental Imperatives</w:t>
      </w: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Undoubtedly, GreenVista Retreat's strategy decisions are heavily influenced by the pressing need to combat climate change. Sustainable practices are becoming more important in the hotel business as it acknowledges its contribution to global carbon emissions (Bohdanowicz &amp; Zientara, 2008). The Retreat' s reputation and productivity are both boosted by environmentally conscious business initiatives including cutting down on waste and embracing green technology.</w:t>
      </w:r>
    </w:p>
    <w:p w:rsidR="00000000" w:rsidDel="00000000" w:rsidP="00000000" w:rsidRDefault="00000000" w:rsidRPr="00000000" w14:paraId="0000004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Market Trends</w:t>
      </w: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rising number of tourists are showing a desire for environmentally conscious accommodations, which indicates a change in consumer behaviour towards responsible and sustainable tourism (Dolnicar &amp; Leisch , 2008). By including eco-friendly amenities into its main service, GreenVista Retreat is well-positioned to take advantage of this trend. According to customer surveys and comments from the industry, this move is both morally sound and takes advantage of the market's need for environmentally friendly activities (Cone Communications, 2017).</w:t>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Operational Considerations</w:t>
      </w: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far as the operational domain is concerned, GreenVista Retreat has taken deliberate decisions to incorporate sustainability into all parts of its operations. A full-scale waste management system and renewable energy sources are part of this, since they both save operational expenses in the long run and help keep the environment clean (Chan &amp; Hawkins, 2010). These choices are in line with the industry-wide trend towards less waste and more energy efficiency, which is good for the environment and is being required more and more by laws and international norms (Jones et al., 2016).</w:t>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Customer Expectations and Experience</w:t>
      </w: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our top priorities is to anticipate and fulfil all of our customers' expectations. Guests, especially those in the luxury market, are on the lookout for one-of-a-kind adventures that don't skimp on comfort or ethics (Mensah , 2006). With its commitment to eco-friendly practices and first-rate facilities, GreenVista Retreat meets the demands of both luxurious hospitality and corporate social responsibility. Accordingly, decisions are made in a way that promotes the Retreat's sustainable ethos while simultaneously improving the experience and happiness of guests (Hung et al., 2021).</w:t>
      </w:r>
    </w:p>
    <w:p w:rsidR="00000000" w:rsidDel="00000000" w:rsidP="00000000" w:rsidRDefault="00000000" w:rsidRPr="00000000" w14:paraId="0000004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Competitive Advantage</w:t>
      </w: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Building a competitive advantage through differentiation is another critical factor influencing GreenVista Retreat’s strategy. Adopting Porter’ s (1985) generic strategies, GreenVista Retreat has positioned itself as both a cost leader and a differentiator within the niche of sustainable luxury hospitality. This strategic stance not only sets the Retreat apart from competitors but also attracts a specific segment of the market willing to pay a premium for environmentally conscious accommodations (Porter , 1985).</w:t>
      </w:r>
    </w:p>
    <w:p w:rsidR="00000000" w:rsidDel="00000000" w:rsidP="00000000" w:rsidRDefault="00000000" w:rsidRPr="00000000" w14:paraId="0000004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Finally, GreenVista Retreat relies on a good balance of eco-fulness, operational efficiency, the customer focus as well as competitive location strategy– and luck! The final aim of all decisions is to create a hospitality enterprise that has existed for many years and is also flourishing. This decision-making method is demonstrated in the BMC below: relationship between enterprise philosophy, operations and market positioning.</w:t>
      </w: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Industry Context and Sustainable Practices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launch of GreenVista Retreat into the modern market coincides with the growing demand for environmentally conscious accommodations in the hospitality sector. The industry must tackle the problems of climate change and greater customer knowledge of environmental issues by incorporating eco -friendly measures; this is more than just a fad (Bohdanowicz &amp; Zientara , 2008). By adopting these methods, GreenVista Retreat puts itself in a position to serve a sector of the market that is looking for eco-friendly choices. </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Sustainable practices are becoming integral to company operations and strategy, rather than being seen as an afterthought in today's industry (Jones et al. , 2016). In response, GreenVista Retreat has prioritised sustainable and local sourcing of food and supplies, instituted stringent waste management rules, and begun employing renewable energy sources. These practices address both the environment and the changing expectations of visitors, who are increasingly considering a business's ecological impact when making a purchase (Dolnicar &amp; Leisch , 2008).</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Sustainable methods also provide a big advantage over the competition. Sustainability, according to the World Economic Forum (2019), is one of the most important factors propelling innovation in the sector. Taking advantage of this, GreenVista Retreat differentiates itself from conventional luxury hotels by providing guests with one-of-a-kind experiences like farm-to-table meals and eco -tours. A more profound comprehension of the modern traveller’s pursuit of experiences that are in line with their principles without sacrificing quality or comfort is reflected in The Retreat's dedication to sustainable luxury (Mensah, 2006).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Relationship building and maintenance are also part of sustainable practices. Socially responsible activities, hiring locally, and investing in the areas where GreenVista Retreat is located are all part of the company's goal. As both customers and companies come to see the importance of community involvement in sustainability efforts, this strategy does double duty by improving the hotel' s image and fostering loyalty among local stakeholders (Jones &amp; Hillier, 2016). </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Environmentally friendly policies are also paying dividends in the world of finance. A rising amount of research indicates that resorts and hotels that put money into sustainability may save money, run more efficiently, and charge more for their services (Manaktola &amp; Jauhari , 2007). Therefore, GreenVista Retreat's sustainability initiatives are integral to its financial strategy, which aims to attract investors seeking green business possibilities and conform to worldwide trends in sustainable development. </w:t>
        <w:br w:type="textWrapping"/>
        <w:t xml:space="preserve">All things considered, GreenVista Retreat is looking ahead, not only at the present, to where the hospitality sector is likely to go. Sustainable practices are fundamental to the performance and longevity of businesses in the present and future markets. This knowledge forms the basis of its operational culture. The GreenVista Retreat is a pioneer in sustainable hospitality thanks to its innovative use of environmentally friendly techniques; it shows how the sector can adapt to the problems of the modern day. </w:t>
      </w:r>
    </w:p>
    <w:p w:rsidR="00000000" w:rsidDel="00000000" w:rsidP="00000000" w:rsidRDefault="00000000" w:rsidRPr="00000000" w14:paraId="0000005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Personal Entrepreneurial Reflection </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 set out on my entrepreneurial path with GreenVista Retreat, the knowledge I gained from Gibbs' Reflective Cycle—especially when looking at the personal evaluation graph—has been crucial in critically examining my entrepreneurial attributes.</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Description</w:t>
      </w:r>
      <w:r w:rsidDel="00000000" w:rsidR="00000000" w:rsidRPr="00000000">
        <w:rPr>
          <w:rFonts w:ascii="Times New Roman" w:cs="Times New Roman" w:eastAsia="Times New Roman" w:hAnsi="Times New Roman"/>
          <w:sz w:val="24"/>
          <w:szCs w:val="24"/>
          <w:rtl w:val="0"/>
        </w:rPr>
        <w:t xml:space="preserve">: According to the results, I have a high-risk propensity (67%), which means I am willing to accept and even welcome uncertainty. This trait is in line with what Kerr et al. (2018) found: that entrepreneurs who take risks tend to be more successful. In line with the research of Locke and Latham (2002), who stress the significance of well-defined and realistic objectives for entrepreneurs (Appendix 2), my GET score of 52% and Achieve score of 50% indicate a moderate strategy for goal-setting and achievement.</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Feelings</w:t>
      </w:r>
      <w:r w:rsidDel="00000000" w:rsidR="00000000" w:rsidRPr="00000000">
        <w:rPr>
          <w:rFonts w:ascii="Times New Roman" w:cs="Times New Roman" w:eastAsia="Times New Roman" w:hAnsi="Times New Roman"/>
          <w:sz w:val="24"/>
          <w:szCs w:val="24"/>
          <w:rtl w:val="0"/>
        </w:rPr>
        <w:t xml:space="preserve">: I was first worried when I realised that my level of autonomy was modest (33%). This quality may be seen as a hindrance in a field where autonomy is commonly associated with creativity. Nevertheless, after giving it some thought, I've come to value teamwork and the power of interdependent dynamics.</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Evaluation</w:t>
      </w:r>
      <w:r w:rsidDel="00000000" w:rsidR="00000000" w:rsidRPr="00000000">
        <w:rPr>
          <w:rFonts w:ascii="Times New Roman" w:cs="Times New Roman" w:eastAsia="Times New Roman" w:hAnsi="Times New Roman"/>
          <w:sz w:val="24"/>
          <w:szCs w:val="24"/>
          <w:rtl w:val="0"/>
        </w:rPr>
        <w:t xml:space="preserve">: The results of the evaluation were contradictory. Optimistically, my penchant for taking chances can propel GreenVista Retreat towards the kind of innovation and fresh ideas that are essential to the dynamic hospitality industry (Huang &amp; Knight , 2017). On the flip side, a lower autonomy score may indicate difficulty making quick decisions, which might slow down responsiveness to changes in the market.</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Analysis</w:t>
      </w:r>
      <w:r w:rsidDel="00000000" w:rsidR="00000000" w:rsidRPr="00000000">
        <w:rPr>
          <w:rFonts w:ascii="Times New Roman" w:cs="Times New Roman" w:eastAsia="Times New Roman" w:hAnsi="Times New Roman"/>
          <w:sz w:val="24"/>
          <w:szCs w:val="24"/>
          <w:rtl w:val="0"/>
        </w:rPr>
        <w:t xml:space="preserve">: As a result of having equal parts creative drive and methodical management, my results on the GET and Achieve scales are balanced, and my scores on the Creativity and Control scales are also balanced at 50%. I am well-prepared to face the risks of entrepreneurship thanks to my high risk tolerance, but I may be most effective as part of a team that brings different viewpoints to the table to help make decisions (Brinckmann et al., 2010).</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main findings have resulted from the contemplation. First of all, I am not afraid to take risks , which is a strength when it comes to pursuing innovative company ideas like GreenVista Retreat, particularly in a sector that is ready for sustainable change. Second, developing autonomy in decision-making to improve leadership effectiveness is essential, as is striking a balance between autonomous and collaborative practices.</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Action Plan</w:t>
      </w:r>
      <w:r w:rsidDel="00000000" w:rsidR="00000000" w:rsidRPr="00000000">
        <w:rPr>
          <w:rFonts w:ascii="Times New Roman" w:cs="Times New Roman" w:eastAsia="Times New Roman" w:hAnsi="Times New Roman"/>
          <w:sz w:val="24"/>
          <w:szCs w:val="24"/>
          <w:rtl w:val="0"/>
        </w:rPr>
        <w:t xml:space="preserve">: I intend to make the most of my adventurous spirit by keeping up with developments in the sustainability sector in search of novel approaches that GreenVista Retreat might adopt. In order to overcome my lack of independence, I want to take part in leadership courses that emphasise being decisive and confident, and I will also work to create a team atmosphere that respects and incorporates the ideas of all team members.</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gained a comprehensive awareness of my entrepreneurial tendencies and how they impact my management of GreenVista Retreat using Gibbs' Reflective Cycle, which provides a disciplined method to introspection. This introspection does double duty : it helps me develop as a person and as a leader of an innovative sustainable hotel business.</w:t>
      </w:r>
    </w:p>
    <w:p w:rsidR="00000000" w:rsidDel="00000000" w:rsidP="00000000" w:rsidRDefault="00000000" w:rsidRPr="00000000" w14:paraId="0000006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 Conclusion </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entrepreneurial journey of creating GreenVista Retreat is both a combination of strategic analysis and introspection. Drawing on industry trends as well as operational cleverness, the Business Model Canvas has laid out exactly what way sustainable luxury in hospitality should develop. The use of Gibbs’ Reflective Cycle has given me profound insights into the links between my personality and leadership under the new biotechnology enterprise. Looking ahead, the Estate looks set to not just exploit one particular niche within the eco-luxury market but continuously adapts to changing demands of sustainability, ensuring that we stay at the forefront in terms of any responsible business practice.</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References: </w:t>
      </w:r>
      <w:r w:rsidDel="00000000" w:rsidR="00000000" w:rsidRPr="00000000">
        <w:rPr>
          <w:rtl w:val="0"/>
        </w:rPr>
      </w:r>
    </w:p>
    <w:p w:rsidR="00000000" w:rsidDel="00000000" w:rsidP="00000000" w:rsidRDefault="00000000" w:rsidRPr="00000000" w14:paraId="00000065">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Buhalis, D. and Law, R., 2022. Progress in Information Technology and Tourism Management: 20 Years on and 10 Years after the Internet—The State of eTourism Research. </w:t>
      </w:r>
      <w:r w:rsidDel="00000000" w:rsidR="00000000" w:rsidRPr="00000000">
        <w:rPr>
          <w:rFonts w:ascii="Times New Roman" w:cs="Times New Roman" w:eastAsia="Times New Roman" w:hAnsi="Times New Roman"/>
          <w:i w:val="1"/>
          <w:sz w:val="24"/>
          <w:szCs w:val="24"/>
          <w:rtl w:val="0"/>
        </w:rPr>
        <w:t xml:space="preserve">Tourism Management</w:t>
      </w:r>
      <w:r w:rsidDel="00000000" w:rsidR="00000000" w:rsidRPr="00000000">
        <w:rPr>
          <w:rFonts w:ascii="Times New Roman" w:cs="Times New Roman" w:eastAsia="Times New Roman" w:hAnsi="Times New Roman"/>
          <w:sz w:val="24"/>
          <w:szCs w:val="24"/>
          <w:rtl w:val="0"/>
        </w:rPr>
        <w:t xml:space="preserve">, 29(4), pp.609-623. Available at: </w:t>
      </w:r>
      <w:hyperlink r:id="rId8">
        <w:r w:rsidDel="00000000" w:rsidR="00000000" w:rsidRPr="00000000">
          <w:rPr>
            <w:rFonts w:ascii="Times New Roman" w:cs="Times New Roman" w:eastAsia="Times New Roman" w:hAnsi="Times New Roman"/>
            <w:color w:val="0000ff"/>
            <w:sz w:val="24"/>
            <w:szCs w:val="24"/>
            <w:u w:val="single"/>
            <w:rtl w:val="0"/>
          </w:rPr>
          <w:t xml:space="preserve">https://doi.org/10.1016/j.tourman.2008.01.005</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6">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 T. et al., 2021. Understanding Perceived Value and Purchase Intention toward Eco-Friendly Athleisure Apparel: Insights from U.S. Millennials.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13(14), p.7946. Available at: </w:t>
      </w:r>
      <w:hyperlink r:id="rId9">
        <w:r w:rsidDel="00000000" w:rsidR="00000000" w:rsidRPr="00000000">
          <w:rPr>
            <w:rFonts w:ascii="Times New Roman" w:cs="Times New Roman" w:eastAsia="Times New Roman" w:hAnsi="Times New Roman"/>
            <w:color w:val="0000ff"/>
            <w:sz w:val="24"/>
            <w:szCs w:val="24"/>
            <w:u w:val="single"/>
            <w:rtl w:val="0"/>
          </w:rPr>
          <w:t xml:space="preserve">https://doi.org/10.3390/su13147946</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7">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Conger, S., 2012. Service Quality. In: </w:t>
      </w:r>
      <w:r w:rsidDel="00000000" w:rsidR="00000000" w:rsidRPr="00000000">
        <w:rPr>
          <w:rFonts w:ascii="Times New Roman" w:cs="Times New Roman" w:eastAsia="Times New Roman" w:hAnsi="Times New Roman"/>
          <w:i w:val="1"/>
          <w:sz w:val="24"/>
          <w:szCs w:val="24"/>
          <w:rtl w:val="0"/>
        </w:rPr>
        <w:t xml:space="preserve">Handbook of Research on E-Business Standards and Protocols</w:t>
      </w:r>
      <w:r w:rsidDel="00000000" w:rsidR="00000000" w:rsidRPr="00000000">
        <w:rPr>
          <w:rFonts w:ascii="Times New Roman" w:cs="Times New Roman" w:eastAsia="Times New Roman" w:hAnsi="Times New Roman"/>
          <w:sz w:val="24"/>
          <w:szCs w:val="24"/>
          <w:rtl w:val="0"/>
        </w:rPr>
        <w:t xml:space="preserve">, pp.537-566. Available at: </w:t>
      </w:r>
      <w:hyperlink r:id="rId10">
        <w:r w:rsidDel="00000000" w:rsidR="00000000" w:rsidRPr="00000000">
          <w:rPr>
            <w:rFonts w:ascii="Times New Roman" w:cs="Times New Roman" w:eastAsia="Times New Roman" w:hAnsi="Times New Roman"/>
            <w:color w:val="0000ff"/>
            <w:sz w:val="24"/>
            <w:szCs w:val="24"/>
            <w:u w:val="single"/>
            <w:rtl w:val="0"/>
          </w:rPr>
          <w:t xml:space="preserve">https://doi.org/10.4018/978-1-4666-0146-8.ch025</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8">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Dieffenbacher, S., 2023. Porter’s Generic Strategies: Cost Leadership, Differentiation and Focus. </w:t>
      </w:r>
      <w:r w:rsidDel="00000000" w:rsidR="00000000" w:rsidRPr="00000000">
        <w:rPr>
          <w:rFonts w:ascii="Times New Roman" w:cs="Times New Roman" w:eastAsia="Times New Roman" w:hAnsi="Times New Roman"/>
          <w:i w:val="1"/>
          <w:sz w:val="24"/>
          <w:szCs w:val="24"/>
          <w:rtl w:val="0"/>
        </w:rPr>
        <w:t xml:space="preserve">Digital Leadership</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color w:val="0000ff"/>
            <w:sz w:val="24"/>
            <w:szCs w:val="24"/>
            <w:u w:val="single"/>
            <w:rtl w:val="0"/>
          </w:rPr>
          <w:t xml:space="preserve">https://digitalleadership.com/blog/porters-generic-strategies/</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9">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Hemel, C. van den and Rademakers, M.F., 2016. Building Customer-centric Organizations: Shaping Factors and Barriers. </w:t>
      </w:r>
      <w:r w:rsidDel="00000000" w:rsidR="00000000" w:rsidRPr="00000000">
        <w:rPr>
          <w:rFonts w:ascii="Times New Roman" w:cs="Times New Roman" w:eastAsia="Times New Roman" w:hAnsi="Times New Roman"/>
          <w:i w:val="1"/>
          <w:sz w:val="24"/>
          <w:szCs w:val="24"/>
          <w:rtl w:val="0"/>
        </w:rPr>
        <w:t xml:space="preserve">Journal of Creating Value</w:t>
      </w:r>
      <w:r w:rsidDel="00000000" w:rsidR="00000000" w:rsidRPr="00000000">
        <w:rPr>
          <w:rFonts w:ascii="Times New Roman" w:cs="Times New Roman" w:eastAsia="Times New Roman" w:hAnsi="Times New Roman"/>
          <w:sz w:val="24"/>
          <w:szCs w:val="24"/>
          <w:rtl w:val="0"/>
        </w:rPr>
        <w:t xml:space="preserve">, 2(2), pp.211-230. Available at: </w:t>
      </w:r>
      <w:hyperlink r:id="rId12">
        <w:r w:rsidDel="00000000" w:rsidR="00000000" w:rsidRPr="00000000">
          <w:rPr>
            <w:rFonts w:ascii="Times New Roman" w:cs="Times New Roman" w:eastAsia="Times New Roman" w:hAnsi="Times New Roman"/>
            <w:color w:val="0000ff"/>
            <w:sz w:val="24"/>
            <w:szCs w:val="24"/>
            <w:u w:val="single"/>
            <w:rtl w:val="0"/>
          </w:rPr>
          <w:t xml:space="preserve">https://doi.org/10.1177/2394964316647822</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A">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Hung, V.V. et al., 2021. The Influence of Tourists’ Experience on Destination Loyalty: a Case Study of Hue City, Vietnam.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13(16), p.8889. Available at: </w:t>
      </w:r>
      <w:hyperlink r:id="rId13">
        <w:r w:rsidDel="00000000" w:rsidR="00000000" w:rsidRPr="00000000">
          <w:rPr>
            <w:rFonts w:ascii="Times New Roman" w:cs="Times New Roman" w:eastAsia="Times New Roman" w:hAnsi="Times New Roman"/>
            <w:color w:val="0000ff"/>
            <w:sz w:val="24"/>
            <w:szCs w:val="24"/>
            <w:u w:val="single"/>
            <w:rtl w:val="0"/>
          </w:rPr>
          <w:t xml:space="preserve">https://doi.org/10.3390/su13168889</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B">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ISO, 2018. ISO 14001:2015. </w:t>
      </w:r>
      <w:r w:rsidDel="00000000" w:rsidR="00000000" w:rsidRPr="00000000">
        <w:rPr>
          <w:rFonts w:ascii="Times New Roman" w:cs="Times New Roman" w:eastAsia="Times New Roman" w:hAnsi="Times New Roman"/>
          <w:i w:val="1"/>
          <w:sz w:val="24"/>
          <w:szCs w:val="24"/>
          <w:rtl w:val="0"/>
        </w:rPr>
        <w:t xml:space="preserve">ISO</w:t>
      </w:r>
      <w:r w:rsidDel="00000000" w:rsidR="00000000" w:rsidRPr="00000000">
        <w:rPr>
          <w:rFonts w:ascii="Times New Roman" w:cs="Times New Roman" w:eastAsia="Times New Roman" w:hAnsi="Times New Roman"/>
          <w:sz w:val="24"/>
          <w:szCs w:val="24"/>
          <w:rtl w:val="0"/>
        </w:rPr>
        <w:t xml:space="preserve">. Available at: </w:t>
      </w:r>
      <w:hyperlink r:id="rId14">
        <w:r w:rsidDel="00000000" w:rsidR="00000000" w:rsidRPr="00000000">
          <w:rPr>
            <w:rFonts w:ascii="Times New Roman" w:cs="Times New Roman" w:eastAsia="Times New Roman" w:hAnsi="Times New Roman"/>
            <w:color w:val="0000ff"/>
            <w:sz w:val="24"/>
            <w:szCs w:val="24"/>
            <w:u w:val="single"/>
            <w:rtl w:val="0"/>
          </w:rPr>
          <w:t xml:space="preserve">https://www.iso.org/standard/60857.html</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C">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Jobber, D. and Ellis-Chadwick, F., 2019. </w:t>
      </w:r>
      <w:r w:rsidDel="00000000" w:rsidR="00000000" w:rsidRPr="00000000">
        <w:rPr>
          <w:rFonts w:ascii="Times New Roman" w:cs="Times New Roman" w:eastAsia="Times New Roman" w:hAnsi="Times New Roman"/>
          <w:i w:val="1"/>
          <w:sz w:val="24"/>
          <w:szCs w:val="24"/>
          <w:rtl w:val="0"/>
        </w:rPr>
        <w:t xml:space="preserve">Principles and Practice of Marketing</w:t>
      </w:r>
      <w:r w:rsidDel="00000000" w:rsidR="00000000" w:rsidRPr="00000000">
        <w:rPr>
          <w:rFonts w:ascii="Times New Roman" w:cs="Times New Roman" w:eastAsia="Times New Roman" w:hAnsi="Times New Roman"/>
          <w:sz w:val="24"/>
          <w:szCs w:val="24"/>
          <w:rtl w:val="0"/>
        </w:rPr>
        <w:t xml:space="preserve">. 8th ed. Maidenhead: McGraw-Hill Higher Education.</w:t>
      </w:r>
    </w:p>
    <w:p w:rsidR="00000000" w:rsidDel="00000000" w:rsidP="00000000" w:rsidRDefault="00000000" w:rsidRPr="00000000" w14:paraId="0000006D">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Keinz, P. and Marhold, K., 2020. Technological Competence Leveraging Projects via Intermediaries: Viable Means to Outbound Open Innovation and Mediated Capability Building? </w:t>
      </w:r>
      <w:r w:rsidDel="00000000" w:rsidR="00000000" w:rsidRPr="00000000">
        <w:rPr>
          <w:rFonts w:ascii="Times New Roman" w:cs="Times New Roman" w:eastAsia="Times New Roman" w:hAnsi="Times New Roman"/>
          <w:i w:val="1"/>
          <w:sz w:val="24"/>
          <w:szCs w:val="24"/>
          <w:rtl w:val="0"/>
        </w:rPr>
        <w:t xml:space="preserve">International Journal of Project Management</w:t>
      </w:r>
      <w:r w:rsidDel="00000000" w:rsidR="00000000" w:rsidRPr="00000000">
        <w:rPr>
          <w:rFonts w:ascii="Times New Roman" w:cs="Times New Roman" w:eastAsia="Times New Roman" w:hAnsi="Times New Roman"/>
          <w:sz w:val="24"/>
          <w:szCs w:val="24"/>
          <w:rtl w:val="0"/>
        </w:rPr>
        <w:t xml:space="preserve">. Available at: </w:t>
      </w:r>
      <w:hyperlink r:id="rId15">
        <w:r w:rsidDel="00000000" w:rsidR="00000000" w:rsidRPr="00000000">
          <w:rPr>
            <w:rFonts w:ascii="Times New Roman" w:cs="Times New Roman" w:eastAsia="Times New Roman" w:hAnsi="Times New Roman"/>
            <w:color w:val="0000ff"/>
            <w:sz w:val="24"/>
            <w:szCs w:val="24"/>
            <w:u w:val="single"/>
            <w:rtl w:val="0"/>
          </w:rPr>
          <w:t xml:space="preserve">https://doi.org/10.1016/j.ijproman.2020.10.006</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E">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Kodua, A.A., 2019. The Resource-based View: A Tool of Key Competency for Competitive Advantage. </w:t>
      </w:r>
      <w:r w:rsidDel="00000000" w:rsidR="00000000" w:rsidRPr="00000000">
        <w:rPr>
          <w:rFonts w:ascii="Times New Roman" w:cs="Times New Roman" w:eastAsia="Times New Roman" w:hAnsi="Times New Roman"/>
          <w:i w:val="1"/>
          <w:sz w:val="24"/>
          <w:szCs w:val="24"/>
          <w:rtl w:val="0"/>
        </w:rPr>
        <w:t xml:space="preserve">Problems and Perspectives in Management</w:t>
      </w:r>
      <w:r w:rsidDel="00000000" w:rsidR="00000000" w:rsidRPr="00000000">
        <w:rPr>
          <w:rFonts w:ascii="Times New Roman" w:cs="Times New Roman" w:eastAsia="Times New Roman" w:hAnsi="Times New Roman"/>
          <w:sz w:val="24"/>
          <w:szCs w:val="24"/>
          <w:rtl w:val="0"/>
        </w:rPr>
        <w:t xml:space="preserve">, 17(3), pp.143-152. Available at: </w:t>
      </w:r>
      <w:hyperlink r:id="rId16">
        <w:r w:rsidDel="00000000" w:rsidR="00000000" w:rsidRPr="00000000">
          <w:rPr>
            <w:rFonts w:ascii="Times New Roman" w:cs="Times New Roman" w:eastAsia="Times New Roman" w:hAnsi="Times New Roman"/>
            <w:color w:val="0000ff"/>
            <w:sz w:val="24"/>
            <w:szCs w:val="24"/>
            <w:u w:val="single"/>
            <w:rtl w:val="0"/>
          </w:rPr>
          <w:t xml:space="preserve">https://doi.org/10.21511/ppm.17(3).2019.12</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6F">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Kupferschmidt, K., 2017. The Science of Persuasion. </w:t>
      </w:r>
      <w:r w:rsidDel="00000000" w:rsidR="00000000" w:rsidRPr="00000000">
        <w:rPr>
          <w:rFonts w:ascii="Times New Roman" w:cs="Times New Roman" w:eastAsia="Times New Roman" w:hAnsi="Times New Roman"/>
          <w:i w:val="1"/>
          <w:sz w:val="24"/>
          <w:szCs w:val="24"/>
          <w:rtl w:val="0"/>
        </w:rPr>
        <w:t xml:space="preserve">Science</w:t>
      </w:r>
      <w:r w:rsidDel="00000000" w:rsidR="00000000" w:rsidRPr="00000000">
        <w:rPr>
          <w:rFonts w:ascii="Times New Roman" w:cs="Times New Roman" w:eastAsia="Times New Roman" w:hAnsi="Times New Roman"/>
          <w:sz w:val="24"/>
          <w:szCs w:val="24"/>
          <w:rtl w:val="0"/>
        </w:rPr>
        <w:t xml:space="preserve">, 356(6336), pp.366-369. Available at: </w:t>
      </w:r>
      <w:hyperlink r:id="rId17">
        <w:r w:rsidDel="00000000" w:rsidR="00000000" w:rsidRPr="00000000">
          <w:rPr>
            <w:rFonts w:ascii="Times New Roman" w:cs="Times New Roman" w:eastAsia="Times New Roman" w:hAnsi="Times New Roman"/>
            <w:color w:val="0000ff"/>
            <w:sz w:val="24"/>
            <w:szCs w:val="24"/>
            <w:u w:val="single"/>
            <w:rtl w:val="0"/>
          </w:rPr>
          <w:t xml:space="preserve">https://doi.org/10.1126/science.356.6336.366</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0">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Mim, S. and Ferdous, M., 2021. Factors Influencing Customers Satisfaction in Hospitality Industry: Fine Dining Restaurants. Available at: </w:t>
      </w:r>
      <w:hyperlink r:id="rId18">
        <w:r w:rsidDel="00000000" w:rsidR="00000000" w:rsidRPr="00000000">
          <w:rPr>
            <w:rFonts w:ascii="Times New Roman" w:cs="Times New Roman" w:eastAsia="Times New Roman" w:hAnsi="Times New Roman"/>
            <w:color w:val="0000ff"/>
            <w:sz w:val="24"/>
            <w:szCs w:val="24"/>
            <w:u w:val="single"/>
            <w:rtl w:val="0"/>
          </w:rPr>
          <w:t xml:space="preserve">https://www.diva-portal.org/smash/get/diva2:1530554/FULLTEXT01.pdf</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1">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Morrison, A.M., 2018. </w:t>
      </w:r>
      <w:r w:rsidDel="00000000" w:rsidR="00000000" w:rsidRPr="00000000">
        <w:rPr>
          <w:rFonts w:ascii="Times New Roman" w:cs="Times New Roman" w:eastAsia="Times New Roman" w:hAnsi="Times New Roman"/>
          <w:i w:val="1"/>
          <w:sz w:val="24"/>
          <w:szCs w:val="24"/>
          <w:rtl w:val="0"/>
        </w:rPr>
        <w:t xml:space="preserve">Marketing and Managing Tourism Destinations</w:t>
      </w:r>
      <w:r w:rsidDel="00000000" w:rsidR="00000000" w:rsidRPr="00000000">
        <w:rPr>
          <w:rFonts w:ascii="Times New Roman" w:cs="Times New Roman" w:eastAsia="Times New Roman" w:hAnsi="Times New Roman"/>
          <w:sz w:val="24"/>
          <w:szCs w:val="24"/>
          <w:rtl w:val="0"/>
        </w:rPr>
        <w:t xml:space="preserve">. 2nd ed. New York: Routledge. Available at: </w:t>
      </w:r>
      <w:hyperlink r:id="rId19">
        <w:r w:rsidDel="00000000" w:rsidR="00000000" w:rsidRPr="00000000">
          <w:rPr>
            <w:rFonts w:ascii="Times New Roman" w:cs="Times New Roman" w:eastAsia="Times New Roman" w:hAnsi="Times New Roman"/>
            <w:color w:val="0000ff"/>
            <w:sz w:val="24"/>
            <w:szCs w:val="24"/>
            <w:u w:val="single"/>
            <w:rtl w:val="0"/>
          </w:rPr>
          <w:t xml:space="preserve">https://doi.org/10.4324/9781315178929</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2">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Obaideen, K. et al., 2022. The Role of Wastewater Treatment in Achieving Sustainable Development Goals (SDGs) and Sustainability Guideline. </w:t>
      </w:r>
      <w:r w:rsidDel="00000000" w:rsidR="00000000" w:rsidRPr="00000000">
        <w:rPr>
          <w:rFonts w:ascii="Times New Roman" w:cs="Times New Roman" w:eastAsia="Times New Roman" w:hAnsi="Times New Roman"/>
          <w:i w:val="1"/>
          <w:sz w:val="24"/>
          <w:szCs w:val="24"/>
          <w:rtl w:val="0"/>
        </w:rPr>
        <w:t xml:space="preserve">Energy Nexus</w:t>
      </w:r>
      <w:r w:rsidDel="00000000" w:rsidR="00000000" w:rsidRPr="00000000">
        <w:rPr>
          <w:rFonts w:ascii="Times New Roman" w:cs="Times New Roman" w:eastAsia="Times New Roman" w:hAnsi="Times New Roman"/>
          <w:sz w:val="24"/>
          <w:szCs w:val="24"/>
          <w:rtl w:val="0"/>
        </w:rPr>
        <w:t xml:space="preserve">, 7, p.100112. Available at: </w:t>
      </w:r>
      <w:hyperlink r:id="rId20">
        <w:r w:rsidDel="00000000" w:rsidR="00000000" w:rsidRPr="00000000">
          <w:rPr>
            <w:rFonts w:ascii="Times New Roman" w:cs="Times New Roman" w:eastAsia="Times New Roman" w:hAnsi="Times New Roman"/>
            <w:color w:val="0000ff"/>
            <w:sz w:val="24"/>
            <w:szCs w:val="24"/>
            <w:u w:val="single"/>
            <w:rtl w:val="0"/>
          </w:rPr>
          <w:t xml:space="preserve">https://doi.org/10.1016/j.nexus.2022.100112</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3">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Rafiq, M. et al., 2021. A Study on Balanced Scorecard and Its Impact on Sustainable Development of Renewable Energy Organizations; a Mediating Role of Political and Regulatory Institutions. </w:t>
      </w:r>
      <w:r w:rsidDel="00000000" w:rsidR="00000000" w:rsidRPr="00000000">
        <w:rPr>
          <w:rFonts w:ascii="Times New Roman" w:cs="Times New Roman" w:eastAsia="Times New Roman" w:hAnsi="Times New Roman"/>
          <w:i w:val="1"/>
          <w:sz w:val="24"/>
          <w:szCs w:val="24"/>
          <w:rtl w:val="0"/>
        </w:rPr>
        <w:t xml:space="preserve">Risks</w:t>
      </w:r>
      <w:r w:rsidDel="00000000" w:rsidR="00000000" w:rsidRPr="00000000">
        <w:rPr>
          <w:rFonts w:ascii="Times New Roman" w:cs="Times New Roman" w:eastAsia="Times New Roman" w:hAnsi="Times New Roman"/>
          <w:sz w:val="24"/>
          <w:szCs w:val="24"/>
          <w:rtl w:val="0"/>
        </w:rPr>
        <w:t xml:space="preserve">, 9(6), p.110. Available at: </w:t>
      </w:r>
      <w:hyperlink r:id="rId21">
        <w:r w:rsidDel="00000000" w:rsidR="00000000" w:rsidRPr="00000000">
          <w:rPr>
            <w:rFonts w:ascii="Times New Roman" w:cs="Times New Roman" w:eastAsia="Times New Roman" w:hAnsi="Times New Roman"/>
            <w:color w:val="0000ff"/>
            <w:sz w:val="24"/>
            <w:szCs w:val="24"/>
            <w:u w:val="single"/>
            <w:rtl w:val="0"/>
          </w:rPr>
          <w:t xml:space="preserve">https://doi.org/10.3390/risks9060110</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4">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Simon, H., 2015. </w:t>
      </w:r>
      <w:r w:rsidDel="00000000" w:rsidR="00000000" w:rsidRPr="00000000">
        <w:rPr>
          <w:rFonts w:ascii="Times New Roman" w:cs="Times New Roman" w:eastAsia="Times New Roman" w:hAnsi="Times New Roman"/>
          <w:i w:val="1"/>
          <w:sz w:val="24"/>
          <w:szCs w:val="24"/>
          <w:rtl w:val="0"/>
        </w:rPr>
        <w:t xml:space="preserve">Confessions of the Pricing Man: How Price Affects Everything</w:t>
      </w:r>
      <w:r w:rsidDel="00000000" w:rsidR="00000000" w:rsidRPr="00000000">
        <w:rPr>
          <w:rFonts w:ascii="Times New Roman" w:cs="Times New Roman" w:eastAsia="Times New Roman" w:hAnsi="Times New Roman"/>
          <w:sz w:val="24"/>
          <w:szCs w:val="24"/>
          <w:rtl w:val="0"/>
        </w:rPr>
        <w:t xml:space="preserve">. Cham: Springer International Publishing.</w:t>
      </w:r>
    </w:p>
    <w:p w:rsidR="00000000" w:rsidDel="00000000" w:rsidP="00000000" w:rsidRDefault="00000000" w:rsidRPr="00000000" w14:paraId="00000075">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Sinha, S. and Modak, N.M., 2021. A Systematic Review in recycling/reusing/re-manufacturing Supply Chain research: a Tertiary Study. </w:t>
      </w:r>
      <w:r w:rsidDel="00000000" w:rsidR="00000000" w:rsidRPr="00000000">
        <w:rPr>
          <w:rFonts w:ascii="Times New Roman" w:cs="Times New Roman" w:eastAsia="Times New Roman" w:hAnsi="Times New Roman"/>
          <w:i w:val="1"/>
          <w:sz w:val="24"/>
          <w:szCs w:val="24"/>
          <w:rtl w:val="0"/>
        </w:rPr>
        <w:t xml:space="preserve">International Journal of Sustainable Engineering</w:t>
      </w:r>
      <w:r w:rsidDel="00000000" w:rsidR="00000000" w:rsidRPr="00000000">
        <w:rPr>
          <w:rFonts w:ascii="Times New Roman" w:cs="Times New Roman" w:eastAsia="Times New Roman" w:hAnsi="Times New Roman"/>
          <w:sz w:val="24"/>
          <w:szCs w:val="24"/>
          <w:rtl w:val="0"/>
        </w:rPr>
        <w:t xml:space="preserve">, 14(6), pp.1411-1432. Available at: </w:t>
      </w:r>
      <w:hyperlink r:id="rId22">
        <w:r w:rsidDel="00000000" w:rsidR="00000000" w:rsidRPr="00000000">
          <w:rPr>
            <w:rFonts w:ascii="Times New Roman" w:cs="Times New Roman" w:eastAsia="Times New Roman" w:hAnsi="Times New Roman"/>
            <w:color w:val="0000ff"/>
            <w:sz w:val="24"/>
            <w:szCs w:val="24"/>
            <w:u w:val="single"/>
            <w:rtl w:val="0"/>
          </w:rPr>
          <w:t xml:space="preserve">https://doi.org/10.1080/19397038.2021.1986594</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6">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Siok, T.H., Sim, M.S., and Rahmat, N.H., 2023. Motivation to Learn Online: An Analysis From McClelland’s Theory of Needs. </w:t>
      </w:r>
      <w:r w:rsidDel="00000000" w:rsidR="00000000" w:rsidRPr="00000000">
        <w:rPr>
          <w:rFonts w:ascii="Times New Roman" w:cs="Times New Roman" w:eastAsia="Times New Roman" w:hAnsi="Times New Roman"/>
          <w:i w:val="1"/>
          <w:sz w:val="24"/>
          <w:szCs w:val="24"/>
          <w:rtl w:val="0"/>
        </w:rPr>
        <w:t xml:space="preserve">International Journal of Academic Research in Business and Social Sciences</w:t>
      </w:r>
      <w:r w:rsidDel="00000000" w:rsidR="00000000" w:rsidRPr="00000000">
        <w:rPr>
          <w:rFonts w:ascii="Times New Roman" w:cs="Times New Roman" w:eastAsia="Times New Roman" w:hAnsi="Times New Roman"/>
          <w:sz w:val="24"/>
          <w:szCs w:val="24"/>
          <w:rtl w:val="0"/>
        </w:rPr>
        <w:t xml:space="preserve">, 13(3). Available at: </w:t>
      </w:r>
      <w:hyperlink r:id="rId23">
        <w:r w:rsidDel="00000000" w:rsidR="00000000" w:rsidRPr="00000000">
          <w:rPr>
            <w:rFonts w:ascii="Times New Roman" w:cs="Times New Roman" w:eastAsia="Times New Roman" w:hAnsi="Times New Roman"/>
            <w:color w:val="0000ff"/>
            <w:sz w:val="24"/>
            <w:szCs w:val="24"/>
            <w:u w:val="single"/>
            <w:rtl w:val="0"/>
          </w:rPr>
          <w:t xml:space="preserve">https://doi.org/10.6007/ijarbss/v13-i3/16471</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7">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Spenceley, A., 2012. </w:t>
      </w:r>
      <w:r w:rsidDel="00000000" w:rsidR="00000000" w:rsidRPr="00000000">
        <w:rPr>
          <w:rFonts w:ascii="Times New Roman" w:cs="Times New Roman" w:eastAsia="Times New Roman" w:hAnsi="Times New Roman"/>
          <w:i w:val="1"/>
          <w:sz w:val="24"/>
          <w:szCs w:val="24"/>
          <w:rtl w:val="0"/>
        </w:rPr>
        <w:t xml:space="preserve">Responsible Tourism: Critical Issues for Conservation and Development</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078">
      <w:pPr>
        <w:numPr>
          <w:ilvl w:val="0"/>
          <w:numId w:val="1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Trebicka, B., Tartaraj, A. and Harizi, A., 2023. Analysing the Relationship between Pricing Strategy and Customer Retention in Hotels: A Study in Albania. </w:t>
      </w:r>
      <w:r w:rsidDel="00000000" w:rsidR="00000000" w:rsidRPr="00000000">
        <w:rPr>
          <w:rFonts w:ascii="Times New Roman" w:cs="Times New Roman" w:eastAsia="Times New Roman" w:hAnsi="Times New Roman"/>
          <w:i w:val="1"/>
          <w:sz w:val="24"/>
          <w:szCs w:val="24"/>
          <w:rtl w:val="0"/>
        </w:rPr>
        <w:t xml:space="preserve">F1000Research</w:t>
      </w:r>
      <w:r w:rsidDel="00000000" w:rsidR="00000000" w:rsidRPr="00000000">
        <w:rPr>
          <w:rFonts w:ascii="Times New Roman" w:cs="Times New Roman" w:eastAsia="Times New Roman" w:hAnsi="Times New Roman"/>
          <w:sz w:val="24"/>
          <w:szCs w:val="24"/>
          <w:rtl w:val="0"/>
        </w:rPr>
        <w:t xml:space="preserve">, 12, pp.690-690. Available at: </w:t>
      </w:r>
      <w:hyperlink r:id="rId24">
        <w:r w:rsidDel="00000000" w:rsidR="00000000" w:rsidRPr="00000000">
          <w:rPr>
            <w:rFonts w:ascii="Times New Roman" w:cs="Times New Roman" w:eastAsia="Times New Roman" w:hAnsi="Times New Roman"/>
            <w:color w:val="0000ff"/>
            <w:sz w:val="24"/>
            <w:szCs w:val="24"/>
            <w:u w:val="single"/>
            <w:rtl w:val="0"/>
          </w:rPr>
          <w:t xml:space="preserve">https://doi.org/10.12688/f1000research.132723.1</w:t>
        </w:r>
      </w:hyperlink>
      <w:r w:rsidDel="00000000" w:rsidR="00000000" w:rsidRPr="00000000">
        <w:rPr>
          <w:rFonts w:ascii="Times New Roman" w:cs="Times New Roman" w:eastAsia="Times New Roman" w:hAnsi="Times New Roman"/>
          <w:sz w:val="24"/>
          <w:szCs w:val="24"/>
          <w:rtl w:val="0"/>
        </w:rPr>
        <w:t xml:space="preserve"> [Accessed 18 April 2024].</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Appendices:</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Business Model Canvas for GreenVista Retreat</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6210935" cy="4244340"/>
            <wp:effectExtent b="0" l="0" r="0" t="0"/>
            <wp:docPr descr="A diagram of a company&#10;&#10;Description automatically generated" id="869429490" name="image4.jpg"/>
            <a:graphic>
              <a:graphicData uri="http://schemas.openxmlformats.org/drawingml/2006/picture">
                <pic:pic>
                  <pic:nvPicPr>
                    <pic:cNvPr descr="A diagram of a company&#10;&#10;Description automatically generated" id="0" name="image4.jpg"/>
                    <pic:cNvPicPr preferRelativeResize="0"/>
                  </pic:nvPicPr>
                  <pic:blipFill>
                    <a:blip r:embed="rId25"/>
                    <a:srcRect b="0" l="0" r="0" t="0"/>
                    <a:stretch>
                      <a:fillRect/>
                    </a:stretch>
                  </pic:blipFill>
                  <pic:spPr>
                    <a:xfrm>
                      <a:off x="0" y="0"/>
                      <a:ext cx="6210935" cy="424434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6210935" cy="3296285"/>
            <wp:effectExtent b="0" l="0" r="0" t="0"/>
            <wp:docPr descr="A table of information&#10;&#10;Description automatically generated with medium confidence" id="869429489" name="image1.png"/>
            <a:graphic>
              <a:graphicData uri="http://schemas.openxmlformats.org/drawingml/2006/picture">
                <pic:pic>
                  <pic:nvPicPr>
                    <pic:cNvPr descr="A table of information&#10;&#10;Description automatically generated with medium confidence" id="0" name="image1.png"/>
                    <pic:cNvPicPr preferRelativeResize="0"/>
                  </pic:nvPicPr>
                  <pic:blipFill>
                    <a:blip r:embed="rId26"/>
                    <a:srcRect b="0" l="0" r="0" t="0"/>
                    <a:stretch>
                      <a:fillRect/>
                    </a:stretch>
                  </pic:blipFill>
                  <pic:spPr>
                    <a:xfrm>
                      <a:off x="0" y="0"/>
                      <a:ext cx="6210935" cy="3296285"/>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Personal Entrepreneurial Traits Assessment Chart:</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838321" cy="4278772"/>
            <wp:effectExtent b="0" l="0" r="0" t="0"/>
            <wp:docPr descr="A screenshot of a computer&#10;&#10;Description automatically generated" id="869429491" name="image2.jpg"/>
            <a:graphic>
              <a:graphicData uri="http://schemas.openxmlformats.org/drawingml/2006/picture">
                <pic:pic>
                  <pic:nvPicPr>
                    <pic:cNvPr descr="A screenshot of a computer&#10;&#10;Description automatically generated" id="0" name="image2.jpg"/>
                    <pic:cNvPicPr preferRelativeResize="0"/>
                  </pic:nvPicPr>
                  <pic:blipFill>
                    <a:blip r:embed="rId27"/>
                    <a:srcRect b="0" l="0" r="0" t="0"/>
                    <a:stretch>
                      <a:fillRect/>
                    </a:stretch>
                  </pic:blipFill>
                  <pic:spPr>
                    <a:xfrm>
                      <a:off x="0" y="0"/>
                      <a:ext cx="4838321" cy="4278772"/>
                    </a:xfrm>
                    <a:prstGeom prst="rect"/>
                    <a:ln/>
                  </pic:spPr>
                </pic:pic>
              </a:graphicData>
            </a:graphic>
          </wp:inline>
        </w:drawing>
      </w:r>
      <w:r w:rsidDel="00000000" w:rsidR="00000000" w:rsidRPr="00000000">
        <w:rPr>
          <w:rtl w:val="0"/>
        </w:rPr>
      </w:r>
    </w:p>
    <w:sectPr>
      <w:footerReference r:id="rId28" w:type="default"/>
      <w:pgSz w:h="16838" w:w="11906" w:orient="portrait"/>
      <w:pgMar w:bottom="1134" w:top="1134" w:left="1134" w:right="991"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A44EED"/>
    <w:rPr>
      <w:color w:val="0000ff" w:themeColor="hyperlink"/>
      <w:u w:val="single"/>
    </w:rPr>
  </w:style>
  <w:style w:type="character" w:styleId="UnresolvedMention">
    <w:name w:val="Unresolved Mention"/>
    <w:basedOn w:val="DefaultParagraphFont"/>
    <w:uiPriority w:val="99"/>
    <w:semiHidden w:val="1"/>
    <w:unhideWhenUsed w:val="1"/>
    <w:rsid w:val="008D51B1"/>
    <w:rPr>
      <w:color w:val="605e5c"/>
      <w:shd w:color="auto" w:fill="e1dfdd" w:val="clear"/>
    </w:rPr>
  </w:style>
  <w:style w:type="paragraph" w:styleId="ListParagraph">
    <w:name w:val="List Paragraph"/>
    <w:basedOn w:val="Normal"/>
    <w:uiPriority w:val="34"/>
    <w:qFormat w:val="1"/>
    <w:rsid w:val="008D51B1"/>
    <w:pPr>
      <w:ind w:left="720"/>
      <w:contextualSpacing w:val="1"/>
    </w:pPr>
  </w:style>
  <w:style w:type="table" w:styleId="ListTable4-Accent1">
    <w:name w:val="List Table 4 Accent 1"/>
    <w:basedOn w:val="TableNormal"/>
    <w:uiPriority w:val="49"/>
    <w:rsid w:val="00724361"/>
    <w:pPr>
      <w:spacing w:after="0" w:line="240" w:lineRule="auto"/>
    </w:pPr>
    <w:tblPr>
      <w:tblStyleRowBandSize w:val="1"/>
      <w:tblStyleColBandSize w:val="1"/>
      <w:tblBorders>
        <w:top w:color="95b3d7" w:space="0" w:sz="4" w:themeColor="accent1" w:themeTint="000099" w:val="single"/>
        <w:left w:color="95b3d7" w:space="0" w:sz="4" w:themeColor="accent1" w:themeTint="000099" w:val="single"/>
        <w:bottom w:color="95b3d7" w:space="0" w:sz="4" w:themeColor="accent1" w:themeTint="000099" w:val="single"/>
        <w:right w:color="95b3d7" w:space="0" w:sz="4" w:themeColor="accent1" w:themeTint="000099" w:val="single"/>
        <w:insideH w:color="95b3d7" w:space="0" w:sz="4" w:themeColor="accent1" w:themeTint="000099" w:val="single"/>
      </w:tblBorders>
    </w:tblPr>
    <w:tblStylePr w:type="firstRow">
      <w:rPr>
        <w:b w:val="1"/>
        <w:bCs w:val="1"/>
        <w:color w:val="ffffff" w:themeColor="background1"/>
      </w:rPr>
      <w:tblPr/>
      <w:tcPr>
        <w:tcBorders>
          <w:top w:color="4f81bd" w:space="0" w:sz="4" w:themeColor="accent1" w:val="single"/>
          <w:left w:color="4f81bd" w:space="0" w:sz="4" w:themeColor="accent1" w:val="single"/>
          <w:bottom w:color="4f81bd" w:space="0" w:sz="4" w:themeColor="accent1" w:val="single"/>
          <w:right w:color="4f81bd" w:space="0" w:sz="4" w:themeColor="accent1" w:val="single"/>
          <w:insideH w:space="0" w:sz="0" w:val="nil"/>
        </w:tcBorders>
        <w:shd w:color="auto" w:fill="4f81bd" w:themeFill="accent1" w:val="clear"/>
      </w:tcPr>
    </w:tblStylePr>
    <w:tblStylePr w:type="lastRow">
      <w:rPr>
        <w:b w:val="1"/>
        <w:bCs w:val="1"/>
      </w:rPr>
      <w:tblPr/>
      <w:tcPr>
        <w:tcBorders>
          <w:top w:color="95b3d7" w:space="0" w:sz="4" w:themeColor="accent1" w:themeTint="000099" w:val="double"/>
        </w:tcBorders>
      </w:tcPr>
    </w:tblStylePr>
    <w:tblStylePr w:type="firstCol">
      <w:rPr>
        <w:b w:val="1"/>
        <w:bCs w:val="1"/>
      </w:rPr>
    </w:tblStylePr>
    <w:tblStylePr w:type="lastCol">
      <w:rPr>
        <w:b w:val="1"/>
        <w:bCs w:val="1"/>
      </w:rPr>
    </w:tblStylePr>
    <w:tblStylePr w:type="band1Vert">
      <w:tblPr/>
      <w:tcPr>
        <w:shd w:color="auto" w:fill="dbe5f1" w:themeFill="accent1" w:themeFillTint="000033" w:val="clear"/>
      </w:tcPr>
    </w:tblStylePr>
    <w:tblStylePr w:type="band1Horz">
      <w:tblPr/>
      <w:tcPr>
        <w:shd w:color="auto" w:fill="dbe5f1" w:themeFill="accent1" w:themeFillTint="000033" w:val="clear"/>
      </w:tcPr>
    </w:tblStylePr>
  </w:style>
  <w:style w:type="paragraph" w:styleId="Header">
    <w:name w:val="header"/>
    <w:basedOn w:val="Normal"/>
    <w:link w:val="HeaderChar"/>
    <w:uiPriority w:val="99"/>
    <w:unhideWhenUsed w:val="1"/>
    <w:rsid w:val="00724361"/>
    <w:pPr>
      <w:tabs>
        <w:tab w:val="center" w:pos="4513"/>
        <w:tab w:val="right" w:pos="9026"/>
      </w:tabs>
      <w:spacing w:after="0" w:line="240" w:lineRule="auto"/>
    </w:pPr>
  </w:style>
  <w:style w:type="character" w:styleId="HeaderChar" w:customStyle="1">
    <w:name w:val="Header Char"/>
    <w:basedOn w:val="DefaultParagraphFont"/>
    <w:link w:val="Header"/>
    <w:uiPriority w:val="99"/>
    <w:rsid w:val="00724361"/>
  </w:style>
  <w:style w:type="paragraph" w:styleId="Footer">
    <w:name w:val="footer"/>
    <w:basedOn w:val="Normal"/>
    <w:link w:val="FooterChar"/>
    <w:uiPriority w:val="99"/>
    <w:unhideWhenUsed w:val="1"/>
    <w:rsid w:val="00724361"/>
    <w:pPr>
      <w:tabs>
        <w:tab w:val="center" w:pos="4513"/>
        <w:tab w:val="right" w:pos="9026"/>
      </w:tabs>
      <w:spacing w:after="0" w:line="240" w:lineRule="auto"/>
    </w:pPr>
  </w:style>
  <w:style w:type="character" w:styleId="FooterChar" w:customStyle="1">
    <w:name w:val="Footer Char"/>
    <w:basedOn w:val="DefaultParagraphFont"/>
    <w:link w:val="Footer"/>
    <w:uiPriority w:val="99"/>
    <w:rsid w:val="00724361"/>
  </w:style>
  <w:style w:type="paragraph" w:styleId="NoSpacing">
    <w:name w:val="No Spacing"/>
    <w:link w:val="NoSpacingChar"/>
    <w:uiPriority w:val="1"/>
    <w:qFormat w:val="1"/>
    <w:rsid w:val="00724361"/>
    <w:pPr>
      <w:spacing w:after="0" w:line="240" w:lineRule="auto"/>
    </w:pPr>
    <w:rPr>
      <w:rFonts w:eastAsiaTheme="minorEastAsia"/>
      <w:lang w:eastAsia="en-GB" w:val="en-GB"/>
    </w:rPr>
  </w:style>
  <w:style w:type="character" w:styleId="NoSpacingChar" w:customStyle="1">
    <w:name w:val="No Spacing Char"/>
    <w:basedOn w:val="DefaultParagraphFont"/>
    <w:link w:val="NoSpacing"/>
    <w:uiPriority w:val="1"/>
    <w:rsid w:val="00724361"/>
    <w:rPr>
      <w:rFonts w:eastAsiaTheme="minorEastAsia"/>
      <w:lang w:eastAsia="en-GB" w:val="en-GB"/>
    </w:rPr>
  </w:style>
  <w:style w:type="paragraph" w:styleId="IntenseQuote">
    <w:name w:val="Intense Quote"/>
    <w:basedOn w:val="Normal"/>
    <w:next w:val="Normal"/>
    <w:link w:val="IntenseQuoteChar"/>
    <w:uiPriority w:val="30"/>
    <w:qFormat w:val="1"/>
    <w:rsid w:val="00724361"/>
    <w:pPr>
      <w:pBdr>
        <w:top w:color="4f81bd" w:space="10" w:sz="4" w:themeColor="accent1" w:val="single"/>
        <w:bottom w:color="4f81bd" w:space="10" w:sz="4" w:themeColor="accent1" w:val="single"/>
      </w:pBdr>
      <w:spacing w:after="360" w:before="360" w:line="259" w:lineRule="auto"/>
      <w:ind w:left="864" w:right="864"/>
      <w:jc w:val="center"/>
    </w:pPr>
    <w:rPr>
      <w:i w:val="1"/>
      <w:iCs w:val="1"/>
      <w:color w:val="4f81bd" w:themeColor="accent1"/>
      <w:lang w:val="en-GB"/>
    </w:rPr>
  </w:style>
  <w:style w:type="character" w:styleId="IntenseQuoteChar" w:customStyle="1">
    <w:name w:val="Intense Quote Char"/>
    <w:basedOn w:val="DefaultParagraphFont"/>
    <w:link w:val="IntenseQuote"/>
    <w:uiPriority w:val="30"/>
    <w:rsid w:val="00724361"/>
    <w:rPr>
      <w:i w:val="1"/>
      <w:iCs w:val="1"/>
      <w:color w:val="4f81bd" w:themeColor="accent1"/>
      <w:lang w:val="en-GB"/>
    </w:rPr>
  </w:style>
  <w:style w:type="character" w:styleId="IntenseReference">
    <w:name w:val="Intense Reference"/>
    <w:basedOn w:val="DefaultParagraphFont"/>
    <w:uiPriority w:val="32"/>
    <w:qFormat w:val="1"/>
    <w:rsid w:val="00724361"/>
    <w:rPr>
      <w:b w:val="1"/>
      <w:bCs w:val="1"/>
      <w:smallCaps w:val="1"/>
      <w:color w:val="4f81bd" w:themeColor="accent1"/>
      <w:spacing w:val="5"/>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rPr>
        <w:b w:val="1"/>
      </w:rPr>
    </w:tblStylePr>
    <w:tblStylePr w:type="firstRow">
      <w:rPr>
        <w:b w:val="1"/>
        <w:color w:val="ffffff"/>
      </w:rPr>
      <w:tcPr>
        <w:tcBorders>
          <w:top w:color="4f81bd" w:space="0" w:sz="4" w:val="single"/>
          <w:left w:color="4f81bd" w:space="0" w:sz="4" w:val="single"/>
          <w:bottom w:color="4f81bd" w:space="0" w:sz="4" w:val="single"/>
          <w:right w:color="4f81bd" w:space="0" w:sz="4" w:val="single"/>
          <w:insideH w:color="000000" w:space="0" w:sz="0" w:val="nil"/>
        </w:tcBorders>
        <w:shd w:fill="4f81bd" w:val="clear"/>
      </w:tcPr>
    </w:tblStylePr>
    <w:tblStylePr w:type="lastCol">
      <w:rPr>
        <w:b w:val="1"/>
      </w:rPr>
    </w:tblStylePr>
    <w:tblStylePr w:type="lastRow">
      <w:rPr>
        <w:b w:val="1"/>
      </w:rPr>
      <w:tcPr>
        <w:tcBorders>
          <w:top w:color="95b3d7" w:space="0" w:sz="4" w:val="single"/>
        </w:tcBorders>
      </w:tcPr>
    </w:tblStyle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rPr>
        <w:b w:val="1"/>
      </w:rPr>
    </w:tblStylePr>
    <w:tblStylePr w:type="firstRow">
      <w:rPr>
        <w:b w:val="1"/>
        <w:color w:val="ffffff"/>
      </w:rPr>
      <w:tcPr>
        <w:tcBorders>
          <w:top w:color="4f81bd" w:space="0" w:sz="4" w:val="single"/>
          <w:left w:color="4f81bd" w:space="0" w:sz="4" w:val="single"/>
          <w:bottom w:color="4f81bd" w:space="0" w:sz="4" w:val="single"/>
          <w:right w:color="4f81bd" w:space="0" w:sz="4" w:val="single"/>
          <w:insideH w:color="000000" w:space="0" w:sz="0" w:val="nil"/>
        </w:tcBorders>
        <w:shd w:fill="4f81bd" w:val="clear"/>
      </w:tcPr>
    </w:tblStylePr>
    <w:tblStylePr w:type="lastCol">
      <w:rPr>
        <w:b w:val="1"/>
      </w:rPr>
    </w:tblStylePr>
    <w:tblStylePr w:type="lastRow">
      <w:rPr>
        <w:b w:val="1"/>
      </w:rPr>
      <w:tcPr>
        <w:tcBorders>
          <w:top w:color="95b3d7"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16/j.nexus.2022.100112" TargetMode="External"/><Relationship Id="rId22" Type="http://schemas.openxmlformats.org/officeDocument/2006/relationships/hyperlink" Target="https://doi.org/10.1080/19397038.2021.1986594" TargetMode="External"/><Relationship Id="rId21" Type="http://schemas.openxmlformats.org/officeDocument/2006/relationships/hyperlink" Target="https://doi.org/10.3390/risks9060110" TargetMode="External"/><Relationship Id="rId24" Type="http://schemas.openxmlformats.org/officeDocument/2006/relationships/hyperlink" Target="https://doi.org/10.12688/f1000research.132723.1" TargetMode="External"/><Relationship Id="rId23" Type="http://schemas.openxmlformats.org/officeDocument/2006/relationships/hyperlink" Target="https://doi.org/10.6007/ijarbss/v13-i3/1647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90/su13147946" TargetMode="External"/><Relationship Id="rId26" Type="http://schemas.openxmlformats.org/officeDocument/2006/relationships/image" Target="media/image1.png"/><Relationship Id="rId25" Type="http://schemas.openxmlformats.org/officeDocument/2006/relationships/image" Target="media/image4.jpg"/><Relationship Id="rId28" Type="http://schemas.openxmlformats.org/officeDocument/2006/relationships/footer" Target="footer1.xml"/><Relationship Id="rId27"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hyperlink" Target="https://doi.org/10.1016/j.tourman.2008.01.005" TargetMode="External"/><Relationship Id="rId11" Type="http://schemas.openxmlformats.org/officeDocument/2006/relationships/hyperlink" Target="https://digitalleadership.com/blog/porters-generic-strategies/" TargetMode="External"/><Relationship Id="rId10" Type="http://schemas.openxmlformats.org/officeDocument/2006/relationships/hyperlink" Target="https://doi.org/10.4018/978-1-4666-0146-8.ch025" TargetMode="External"/><Relationship Id="rId13" Type="http://schemas.openxmlformats.org/officeDocument/2006/relationships/hyperlink" Target="https://doi.org/10.3390/su13168889" TargetMode="External"/><Relationship Id="rId12" Type="http://schemas.openxmlformats.org/officeDocument/2006/relationships/hyperlink" Target="https://doi.org/10.1177/2394964316647822" TargetMode="External"/><Relationship Id="rId15" Type="http://schemas.openxmlformats.org/officeDocument/2006/relationships/hyperlink" Target="https://doi.org/10.1016/j.ijproman.2020.10.006" TargetMode="External"/><Relationship Id="rId14" Type="http://schemas.openxmlformats.org/officeDocument/2006/relationships/hyperlink" Target="https://www.iso.org/standard/60857.html" TargetMode="External"/><Relationship Id="rId17" Type="http://schemas.openxmlformats.org/officeDocument/2006/relationships/hyperlink" Target="https://doi.org/10.1126/science.356.6336.366" TargetMode="External"/><Relationship Id="rId16" Type="http://schemas.openxmlformats.org/officeDocument/2006/relationships/hyperlink" Target="https://doi.org/10.21511/ppm.17(3).2019.12" TargetMode="External"/><Relationship Id="rId19" Type="http://schemas.openxmlformats.org/officeDocument/2006/relationships/hyperlink" Target="https://doi.org/10.4324/9781315178929" TargetMode="External"/><Relationship Id="rId18" Type="http://schemas.openxmlformats.org/officeDocument/2006/relationships/hyperlink" Target="https://www.diva-portal.org/smash/get/diva2:1530554/FULLTEXT01.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RoFWC8UZzlrSDax+96AQ+BO7zw==">CgMxLjAyCGguZ2pkZ3hzOAByITEtUkFGMlNPV0JIal84YjB3dG5XRmNpRmJ4SUNHX05pTQ==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2024-04-18T13:16:00Z</dcterms:created>
  <dc:creator>ASUS</dc:creator>
</cp:coreProperties>
</file>