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E33C01" w14:textId="597ADA49" w:rsidR="006F40CC" w:rsidRPr="000A0F9B" w:rsidRDefault="00E7036E">
      <w:pPr>
        <w:rPr>
          <w:b/>
          <w:u w:val="single"/>
        </w:rPr>
      </w:pPr>
      <w:bookmarkStart w:id="0" w:name="_Hlk532654303"/>
      <w:r w:rsidRPr="000A0F9B">
        <w:rPr>
          <w:b/>
          <w:u w:val="single"/>
        </w:rPr>
        <w:t xml:space="preserve">Source Description of M. Szonyi, </w:t>
      </w:r>
      <w:r w:rsidRPr="000A0F9B">
        <w:rPr>
          <w:b/>
          <w:i/>
          <w:u w:val="single"/>
        </w:rPr>
        <w:t>The Art of Being Governed: Everyday Politics in Late Imperial China</w:t>
      </w:r>
      <w:r w:rsidRPr="000A0F9B">
        <w:rPr>
          <w:b/>
          <w:u w:val="single"/>
        </w:rPr>
        <w:t xml:space="preserve">, (Princeton: Princeton University Press, 2017)  </w:t>
      </w:r>
    </w:p>
    <w:bookmarkEnd w:id="0"/>
    <w:p w14:paraId="5914FC6F" w14:textId="305AB0E4" w:rsidR="00352F2C" w:rsidRDefault="00E7036E">
      <w:r>
        <w:t xml:space="preserve">The book as written is a primary source looking at the lives of ordinary people in Late Imperial </w:t>
      </w:r>
      <w:r>
        <w:t>China. Specifically how politics of the state affected everyday life for the common polity. From the outset the piece is written as a military history, looking at how the military system and conscription of the Ming Dynasty shaped society</w:t>
      </w:r>
      <w:r>
        <w:rPr>
          <w:rStyle w:val="FootnoteReference"/>
        </w:rPr>
        <w:footnoteReference w:id="1"/>
      </w:r>
      <w:r>
        <w:t>. However, this t</w:t>
      </w:r>
      <w:r>
        <w:t>hen branches out into other aspects of politics as it is the military system that defines how the ordinary people get involved with politics.</w:t>
      </w:r>
    </w:p>
    <w:p w14:paraId="129D17D4" w14:textId="3D1DC056" w:rsidR="00352F2C" w:rsidRDefault="00E7036E">
      <w:r>
        <w:t>In the first couple of chapters, Szonyi justifies his reasoning for writing from the perspective of a military his</w:t>
      </w:r>
      <w:r>
        <w:t>torian</w:t>
      </w:r>
      <w:r>
        <w:rPr>
          <w:rStyle w:val="FootnoteReference"/>
        </w:rPr>
        <w:footnoteReference w:id="2"/>
      </w:r>
      <w:r>
        <w:t xml:space="preserve">. His aim is not to write a book on the politics of war; </w:t>
      </w:r>
      <w:r w:rsidR="000A0F9B">
        <w:t>r</w:t>
      </w:r>
      <w:r>
        <w:t>ather the point is to show the involvement in politics does not have to be direct</w:t>
      </w:r>
      <w:r>
        <w:rPr>
          <w:rStyle w:val="FootnoteReference"/>
        </w:rPr>
        <w:footnoteReference w:id="3"/>
      </w:r>
      <w:r>
        <w:t xml:space="preserve">. He uses the paradigm of the military to show the conscription of regular townsfolk in the provinces was an </w:t>
      </w:r>
      <w:r>
        <w:t>extension of state politics, without direct involvement f</w:t>
      </w:r>
      <w:r w:rsidR="00DB0321">
        <w:t>rom the perspective</w:t>
      </w:r>
      <w:r>
        <w:t xml:space="preserve"> the populace</w:t>
      </w:r>
      <w:r>
        <w:rPr>
          <w:rStyle w:val="FootnoteReference"/>
        </w:rPr>
        <w:footnoteReference w:id="4"/>
      </w:r>
      <w:r>
        <w:t xml:space="preserve">. He reminds the reader that in China under the Ming only the Emperor </w:t>
      </w:r>
      <w:r w:rsidR="009B0A8F">
        <w:t>ruled and defined politics</w:t>
      </w:r>
      <w:r w:rsidR="000A0F9B">
        <w:t>, e</w:t>
      </w:r>
      <w:r w:rsidR="009B0A8F">
        <w:t>veryone at least considering their subjects were pawned at his disposal</w:t>
      </w:r>
      <w:r>
        <w:rPr>
          <w:rStyle w:val="FootnoteReference"/>
        </w:rPr>
        <w:footnoteReference w:id="5"/>
      </w:r>
      <w:r w:rsidR="009B0A8F">
        <w:t xml:space="preserve">. </w:t>
      </w:r>
    </w:p>
    <w:p w14:paraId="3078C713" w14:textId="3954D7A2" w:rsidR="009B0A8F" w:rsidRDefault="00E7036E">
      <w:r>
        <w:t>It</w:t>
      </w:r>
      <w:r w:rsidR="00C07A13">
        <w:t xml:space="preserve"> is</w:t>
      </w:r>
      <w:r>
        <w:t xml:space="preserve"> greatly extended by the continued exploration of how the family maintained a man within the familial unit for the Imperial Army. Through this construct as a deeper meaning, the effects on the family and creation of a system that enticed men to s</w:t>
      </w:r>
      <w:r>
        <w:t>tay in the army without complaint as they are conscripts</w:t>
      </w:r>
      <w:r>
        <w:rPr>
          <w:rStyle w:val="FootnoteReference"/>
        </w:rPr>
        <w:footnoteReference w:id="6"/>
      </w:r>
      <w:r>
        <w:t>. Furthermore, while analysing coastal communities, Szonyi informs the reader of how such men and their families used their position as military families to bend the laws that governed China</w:t>
      </w:r>
      <w:r>
        <w:rPr>
          <w:rStyle w:val="FootnoteReference"/>
        </w:rPr>
        <w:footnoteReference w:id="7"/>
      </w:r>
      <w:r>
        <w:t>. He use</w:t>
      </w:r>
      <w:r>
        <w:t>s the case of the Chinese Navy, how officers and sailors worked within the rule of law to get away with piracy. It is not just about being governed, but how to play everyday politics, to play the system</w:t>
      </w:r>
      <w:r>
        <w:rPr>
          <w:rStyle w:val="FootnoteReference"/>
        </w:rPr>
        <w:footnoteReference w:id="8"/>
      </w:r>
      <w:r>
        <w:t xml:space="preserve">. </w:t>
      </w:r>
    </w:p>
    <w:p w14:paraId="7A6FDF28" w14:textId="3E49EB44" w:rsidR="009B0A8F" w:rsidRDefault="00E7036E">
      <w:r>
        <w:t>In effect, the book itself shows how families adap</w:t>
      </w:r>
      <w:r>
        <w:t>ted to the politics of the Ming Dynasty, but also how they manipulated i</w:t>
      </w:r>
      <w:r w:rsidR="00DB0321">
        <w:t>t</w:t>
      </w:r>
      <w:r>
        <w:t xml:space="preserve"> to reap the advantages of their positions</w:t>
      </w:r>
      <w:r w:rsidR="00DB0321">
        <w:t xml:space="preserve">, to play the game. The difficulty, however, is there </w:t>
      </w:r>
      <w:r w:rsidR="00DC4FFF">
        <w:t>appearing</w:t>
      </w:r>
      <w:r w:rsidR="00DB0321">
        <w:t xml:space="preserve"> to be an </w:t>
      </w:r>
      <w:r w:rsidR="00DC4FFF">
        <w:t>understanding that the reader must at least a grasp of the concepts that are explored by the author. Although he does go to some lengths to explain Ming history and other ideas, the jargon used may be above a reader who knows nothing of the military establishment of China. Although it would depend on who the reader is.</w:t>
      </w:r>
    </w:p>
    <w:p w14:paraId="34D3748F" w14:textId="78B24A66" w:rsidR="0016433A" w:rsidRDefault="00E7036E">
      <w:r>
        <w:t>Bib</w:t>
      </w:r>
      <w:r>
        <w:t xml:space="preserve">liography: </w:t>
      </w:r>
    </w:p>
    <w:p w14:paraId="0A7CE3A8" w14:textId="77777777" w:rsidR="0016433A" w:rsidRPr="0016433A" w:rsidRDefault="00E7036E" w:rsidP="0016433A">
      <w:r w:rsidRPr="0016433A">
        <w:t xml:space="preserve">Source Description of M. Szonyi, </w:t>
      </w:r>
      <w:r w:rsidRPr="0016433A">
        <w:rPr>
          <w:i/>
        </w:rPr>
        <w:t>The Art of Being Governed: Everyday Politics in Late Imperial China</w:t>
      </w:r>
      <w:r w:rsidRPr="0016433A">
        <w:t xml:space="preserve">, (Princeton: Princeton University Press, 2017)  </w:t>
      </w:r>
    </w:p>
    <w:p w14:paraId="6ADD1DFE" w14:textId="77777777" w:rsidR="0016433A" w:rsidRDefault="0016433A">
      <w:bookmarkStart w:id="1" w:name="_GoBack"/>
      <w:bookmarkEnd w:id="1"/>
    </w:p>
    <w:sectPr w:rsidR="0016433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B778C1" w14:textId="77777777" w:rsidR="00E7036E" w:rsidRDefault="00E7036E">
      <w:pPr>
        <w:spacing w:after="0" w:line="240" w:lineRule="auto"/>
      </w:pPr>
      <w:r>
        <w:separator/>
      </w:r>
    </w:p>
  </w:endnote>
  <w:endnote w:type="continuationSeparator" w:id="0">
    <w:p w14:paraId="76829A4C" w14:textId="77777777" w:rsidR="00E7036E" w:rsidRDefault="00E70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91221E" w14:textId="77777777" w:rsidR="00E7036E" w:rsidRDefault="00E7036E" w:rsidP="00DC4FFF">
      <w:pPr>
        <w:spacing w:after="0" w:line="240" w:lineRule="auto"/>
      </w:pPr>
      <w:r>
        <w:separator/>
      </w:r>
    </w:p>
  </w:footnote>
  <w:footnote w:type="continuationSeparator" w:id="0">
    <w:p w14:paraId="4C37FDFB" w14:textId="77777777" w:rsidR="00E7036E" w:rsidRDefault="00E7036E" w:rsidP="00DC4FFF">
      <w:pPr>
        <w:spacing w:after="0" w:line="240" w:lineRule="auto"/>
      </w:pPr>
      <w:r>
        <w:continuationSeparator/>
      </w:r>
    </w:p>
  </w:footnote>
  <w:footnote w:id="1">
    <w:p w14:paraId="2240F006" w14:textId="13ACB40F" w:rsidR="000A0F9B" w:rsidRDefault="00E7036E" w:rsidP="000A0F9B">
      <w:r>
        <w:rPr>
          <w:rStyle w:val="FootnoteReference"/>
        </w:rPr>
        <w:footnoteRef/>
      </w:r>
      <w:r>
        <w:t xml:space="preserve"> </w:t>
      </w:r>
      <w:r w:rsidRPr="000A0F9B">
        <w:rPr>
          <w:sz w:val="20"/>
          <w:szCs w:val="20"/>
        </w:rPr>
        <w:t xml:space="preserve">Source Description of M. Szonyi, </w:t>
      </w:r>
      <w:r w:rsidRPr="000A0F9B">
        <w:rPr>
          <w:i/>
          <w:sz w:val="20"/>
          <w:szCs w:val="20"/>
        </w:rPr>
        <w:t>The Art of Being Governed: Everyday Politics in Late Imperial China</w:t>
      </w:r>
      <w:r w:rsidRPr="000A0F9B">
        <w:rPr>
          <w:sz w:val="20"/>
          <w:szCs w:val="20"/>
        </w:rPr>
        <w:t>, (Princeton: Princeton University Press, 2017), p. 12.</w:t>
      </w:r>
    </w:p>
  </w:footnote>
  <w:footnote w:id="2">
    <w:p w14:paraId="5B902663" w14:textId="6A2C7BA7" w:rsidR="000A0F9B" w:rsidRDefault="00E7036E">
      <w:pPr>
        <w:pStyle w:val="FootnoteText"/>
      </w:pPr>
      <w:r>
        <w:rPr>
          <w:rStyle w:val="FootnoteReference"/>
        </w:rPr>
        <w:footnoteRef/>
      </w:r>
      <w:r>
        <w:t xml:space="preserve"> Ibid., p. 14. </w:t>
      </w:r>
    </w:p>
  </w:footnote>
  <w:footnote w:id="3">
    <w:p w14:paraId="2F0F5C51" w14:textId="1DC21F83" w:rsidR="000A0F9B" w:rsidRDefault="00E7036E">
      <w:pPr>
        <w:pStyle w:val="FootnoteText"/>
      </w:pPr>
      <w:r>
        <w:rPr>
          <w:rStyle w:val="FootnoteReference"/>
        </w:rPr>
        <w:footnoteRef/>
      </w:r>
      <w:r>
        <w:t xml:space="preserve"> Ibid., p. 18. </w:t>
      </w:r>
    </w:p>
  </w:footnote>
  <w:footnote w:id="4">
    <w:p w14:paraId="1684FEA1" w14:textId="552057E6" w:rsidR="000A0F9B" w:rsidRDefault="00E7036E">
      <w:pPr>
        <w:pStyle w:val="FootnoteText"/>
      </w:pPr>
      <w:r>
        <w:rPr>
          <w:rStyle w:val="FootnoteReference"/>
        </w:rPr>
        <w:footnoteRef/>
      </w:r>
      <w:r>
        <w:t xml:space="preserve"> Ibid., p. 14. </w:t>
      </w:r>
    </w:p>
  </w:footnote>
  <w:footnote w:id="5">
    <w:p w14:paraId="3968719E" w14:textId="2292C9AC" w:rsidR="000A0F9B" w:rsidRDefault="00E7036E">
      <w:pPr>
        <w:pStyle w:val="FootnoteText"/>
      </w:pPr>
      <w:r>
        <w:rPr>
          <w:rStyle w:val="FootnoteReference"/>
        </w:rPr>
        <w:footnoteRef/>
      </w:r>
      <w:r>
        <w:t xml:space="preserve"> Ibid., p. 24. </w:t>
      </w:r>
    </w:p>
  </w:footnote>
  <w:footnote w:id="6">
    <w:p w14:paraId="2B97F494" w14:textId="61F5CB45" w:rsidR="000A0F9B" w:rsidRDefault="00E7036E">
      <w:pPr>
        <w:pStyle w:val="FootnoteText"/>
      </w:pPr>
      <w:r>
        <w:rPr>
          <w:rStyle w:val="FootnoteReference"/>
        </w:rPr>
        <w:footnoteRef/>
      </w:r>
      <w:r>
        <w:t xml:space="preserve"> Ibid., p. 45. </w:t>
      </w:r>
    </w:p>
  </w:footnote>
  <w:footnote w:id="7">
    <w:p w14:paraId="3D8B3B6E" w14:textId="7DCCC955" w:rsidR="000A0F9B" w:rsidRDefault="00E7036E">
      <w:pPr>
        <w:pStyle w:val="FootnoteText"/>
      </w:pPr>
      <w:r>
        <w:rPr>
          <w:rStyle w:val="FootnoteReference"/>
        </w:rPr>
        <w:footnoteRef/>
      </w:r>
      <w:r>
        <w:t xml:space="preserve"> Ibid., p. 45. </w:t>
      </w:r>
    </w:p>
  </w:footnote>
  <w:footnote w:id="8">
    <w:p w14:paraId="33EE2E2C" w14:textId="5FFD9E21" w:rsidR="000A0F9B" w:rsidRDefault="00E7036E">
      <w:pPr>
        <w:pStyle w:val="FootnoteText"/>
      </w:pPr>
      <w:r>
        <w:rPr>
          <w:rStyle w:val="FootnoteReference"/>
        </w:rPr>
        <w:footnoteRef/>
      </w:r>
      <w:r>
        <w:t xml:space="preserve"> Ibid., p. 78.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E67C1" w14:textId="0BD53749" w:rsidR="00DC4FFF" w:rsidRDefault="00E7036E">
    <w:pPr>
      <w:pStyle w:val="Header"/>
    </w:pPr>
    <w:r>
      <w:t xml:space="preserve">Henry Gillson – Gant   1600129                 Source Evaluation 1               </w:t>
    </w:r>
    <w:r>
      <w:t xml:space="preserve">                Word Count: 433</w:t>
    </w:r>
  </w:p>
  <w:p w14:paraId="702B1F73" w14:textId="77777777" w:rsidR="00DC4FFF" w:rsidRDefault="00DC4FF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F2C"/>
    <w:rsid w:val="00015126"/>
    <w:rsid w:val="000A0F9B"/>
    <w:rsid w:val="0016433A"/>
    <w:rsid w:val="002D25E8"/>
    <w:rsid w:val="00352F2C"/>
    <w:rsid w:val="003B12A1"/>
    <w:rsid w:val="00665275"/>
    <w:rsid w:val="006912D0"/>
    <w:rsid w:val="006C7569"/>
    <w:rsid w:val="006F40CC"/>
    <w:rsid w:val="007E79AB"/>
    <w:rsid w:val="00962A6F"/>
    <w:rsid w:val="009B0A8F"/>
    <w:rsid w:val="009C7238"/>
    <w:rsid w:val="00C07A13"/>
    <w:rsid w:val="00D55E59"/>
    <w:rsid w:val="00DB0321"/>
    <w:rsid w:val="00DC4FFF"/>
    <w:rsid w:val="00E273B6"/>
    <w:rsid w:val="00E7036E"/>
    <w:rsid w:val="00EA1210"/>
    <w:rsid w:val="00F30D8F"/>
    <w:rsid w:val="00FC4E08"/>
    <w:rsid w:val="00FD5D9B"/>
    <w:rsid w:val="00FE4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48B16A"/>
  <w15:chartTrackingRefBased/>
  <w15:docId w15:val="{D452D8DF-6D06-440D-8FA1-E6F4906B0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4F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4FFF"/>
  </w:style>
  <w:style w:type="paragraph" w:styleId="Footer">
    <w:name w:val="footer"/>
    <w:basedOn w:val="Normal"/>
    <w:link w:val="FooterChar"/>
    <w:uiPriority w:val="99"/>
    <w:unhideWhenUsed/>
    <w:rsid w:val="00DC4F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4FFF"/>
  </w:style>
  <w:style w:type="paragraph" w:styleId="FootnoteText">
    <w:name w:val="footnote text"/>
    <w:basedOn w:val="Normal"/>
    <w:link w:val="FootnoteTextChar"/>
    <w:uiPriority w:val="99"/>
    <w:semiHidden/>
    <w:unhideWhenUsed/>
    <w:rsid w:val="000A0F9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A0F9B"/>
    <w:rPr>
      <w:sz w:val="20"/>
      <w:szCs w:val="20"/>
    </w:rPr>
  </w:style>
  <w:style w:type="character" w:styleId="FootnoteReference">
    <w:name w:val="footnote reference"/>
    <w:basedOn w:val="DefaultParagraphFont"/>
    <w:uiPriority w:val="99"/>
    <w:semiHidden/>
    <w:unhideWhenUsed/>
    <w:rsid w:val="000A0F9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505CDC-9433-4EF6-96A6-21305DA2B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405</Words>
  <Characters>2312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Henry Gillson-Gant</dc:creator>
  <cp:lastModifiedBy>Henry Gillson-Gant</cp:lastModifiedBy>
  <cp:revision>2</cp:revision>
  <dcterms:created xsi:type="dcterms:W3CDTF">2018-12-15T21:38:00Z</dcterms:created>
  <dcterms:modified xsi:type="dcterms:W3CDTF">2018-12-15T21:38:00Z</dcterms:modified>
</cp:coreProperties>
</file>