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Default Extension="fntdata" ContentType="application/x-fontdata"/>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_rels/document.xml.rels" ContentType="application/vnd.openxmlformats-package.relationships+xml"/>
  <Override PartName="/word/footer2.xml" ContentType="application/vnd.openxmlformats-officedocument.wordprocessingml.footer+xml"/>
  <Override PartName="/word/styles.xml" ContentType="application/vnd.openxmlformats-officedocument.wordprocessingml.styles+xml"/>
  <Override PartName="/word/footer3.xml" ContentType="application/vnd.openxmlformats-officedocument.wordprocessingml.footer+xml"/>
  <Override PartName="/word/footer1.xml" ContentType="application/vnd.openxmlformats-officedocument.wordprocessingml.footer+xml"/>
  <Override PartName="/word/settings.xml" ContentType="application/vnd.openxmlformats-officedocument.wordprocessingml.settings+xml"/>
  <Override PartName="/word/media/image1.png" ContentType="image/png"/>
  <Override PartName="/word/media/image2.jpeg" ContentType="image/jpeg"/>
  <Override PartName="/word/media/image3.png" ContentType="image/png"/>
  <Override PartName="/word/fontTable.xml" ContentType="application/vnd.openxmlformats-officedocument.wordprocessingml.fontTable+xml"/>
  <Override PartName="/word/theme/theme1.xml" ContentType="application/vnd.openxmlformats-officedocument.theme+xml"/>
  <Override PartName="/customXml/item1.xml" ContentType="application/xml"/>
  <Override PartName="/customXml/_rels/item1.xml.rels" ContentType="application/vnd.openxmlformats-package.relationships+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before="120" w:after="120"/>
        <w:jc w:val="center"/>
        <w:rPr>
          <w:rFonts w:ascii="Arial" w:hAnsi="Arial" w:cs="Arial"/>
        </w:rPr>
      </w:pPr>
      <w:r>
        <w:rPr/>
        <w:drawing>
          <wp:inline distT="0" distB="0" distL="0" distR="0">
            <wp:extent cx="3578860" cy="1144905"/>
            <wp:effectExtent l="0" t="0" r="0" b="0"/>
            <wp:docPr id="1"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CVO | Sandwell Council of Voluntary Organisations."/>
                    <pic:cNvPicPr>
                      <a:picLocks noChangeAspect="1" noChangeArrowheads="1"/>
                    </pic:cNvPicPr>
                  </pic:nvPicPr>
                  <pic:blipFill>
                    <a:blip r:embed="rId2"/>
                    <a:stretch>
                      <a:fillRect/>
                    </a:stretch>
                  </pic:blipFill>
                  <pic:spPr bwMode="auto">
                    <a:xfrm>
                      <a:off x="0" y="0"/>
                      <a:ext cx="3578860" cy="1144905"/>
                    </a:xfrm>
                    <a:prstGeom prst="rect">
                      <a:avLst/>
                    </a:prstGeom>
                    <a:noFill/>
                  </pic:spPr>
                </pic:pic>
              </a:graphicData>
            </a:graphic>
          </wp:inline>
        </w:drawing>
      </w:r>
    </w:p>
    <w:p>
      <w:pPr>
        <w:pStyle w:val="Normal"/>
        <w:spacing w:before="120" w:after="120"/>
        <w:rPr>
          <w:rFonts w:ascii="Arial" w:hAnsi="Arial" w:cs="Arial"/>
        </w:rPr>
      </w:pPr>
      <w:r>
        <w:rPr>
          <w:rFonts w:cs="Arial" w:ascii="Arial" w:hAnsi="Arial"/>
        </w:rPr>
      </w:r>
    </w:p>
    <w:p>
      <w:pPr>
        <w:pStyle w:val="Normal"/>
        <w:spacing w:before="120" w:after="120"/>
        <w:ind w:start="720" w:end="1229"/>
        <w:jc w:val="center"/>
        <w:rPr>
          <w:rFonts w:ascii="Arial" w:hAnsi="Arial" w:cs="Arial"/>
          <w:sz w:val="28"/>
          <w:szCs w:val="28"/>
        </w:rPr>
      </w:pPr>
      <w:r>
        <w:rPr>
          <w:rFonts w:cs="Arial" w:ascii="Arial" w:hAnsi="Arial"/>
          <w:sz w:val="28"/>
          <w:szCs w:val="28"/>
        </w:rPr>
        <w:t>Institute of Inner-City Learning, Birmingham Campus</w:t>
      </w:r>
    </w:p>
    <w:p>
      <w:pPr>
        <w:pStyle w:val="Normal"/>
        <w:spacing w:before="120" w:after="120"/>
        <w:ind w:start="720" w:end="1229"/>
        <w:jc w:val="center"/>
        <w:rPr>
          <w:rFonts w:ascii="Arial" w:hAnsi="Arial" w:cs="Arial"/>
          <w:sz w:val="28"/>
          <w:szCs w:val="28"/>
        </w:rPr>
      </w:pPr>
      <w:r>
        <w:rPr>
          <w:rFonts w:cs="Arial" w:ascii="Arial" w:hAnsi="Arial"/>
          <w:sz w:val="28"/>
          <w:szCs w:val="28"/>
        </w:rPr>
        <w:t>BSc (Hons) Health and Social Care</w:t>
      </w:r>
    </w:p>
    <w:p>
      <w:pPr>
        <w:pStyle w:val="Normal"/>
        <w:spacing w:before="120" w:after="120"/>
        <w:jc w:val="center"/>
        <w:rPr>
          <w:rFonts w:ascii="Arial" w:hAnsi="Arial" w:eastAsia="Arial Unicode MS" w:cs="Arial"/>
          <w:bCs/>
          <w:szCs w:val="10"/>
        </w:rPr>
      </w:pPr>
      <w:r>
        <w:rPr>
          <w:rFonts w:eastAsia="Arial Unicode MS" w:cs="Arial" w:ascii="Arial" w:hAnsi="Arial"/>
          <w:bCs/>
          <w:szCs w:val="10"/>
        </w:rPr>
        <w:t>My project title: Work-Related Stress and Its Effects on Mental Health and Retention of Staff in Health and Social Care Settings</w:t>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s>
        <w:spacing w:before="120" w:after="120"/>
        <w:jc w:val="center"/>
        <w:rPr>
          <w:rFonts w:ascii="Arial" w:hAnsi="Arial" w:eastAsia="Arial Unicode MS" w:cs="Arial"/>
          <w:b/>
          <w:sz w:val="34"/>
          <w:szCs w:val="18"/>
        </w:rPr>
      </w:pPr>
      <w:r>
        <w:rPr>
          <w:rFonts w:eastAsia="Arial Unicode MS" w:cs="Arial" w:ascii="Arial" w:hAnsi="Arial"/>
          <w:b/>
          <w:sz w:val="34"/>
          <w:szCs w:val="18"/>
        </w:rPr>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s>
        <w:spacing w:before="120" w:after="120"/>
        <w:jc w:val="center"/>
        <w:rPr>
          <w:rFonts w:ascii="Arial" w:hAnsi="Arial" w:eastAsia="Arial Unicode MS" w:cs="Arial"/>
          <w:b/>
          <w:sz w:val="34"/>
          <w:szCs w:val="18"/>
        </w:rPr>
      </w:pPr>
      <w:r>
        <w:rPr>
          <w:rFonts w:eastAsia="Arial Unicode MS" w:cs="Arial" w:ascii="Arial" w:hAnsi="Arial"/>
          <w:b/>
          <w:sz w:val="34"/>
          <w:szCs w:val="18"/>
        </w:rPr>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s>
        <w:spacing w:before="120" w:after="120"/>
        <w:jc w:val="center"/>
        <w:rPr>
          <w:rFonts w:ascii="Arial" w:hAnsi="Arial" w:eastAsia="Arial Unicode MS" w:cs="Arial"/>
          <w:b/>
          <w:sz w:val="34"/>
          <w:szCs w:val="18"/>
        </w:rPr>
      </w:pPr>
      <w:r>
        <w:rPr>
          <w:rFonts w:eastAsia="Arial Unicode MS" w:cs="Arial" w:ascii="Arial" w:hAnsi="Arial"/>
          <w:b/>
          <w:sz w:val="34"/>
          <w:szCs w:val="18"/>
        </w:rPr>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s>
        <w:spacing w:before="120" w:after="120"/>
        <w:rPr>
          <w:rFonts w:ascii="Arial" w:hAnsi="Arial" w:eastAsia="Arial Unicode MS" w:cs="Arial"/>
          <w:b/>
          <w:sz w:val="34"/>
          <w:szCs w:val="18"/>
        </w:rPr>
      </w:pPr>
      <w:r>
        <w:rPr>
          <w:rFonts w:eastAsia="Arial Unicode MS" w:cs="Arial" w:ascii="Arial" w:hAnsi="Arial"/>
          <w:b/>
          <w:sz w:val="34"/>
          <w:szCs w:val="18"/>
        </w:rPr>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s>
        <w:spacing w:before="120" w:after="120"/>
        <w:jc w:val="center"/>
        <w:rPr>
          <w:rFonts w:ascii="Arial" w:hAnsi="Arial" w:eastAsia="Arial Unicode MS" w:cs="Arial"/>
          <w:b/>
          <w:sz w:val="34"/>
          <w:szCs w:val="18"/>
        </w:rPr>
      </w:pPr>
      <w:r>
        <w:rPr>
          <w:rFonts w:eastAsia="Arial Unicode MS" w:cs="Arial" w:ascii="Arial" w:hAnsi="Arial"/>
          <w:b/>
          <w:sz w:val="34"/>
          <w:szCs w:val="18"/>
        </w:rPr>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s>
        <w:spacing w:before="120" w:after="120"/>
        <w:jc w:val="center"/>
        <w:rPr>
          <w:rFonts w:ascii="Arial" w:hAnsi="Arial" w:eastAsia="Arial Unicode MS" w:cs="Arial"/>
          <w:b/>
          <w:sz w:val="34"/>
          <w:szCs w:val="18"/>
        </w:rPr>
      </w:pPr>
      <w:r>
        <w:rPr>
          <w:rFonts w:eastAsia="Arial Unicode MS" w:cs="Arial" w:ascii="Arial" w:hAnsi="Arial"/>
          <w:b/>
          <w:sz w:val="34"/>
          <w:szCs w:val="18"/>
        </w:rPr>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s>
        <w:spacing w:before="120" w:after="120"/>
        <w:rPr>
          <w:rFonts w:ascii="Arial" w:hAnsi="Arial" w:eastAsia="Arial Unicode MS" w:cs="Arial"/>
          <w:b/>
          <w:sz w:val="34"/>
          <w:szCs w:val="18"/>
        </w:rPr>
      </w:pPr>
      <w:r>
        <w:rPr>
          <w:rFonts w:eastAsia="Arial Unicode MS" w:cs="Arial" w:ascii="Arial" w:hAnsi="Arial"/>
          <w:b/>
          <w:sz w:val="34"/>
          <w:szCs w:val="18"/>
        </w:rPr>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s>
        <w:spacing w:before="120" w:after="120"/>
        <w:rPr>
          <w:rFonts w:ascii="Arial" w:hAnsi="Arial" w:eastAsia="Arial Unicode MS" w:cs="Arial"/>
          <w:b/>
          <w:sz w:val="34"/>
          <w:szCs w:val="18"/>
        </w:rPr>
      </w:pPr>
      <w:r>
        <w:rPr>
          <w:rFonts w:eastAsia="Arial Unicode MS" w:cs="Arial" w:ascii="Arial" w:hAnsi="Arial"/>
          <w:b/>
          <w:sz w:val="34"/>
          <w:szCs w:val="18"/>
        </w:rPr>
        <w:t>Student Name: Joyrul Haque</w:t>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s>
        <w:spacing w:before="120" w:after="120"/>
        <w:rPr>
          <w:rFonts w:ascii="Arial" w:hAnsi="Arial" w:eastAsia="Arial Unicode MS" w:cs="Arial"/>
          <w:b/>
          <w:sz w:val="32"/>
          <w:szCs w:val="32"/>
        </w:rPr>
      </w:pPr>
      <w:r>
        <w:rPr>
          <w:rFonts w:eastAsia="Arial Unicode MS" w:cs="Arial" w:ascii="Arial" w:hAnsi="Arial"/>
          <w:b/>
          <w:sz w:val="32"/>
          <w:szCs w:val="32"/>
        </w:rPr>
        <w:t xml:space="preserve">Student ID: </w:t>
      </w:r>
      <w:r>
        <w:rPr>
          <w:rFonts w:eastAsia="Arial Unicode MS" w:cs="Arial" w:ascii="Arial" w:hAnsi="Arial"/>
          <w:b/>
          <w:sz w:val="32"/>
          <w:szCs w:val="32"/>
        </w:rPr>
        <w:t>2131666</w:t>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s>
        <w:spacing w:before="120" w:after="120"/>
        <w:rPr>
          <w:rFonts w:ascii="Arial" w:hAnsi="Arial" w:eastAsia="Arial Unicode MS" w:cs="Arial"/>
          <w:b/>
          <w:sz w:val="32"/>
          <w:szCs w:val="32"/>
        </w:rPr>
      </w:pPr>
      <w:r>
        <w:rPr>
          <w:rFonts w:eastAsia="Arial Unicode MS" w:cs="Arial" w:ascii="Arial" w:hAnsi="Arial"/>
          <w:b/>
          <w:sz w:val="32"/>
          <w:szCs w:val="32"/>
        </w:rPr>
        <w:t>Lecturer Name: Chloe Harries</w:t>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s>
        <w:spacing w:before="120" w:after="120"/>
        <w:rPr>
          <w:rFonts w:ascii="Arial" w:hAnsi="Arial" w:eastAsia="Arial Unicode MS" w:cs="Arial"/>
          <w:b/>
          <w:sz w:val="24"/>
          <w:szCs w:val="24"/>
        </w:rPr>
      </w:pPr>
      <w:r>
        <w:rPr>
          <w:rFonts w:eastAsia="Arial Unicode MS" w:cs="Arial" w:ascii="Arial" w:hAnsi="Arial"/>
          <w:b/>
          <w:sz w:val="24"/>
          <w:szCs w:val="24"/>
        </w:rPr>
      </w:r>
    </w:p>
    <w:p>
      <w:pPr>
        <w:pStyle w:val="Normal"/>
        <w:spacing w:before="120" w:after="120"/>
        <w:jc w:val="start"/>
        <w:rPr>
          <w:rFonts w:ascii="Arial" w:hAnsi="Arial" w:eastAsia="Arial Unicode MS" w:cs="Arial"/>
          <w:b/>
          <w:sz w:val="24"/>
          <w:szCs w:val="24"/>
        </w:rPr>
      </w:pPr>
      <w:r>
        <w:rPr>
          <w:rFonts w:eastAsia="Arial Unicode MS" w:cs="Arial" w:ascii="Arial" w:hAnsi="Arial"/>
          <w:b/>
          <w:sz w:val="24"/>
          <w:szCs w:val="24"/>
        </w:rPr>
      </w:r>
    </w:p>
    <w:sdt>
      <w:sdtPr>
        <w:docPartObj>
          <w:docPartGallery w:val="Table of Contents"/>
          <w:docPartUnique w:val="true"/>
        </w:docPartObj>
      </w:sdtPr>
      <w:sdtContent>
        <w:p>
          <w:pPr>
            <w:pStyle w:val="TOCHeading"/>
            <w:spacing w:lineRule="auto" w:line="360" w:before="0" w:after="0"/>
            <w:rPr>
              <w:rFonts w:ascii="Arial" w:hAnsi="Arial" w:cs="Arial"/>
            </w:rPr>
          </w:pPr>
          <w:r>
            <w:br w:type="page"/>
          </w:r>
          <w:r>
            <w:rPr>
              <w:rFonts w:cs="Arial" w:ascii="Arial" w:hAnsi="Arial"/>
            </w:rPr>
            <w:t>Table of Contents</w:t>
          </w:r>
        </w:p>
        <w:p>
          <w:pPr>
            <w:pStyle w:val="TOC1"/>
            <w:tabs>
              <w:tab w:val="clear" w:pos="720"/>
              <w:tab w:val="right" w:pos="9016" w:leader="dot"/>
            </w:tabs>
            <w:rPr>
              <w:rFonts w:ascii="Arial" w:hAnsi="Arial" w:cs="Arial"/>
              <w:kern w:val="0"/>
            </w:rPr>
          </w:pPr>
          <w:r>
            <w:fldChar w:fldCharType="begin"/>
          </w:r>
          <w:r>
            <w:rPr>
              <w:webHidden/>
              <w:rStyle w:val="IndexLink"/>
              <w:rFonts w:cs="Arial" w:ascii="Arial" w:hAnsi="Arial"/>
              <w:lang w:bidi="en-GB"/>
            </w:rPr>
            <w:instrText xml:space="preserve"> TOC \z \o "1-3" \u \h</w:instrText>
          </w:r>
          <w:r>
            <w:rPr>
              <w:webHidden/>
              <w:rStyle w:val="IndexLink"/>
              <w:rFonts w:cs="Arial" w:ascii="Arial" w:hAnsi="Arial"/>
              <w:lang w:bidi="en-GB"/>
            </w:rPr>
            <w:fldChar w:fldCharType="separate"/>
          </w:r>
          <w:hyperlink w:anchor="_Toc204096831">
            <w:r>
              <w:rPr>
                <w:webHidden/>
                <w:rStyle w:val="IndexLink"/>
                <w:rFonts w:cs="Arial" w:ascii="Arial" w:hAnsi="Arial"/>
                <w:lang w:bidi="en-GB"/>
              </w:rPr>
              <w:t>CHAPTER 3 – Methods and Search Strategy</w:t>
            </w:r>
            <w:r>
              <w:rPr>
                <w:webHidden/>
              </w:rPr>
              <w:fldChar w:fldCharType="begin"/>
            </w:r>
            <w:r>
              <w:rPr>
                <w:webHidden/>
              </w:rPr>
              <w:instrText xml:space="preserve">PAGEREF _Toc204096831 \h</w:instrText>
            </w:r>
            <w:r>
              <w:rPr>
                <w:webHidden/>
              </w:rPr>
              <w:fldChar w:fldCharType="separate"/>
            </w:r>
            <w:r>
              <w:rPr>
                <w:rStyle w:val="IndexLink"/>
                <w:rFonts w:cs="Arial" w:ascii="Arial" w:hAnsi="Arial"/>
                <w:vanish w:val="false"/>
              </w:rPr>
              <w:tab/>
              <w:t>3</w:t>
            </w:r>
            <w:r>
              <w:rPr>
                <w:webHidden/>
              </w:rPr>
              <w:fldChar w:fldCharType="end"/>
            </w:r>
          </w:hyperlink>
        </w:p>
        <w:p>
          <w:pPr>
            <w:pStyle w:val="TOC2"/>
            <w:tabs>
              <w:tab w:val="clear" w:pos="720"/>
              <w:tab w:val="right" w:pos="9016" w:leader="dot"/>
            </w:tabs>
            <w:rPr>
              <w:rFonts w:ascii="Arial" w:hAnsi="Arial" w:cs="Arial"/>
              <w:kern w:val="0"/>
            </w:rPr>
          </w:pPr>
          <w:hyperlink w:anchor="_Toc204096832">
            <w:r>
              <w:rPr>
                <w:webHidden/>
                <w:rStyle w:val="IndexLink"/>
                <w:rFonts w:cs="Arial" w:ascii="Arial" w:hAnsi="Arial"/>
              </w:rPr>
              <w:t>3.1 Introduction</w:t>
            </w:r>
            <w:r>
              <w:rPr>
                <w:webHidden/>
              </w:rPr>
              <w:fldChar w:fldCharType="begin"/>
            </w:r>
            <w:r>
              <w:rPr>
                <w:webHidden/>
              </w:rPr>
              <w:instrText xml:space="preserve">PAGEREF _Toc204096832 \h</w:instrText>
            </w:r>
            <w:r>
              <w:rPr>
                <w:webHidden/>
              </w:rPr>
              <w:fldChar w:fldCharType="separate"/>
            </w:r>
            <w:r>
              <w:rPr>
                <w:rStyle w:val="IndexLink"/>
                <w:rFonts w:cs="Arial" w:ascii="Arial" w:hAnsi="Arial"/>
                <w:vanish w:val="false"/>
              </w:rPr>
              <w:tab/>
              <w:t>3</w:t>
            </w:r>
            <w:r>
              <w:rPr>
                <w:webHidden/>
              </w:rPr>
              <w:fldChar w:fldCharType="end"/>
            </w:r>
          </w:hyperlink>
        </w:p>
        <w:p>
          <w:pPr>
            <w:pStyle w:val="TOC2"/>
            <w:tabs>
              <w:tab w:val="clear" w:pos="720"/>
              <w:tab w:val="right" w:pos="9016" w:leader="dot"/>
            </w:tabs>
            <w:rPr>
              <w:rFonts w:ascii="Arial" w:hAnsi="Arial" w:cs="Arial"/>
              <w:kern w:val="0"/>
            </w:rPr>
          </w:pPr>
          <w:hyperlink w:anchor="_Toc204096833">
            <w:r>
              <w:rPr>
                <w:webHidden/>
                <w:rStyle w:val="IndexLink"/>
                <w:rFonts w:cs="Arial" w:ascii="Arial" w:hAnsi="Arial"/>
              </w:rPr>
              <w:t>3.2 Search Strategy</w:t>
            </w:r>
            <w:r>
              <w:rPr>
                <w:webHidden/>
              </w:rPr>
              <w:fldChar w:fldCharType="begin"/>
            </w:r>
            <w:r>
              <w:rPr>
                <w:webHidden/>
              </w:rPr>
              <w:instrText xml:space="preserve">PAGEREF _Toc204096833 \h</w:instrText>
            </w:r>
            <w:r>
              <w:rPr>
                <w:webHidden/>
              </w:rPr>
              <w:fldChar w:fldCharType="separate"/>
            </w:r>
            <w:r>
              <w:rPr>
                <w:rStyle w:val="IndexLink"/>
                <w:rFonts w:cs="Arial" w:ascii="Arial" w:hAnsi="Arial"/>
                <w:vanish w:val="false"/>
              </w:rPr>
              <w:tab/>
              <w:t>3</w:t>
            </w:r>
            <w:r>
              <w:rPr>
                <w:webHidden/>
              </w:rPr>
              <w:fldChar w:fldCharType="end"/>
            </w:r>
          </w:hyperlink>
        </w:p>
        <w:p>
          <w:pPr>
            <w:pStyle w:val="TOC2"/>
            <w:tabs>
              <w:tab w:val="clear" w:pos="720"/>
              <w:tab w:val="right" w:pos="9016" w:leader="dot"/>
            </w:tabs>
            <w:rPr>
              <w:rFonts w:ascii="Arial" w:hAnsi="Arial" w:cs="Arial"/>
              <w:kern w:val="0"/>
            </w:rPr>
          </w:pPr>
          <w:hyperlink w:anchor="_Toc204096834">
            <w:r>
              <w:rPr>
                <w:webHidden/>
                <w:rStyle w:val="IndexLink"/>
                <w:rFonts w:cs="Arial" w:ascii="Arial" w:hAnsi="Arial"/>
              </w:rPr>
              <w:t>3.3 Searching for Information</w:t>
            </w:r>
            <w:r>
              <w:rPr>
                <w:webHidden/>
              </w:rPr>
              <w:fldChar w:fldCharType="begin"/>
            </w:r>
            <w:r>
              <w:rPr>
                <w:webHidden/>
              </w:rPr>
              <w:instrText xml:space="preserve">PAGEREF _Toc204096834 \h</w:instrText>
            </w:r>
            <w:r>
              <w:rPr>
                <w:webHidden/>
              </w:rPr>
              <w:fldChar w:fldCharType="separate"/>
            </w:r>
            <w:r>
              <w:rPr>
                <w:rStyle w:val="IndexLink"/>
                <w:rFonts w:cs="Arial" w:ascii="Arial" w:hAnsi="Arial"/>
                <w:vanish w:val="false"/>
              </w:rPr>
              <w:tab/>
              <w:t>3</w:t>
            </w:r>
            <w:r>
              <w:rPr>
                <w:webHidden/>
              </w:rPr>
              <w:fldChar w:fldCharType="end"/>
            </w:r>
          </w:hyperlink>
        </w:p>
        <w:p>
          <w:pPr>
            <w:pStyle w:val="TOC2"/>
            <w:tabs>
              <w:tab w:val="clear" w:pos="720"/>
              <w:tab w:val="right" w:pos="9016" w:leader="dot"/>
            </w:tabs>
            <w:rPr>
              <w:rFonts w:ascii="Arial" w:hAnsi="Arial" w:cs="Arial"/>
              <w:kern w:val="0"/>
            </w:rPr>
          </w:pPr>
          <w:hyperlink w:anchor="_Toc204096835">
            <w:r>
              <w:rPr>
                <w:webHidden/>
                <w:rStyle w:val="IndexLink"/>
                <w:rFonts w:cs="Arial" w:ascii="Arial" w:hAnsi="Arial"/>
              </w:rPr>
              <w:t>3.4 Research Validation</w:t>
            </w:r>
            <w:r>
              <w:rPr>
                <w:webHidden/>
              </w:rPr>
              <w:fldChar w:fldCharType="begin"/>
            </w:r>
            <w:r>
              <w:rPr>
                <w:webHidden/>
              </w:rPr>
              <w:instrText xml:space="preserve">PAGEREF _Toc204096835 \h</w:instrText>
            </w:r>
            <w:r>
              <w:rPr>
                <w:webHidden/>
              </w:rPr>
              <w:fldChar w:fldCharType="separate"/>
            </w:r>
            <w:r>
              <w:rPr>
                <w:rStyle w:val="IndexLink"/>
                <w:rFonts w:cs="Arial" w:ascii="Arial" w:hAnsi="Arial"/>
                <w:vanish w:val="false"/>
              </w:rPr>
              <w:tab/>
              <w:t>4</w:t>
            </w:r>
            <w:r>
              <w:rPr>
                <w:webHidden/>
              </w:rPr>
              <w:fldChar w:fldCharType="end"/>
            </w:r>
          </w:hyperlink>
        </w:p>
        <w:p>
          <w:pPr>
            <w:pStyle w:val="TOC2"/>
            <w:tabs>
              <w:tab w:val="clear" w:pos="720"/>
              <w:tab w:val="right" w:pos="9016" w:leader="dot"/>
            </w:tabs>
            <w:rPr>
              <w:rFonts w:ascii="Arial" w:hAnsi="Arial" w:cs="Arial"/>
              <w:kern w:val="0"/>
            </w:rPr>
          </w:pPr>
          <w:hyperlink w:anchor="_Toc204096836">
            <w:r>
              <w:rPr>
                <w:webHidden/>
                <w:rStyle w:val="IndexLink"/>
                <w:rFonts w:cs="Arial" w:ascii="Arial" w:hAnsi="Arial"/>
              </w:rPr>
              <w:t>3.5 Inclusion and Exclusion Criteria</w:t>
            </w:r>
            <w:r>
              <w:rPr>
                <w:webHidden/>
              </w:rPr>
              <w:fldChar w:fldCharType="begin"/>
            </w:r>
            <w:r>
              <w:rPr>
                <w:webHidden/>
              </w:rPr>
              <w:instrText xml:space="preserve">PAGEREF _Toc204096836 \h</w:instrText>
            </w:r>
            <w:r>
              <w:rPr>
                <w:webHidden/>
              </w:rPr>
              <w:fldChar w:fldCharType="separate"/>
            </w:r>
            <w:r>
              <w:rPr>
                <w:rStyle w:val="IndexLink"/>
                <w:rFonts w:cs="Arial" w:ascii="Arial" w:hAnsi="Arial"/>
                <w:vanish w:val="false"/>
              </w:rPr>
              <w:tab/>
              <w:t>4</w:t>
            </w:r>
            <w:r>
              <w:rPr>
                <w:webHidden/>
              </w:rPr>
              <w:fldChar w:fldCharType="end"/>
            </w:r>
          </w:hyperlink>
        </w:p>
        <w:p>
          <w:pPr>
            <w:pStyle w:val="TOC2"/>
            <w:tabs>
              <w:tab w:val="clear" w:pos="720"/>
              <w:tab w:val="right" w:pos="9016" w:leader="dot"/>
            </w:tabs>
            <w:rPr>
              <w:rFonts w:ascii="Arial" w:hAnsi="Arial" w:cs="Arial"/>
              <w:kern w:val="0"/>
            </w:rPr>
          </w:pPr>
          <w:hyperlink w:anchor="_Toc204096837">
            <w:r>
              <w:rPr>
                <w:webHidden/>
                <w:rStyle w:val="IndexLink"/>
                <w:rFonts w:cs="Arial" w:ascii="Arial" w:hAnsi="Arial"/>
              </w:rPr>
              <w:t>3.6 Analysing Research</w:t>
            </w:r>
            <w:r>
              <w:rPr>
                <w:webHidden/>
              </w:rPr>
              <w:fldChar w:fldCharType="begin"/>
            </w:r>
            <w:r>
              <w:rPr>
                <w:webHidden/>
              </w:rPr>
              <w:instrText xml:space="preserve">PAGEREF _Toc204096837 \h</w:instrText>
            </w:r>
            <w:r>
              <w:rPr>
                <w:webHidden/>
              </w:rPr>
              <w:fldChar w:fldCharType="separate"/>
            </w:r>
            <w:r>
              <w:rPr>
                <w:rStyle w:val="IndexLink"/>
                <w:rFonts w:cs="Arial" w:ascii="Arial" w:hAnsi="Arial"/>
                <w:vanish w:val="false"/>
              </w:rPr>
              <w:tab/>
              <w:t>5</w:t>
            </w:r>
            <w:r>
              <w:rPr>
                <w:webHidden/>
              </w:rPr>
              <w:fldChar w:fldCharType="end"/>
            </w:r>
          </w:hyperlink>
        </w:p>
        <w:p>
          <w:pPr>
            <w:pStyle w:val="TOC2"/>
            <w:tabs>
              <w:tab w:val="clear" w:pos="720"/>
              <w:tab w:val="right" w:pos="9016" w:leader="dot"/>
            </w:tabs>
            <w:rPr>
              <w:rFonts w:ascii="Arial" w:hAnsi="Arial" w:cs="Arial"/>
              <w:kern w:val="0"/>
            </w:rPr>
          </w:pPr>
          <w:hyperlink w:anchor="_Toc204096838">
            <w:r>
              <w:rPr>
                <w:webHidden/>
                <w:rStyle w:val="IndexLink"/>
                <w:rFonts w:cs="Arial" w:ascii="Arial" w:hAnsi="Arial"/>
              </w:rPr>
              <w:t>3.7 Ethical Considerations</w:t>
            </w:r>
            <w:r>
              <w:rPr>
                <w:webHidden/>
              </w:rPr>
              <w:fldChar w:fldCharType="begin"/>
            </w:r>
            <w:r>
              <w:rPr>
                <w:webHidden/>
              </w:rPr>
              <w:instrText xml:space="preserve">PAGEREF _Toc204096838 \h</w:instrText>
            </w:r>
            <w:r>
              <w:rPr>
                <w:webHidden/>
              </w:rPr>
              <w:fldChar w:fldCharType="separate"/>
            </w:r>
            <w:r>
              <w:rPr>
                <w:rStyle w:val="IndexLink"/>
                <w:rFonts w:cs="Arial" w:ascii="Arial" w:hAnsi="Arial"/>
                <w:vanish w:val="false"/>
              </w:rPr>
              <w:tab/>
              <w:t>5</w:t>
            </w:r>
            <w:r>
              <w:rPr>
                <w:webHidden/>
              </w:rPr>
              <w:fldChar w:fldCharType="end"/>
            </w:r>
          </w:hyperlink>
        </w:p>
        <w:p>
          <w:pPr>
            <w:pStyle w:val="TOC2"/>
            <w:tabs>
              <w:tab w:val="clear" w:pos="720"/>
              <w:tab w:val="right" w:pos="9016" w:leader="dot"/>
            </w:tabs>
            <w:rPr>
              <w:rFonts w:ascii="Arial" w:hAnsi="Arial" w:cs="Arial"/>
              <w:kern w:val="0"/>
            </w:rPr>
          </w:pPr>
          <w:hyperlink w:anchor="_Toc204096839">
            <w:r>
              <w:rPr>
                <w:webHidden/>
                <w:rStyle w:val="IndexLink"/>
                <w:rFonts w:cs="Arial" w:ascii="Arial" w:hAnsi="Arial"/>
              </w:rPr>
              <w:t>3.8 Chapter Conclusion</w:t>
            </w:r>
            <w:r>
              <w:rPr>
                <w:webHidden/>
              </w:rPr>
              <w:fldChar w:fldCharType="begin"/>
            </w:r>
            <w:r>
              <w:rPr>
                <w:webHidden/>
              </w:rPr>
              <w:instrText xml:space="preserve">PAGEREF _Toc204096839 \h</w:instrText>
            </w:r>
            <w:r>
              <w:rPr>
                <w:webHidden/>
              </w:rPr>
              <w:fldChar w:fldCharType="separate"/>
            </w:r>
            <w:r>
              <w:rPr>
                <w:rStyle w:val="IndexLink"/>
                <w:rFonts w:cs="Arial" w:ascii="Arial" w:hAnsi="Arial"/>
                <w:vanish w:val="false"/>
              </w:rPr>
              <w:tab/>
              <w:t>6</w:t>
            </w:r>
            <w:r>
              <w:rPr>
                <w:webHidden/>
              </w:rPr>
              <w:fldChar w:fldCharType="end"/>
            </w:r>
          </w:hyperlink>
        </w:p>
        <w:p>
          <w:pPr>
            <w:pStyle w:val="TOC1"/>
            <w:tabs>
              <w:tab w:val="clear" w:pos="720"/>
              <w:tab w:val="right" w:pos="9016" w:leader="dot"/>
            </w:tabs>
            <w:rPr>
              <w:rFonts w:ascii="Arial" w:hAnsi="Arial" w:cs="Arial"/>
              <w:kern w:val="0"/>
            </w:rPr>
          </w:pPr>
          <w:hyperlink w:anchor="_Toc204096840">
            <w:r>
              <w:rPr>
                <w:webHidden/>
                <w:rStyle w:val="IndexLink"/>
                <w:rFonts w:cs="Arial" w:ascii="Arial" w:hAnsi="Arial"/>
                <w:lang w:bidi="en-GB"/>
              </w:rPr>
              <w:t>References</w:t>
            </w:r>
            <w:r>
              <w:rPr>
                <w:webHidden/>
              </w:rPr>
              <w:fldChar w:fldCharType="begin"/>
            </w:r>
            <w:r>
              <w:rPr>
                <w:webHidden/>
              </w:rPr>
              <w:instrText xml:space="preserve">PAGEREF _Toc204096840 \h</w:instrText>
            </w:r>
            <w:r>
              <w:rPr>
                <w:webHidden/>
              </w:rPr>
              <w:fldChar w:fldCharType="separate"/>
            </w:r>
            <w:r>
              <w:rPr>
                <w:rStyle w:val="IndexLink"/>
                <w:rFonts w:cs="Arial" w:ascii="Arial" w:hAnsi="Arial"/>
                <w:vanish w:val="false"/>
              </w:rPr>
              <w:tab/>
              <w:t>7</w:t>
            </w:r>
            <w:r>
              <w:rPr>
                <w:webHidden/>
              </w:rPr>
              <w:fldChar w:fldCharType="end"/>
            </w:r>
          </w:hyperlink>
        </w:p>
        <w:p>
          <w:pPr>
            <w:pStyle w:val="TOC1"/>
            <w:tabs>
              <w:tab w:val="clear" w:pos="720"/>
              <w:tab w:val="right" w:pos="9016" w:leader="dot"/>
            </w:tabs>
            <w:rPr>
              <w:rFonts w:ascii="Arial" w:hAnsi="Arial" w:cs="Arial"/>
              <w:kern w:val="0"/>
            </w:rPr>
          </w:pPr>
          <w:hyperlink w:anchor="_Toc204096841">
            <w:r>
              <w:rPr>
                <w:webHidden/>
                <w:rStyle w:val="IndexLink"/>
                <w:rFonts w:cs="Arial" w:ascii="Arial" w:hAnsi="Arial"/>
                <w:lang w:bidi="en-GB"/>
              </w:rPr>
              <w:t>Appendix</w:t>
            </w:r>
            <w:r>
              <w:rPr>
                <w:webHidden/>
              </w:rPr>
              <w:fldChar w:fldCharType="begin"/>
            </w:r>
            <w:r>
              <w:rPr>
                <w:webHidden/>
              </w:rPr>
              <w:instrText xml:space="preserve">PAGEREF _Toc204096841 \h</w:instrText>
            </w:r>
            <w:r>
              <w:rPr>
                <w:webHidden/>
              </w:rPr>
              <w:fldChar w:fldCharType="separate"/>
            </w:r>
            <w:r>
              <w:rPr>
                <w:rStyle w:val="IndexLink"/>
                <w:rFonts w:cs="Arial" w:ascii="Arial" w:hAnsi="Arial"/>
                <w:vanish w:val="false"/>
              </w:rPr>
              <w:tab/>
              <w:t>9</w:t>
            </w:r>
            <w:r>
              <w:rPr>
                <w:webHidden/>
              </w:rPr>
              <w:fldChar w:fldCharType="end"/>
            </w:r>
          </w:hyperlink>
        </w:p>
        <w:p>
          <w:pPr>
            <w:pStyle w:val="TOC2"/>
            <w:tabs>
              <w:tab w:val="clear" w:pos="720"/>
              <w:tab w:val="right" w:pos="9016" w:leader="dot"/>
            </w:tabs>
            <w:rPr>
              <w:rFonts w:ascii="Arial" w:hAnsi="Arial" w:cs="Arial"/>
              <w:kern w:val="0"/>
            </w:rPr>
          </w:pPr>
          <w:hyperlink w:anchor="_Toc204096842">
            <w:r>
              <w:rPr>
                <w:webHidden/>
                <w:rStyle w:val="IndexLink"/>
                <w:rFonts w:cs="Arial" w:ascii="Arial" w:hAnsi="Arial"/>
              </w:rPr>
              <w:t>Appendix A: Source Tracking Table</w:t>
            </w:r>
            <w:r>
              <w:rPr>
                <w:webHidden/>
              </w:rPr>
              <w:fldChar w:fldCharType="begin"/>
            </w:r>
            <w:r>
              <w:rPr>
                <w:webHidden/>
              </w:rPr>
              <w:instrText xml:space="preserve">PAGEREF _Toc204096842 \h</w:instrText>
            </w:r>
            <w:r>
              <w:rPr>
                <w:webHidden/>
              </w:rPr>
              <w:fldChar w:fldCharType="separate"/>
            </w:r>
            <w:r>
              <w:rPr>
                <w:rStyle w:val="IndexLink"/>
                <w:rFonts w:cs="Arial" w:ascii="Arial" w:hAnsi="Arial"/>
                <w:vanish w:val="false"/>
              </w:rPr>
              <w:tab/>
              <w:t>9</w:t>
            </w:r>
            <w:r>
              <w:rPr>
                <w:webHidden/>
              </w:rPr>
              <w:fldChar w:fldCharType="end"/>
            </w:r>
          </w:hyperlink>
        </w:p>
        <w:p>
          <w:pPr>
            <w:pStyle w:val="Normal"/>
            <w:spacing w:before="120" w:after="120"/>
            <w:rPr>
              <w:rFonts w:ascii="Arial" w:hAnsi="Arial" w:cs="Arial"/>
            </w:rPr>
          </w:pPr>
          <w:r>
            <w:rPr>
              <w:rFonts w:cs="Arial" w:ascii="Arial" w:hAnsi="Arial"/>
            </w:rPr>
          </w:r>
          <w:r>
            <w:rPr>
              <w:rFonts w:cs="Arial" w:ascii="Arial" w:hAnsi="Arial"/>
            </w:rPr>
            <w:fldChar w:fldCharType="end"/>
          </w:r>
        </w:p>
      </w:sdtContent>
    </w:sdt>
    <w:p>
      <w:pPr>
        <w:pStyle w:val="Normal"/>
        <w:spacing w:before="120" w:after="120"/>
        <w:rPr>
          <w:rFonts w:ascii="Arial" w:hAnsi="Arial" w:cs="Arial"/>
        </w:rPr>
      </w:pPr>
      <w:r>
        <w:rPr>
          <w:rFonts w:cs="Arial" w:ascii="Arial" w:hAnsi="Arial"/>
        </w:rPr>
      </w:r>
    </w:p>
    <w:p>
      <w:pPr>
        <w:pStyle w:val="Normal"/>
        <w:spacing w:before="120" w:after="120"/>
        <w:rPr>
          <w:rFonts w:ascii="Arial" w:hAnsi="Arial" w:cs="Arial"/>
        </w:rPr>
      </w:pPr>
      <w:r>
        <w:rPr>
          <w:rFonts w:cs="Arial" w:ascii="Arial" w:hAnsi="Arial"/>
        </w:rPr>
      </w:r>
    </w:p>
    <w:p>
      <w:pPr>
        <w:pStyle w:val="Normal"/>
        <w:spacing w:before="120" w:after="120"/>
        <w:rPr>
          <w:rFonts w:ascii="Arial" w:hAnsi="Arial" w:cs="Arial"/>
        </w:rPr>
      </w:pPr>
      <w:r>
        <w:rPr>
          <w:rFonts w:cs="Arial" w:ascii="Arial" w:hAnsi="Arial"/>
        </w:rPr>
      </w:r>
    </w:p>
    <w:p>
      <w:pPr>
        <w:pStyle w:val="Normal"/>
        <w:spacing w:before="120" w:after="120"/>
        <w:rPr>
          <w:rFonts w:ascii="Arial" w:hAnsi="Arial" w:cs="Arial"/>
        </w:rPr>
      </w:pPr>
      <w:r>
        <w:rPr>
          <w:rFonts w:cs="Arial" w:ascii="Arial" w:hAnsi="Arial"/>
        </w:rPr>
      </w:r>
    </w:p>
    <w:p>
      <w:pPr>
        <w:pStyle w:val="Normal"/>
        <w:spacing w:before="120" w:after="120"/>
        <w:rPr>
          <w:rFonts w:ascii="Arial" w:hAnsi="Arial" w:cs="Arial"/>
        </w:rPr>
      </w:pPr>
      <w:r>
        <w:rPr>
          <w:rFonts w:cs="Arial" w:ascii="Arial" w:hAnsi="Arial"/>
        </w:rPr>
      </w:r>
    </w:p>
    <w:p>
      <w:pPr>
        <w:pStyle w:val="Normal"/>
        <w:spacing w:before="120" w:after="120"/>
        <w:rPr>
          <w:rFonts w:ascii="Arial" w:hAnsi="Arial" w:cs="Arial"/>
        </w:rPr>
      </w:pPr>
      <w:r>
        <w:rPr>
          <w:rFonts w:cs="Arial" w:ascii="Arial" w:hAnsi="Arial"/>
        </w:rPr>
      </w:r>
    </w:p>
    <w:p>
      <w:pPr>
        <w:pStyle w:val="Normal"/>
        <w:spacing w:before="120" w:after="120"/>
        <w:jc w:val="start"/>
        <w:rPr>
          <w:rFonts w:ascii="Arial" w:hAnsi="Arial" w:eastAsia="Calibri Light" w:cs="Arial"/>
          <w:b/>
          <w:kern w:val="0"/>
          <w:sz w:val="32"/>
          <w:szCs w:val="32"/>
          <w:lang w:eastAsia="en-GB" w:bidi="en-GB"/>
        </w:rPr>
      </w:pPr>
      <w:r>
        <w:rPr>
          <w:rFonts w:eastAsia="Calibri Light" w:cs="Arial" w:ascii="Arial" w:hAnsi="Arial"/>
          <w:b/>
          <w:kern w:val="0"/>
          <w:sz w:val="32"/>
          <w:szCs w:val="32"/>
          <w:lang w:eastAsia="en-GB" w:bidi="en-GB"/>
        </w:rPr>
      </w:r>
      <w:r>
        <w:br w:type="page"/>
      </w:r>
    </w:p>
    <w:p>
      <w:pPr>
        <w:pStyle w:val="Heading1"/>
        <w:spacing w:before="0" w:after="120"/>
        <w:ind w:start="0"/>
        <w:rPr/>
      </w:pPr>
      <w:bookmarkStart w:id="0" w:name="_Toc204096831"/>
      <w:r>
        <w:rPr/>
        <w:t>CHAPTER 3 – Methods and Search Strategy</w:t>
      </w:r>
      <w:bookmarkEnd w:id="0"/>
    </w:p>
    <w:p>
      <w:pPr>
        <w:pStyle w:val="Heading2"/>
        <w:spacing w:before="120" w:after="120"/>
        <w:rPr/>
      </w:pPr>
      <w:bookmarkStart w:id="1" w:name="_Toc204096832"/>
      <w:r>
        <w:rPr/>
        <w:t>3.1 Introduction</w:t>
      </w:r>
      <w:bookmarkEnd w:id="1"/>
    </w:p>
    <w:p>
      <w:pPr>
        <w:pStyle w:val="Normal"/>
        <w:spacing w:before="120" w:after="120"/>
        <w:rPr>
          <w:rFonts w:ascii="Arial" w:hAnsi="Arial" w:cs="Arial"/>
        </w:rPr>
      </w:pPr>
      <w:r>
        <w:rPr>
          <w:rFonts w:cs="Arial" w:ascii="Arial" w:hAnsi="Arial"/>
        </w:rPr>
        <w:t>This chapter attempts to describe the research methodology employed in conducting a study that is desk-based and based on the literature on the subject of work-related stress and its effect on mental health as well as staff retention in health and social care. The post is an addition to the post about the academic methodology, where the steps of the research process are explained in detail. Such kinds of techniques were critical in the selection, identification, and analysis of the credible sources, which will be used in the thematic presentation of the findings in the fourth Chapter of the dissertation (Maslach and Leiter, 2016).</w:t>
      </w:r>
    </w:p>
    <w:p>
      <w:pPr>
        <w:pStyle w:val="Heading2"/>
        <w:spacing w:before="120" w:after="120"/>
        <w:rPr/>
      </w:pPr>
      <w:bookmarkStart w:id="2" w:name="_Toc204096833"/>
      <w:r>
        <w:rPr/>
        <w:t>3.2 Search Strategy</w:t>
      </w:r>
      <w:bookmarkEnd w:id="2"/>
    </w:p>
    <w:p>
      <w:pPr>
        <w:pStyle w:val="Normal"/>
        <w:spacing w:before="120" w:after="120"/>
        <w:rPr>
          <w:rFonts w:ascii="Arial" w:hAnsi="Arial" w:cs="Arial"/>
        </w:rPr>
      </w:pPr>
      <w:r>
        <w:rPr>
          <w:rFonts w:cs="Arial" w:ascii="Arial" w:hAnsi="Arial"/>
        </w:rPr>
        <w:t xml:space="preserve">To inform the literature search, several key terms were identified on the basis of the title of research as follows: work-related stress, mental health, staff retention, health and social care. It was also termed as occupational stress, burnout, and employee turnover. The refinement of the results with the help of Boolean operators (AND, OR, NOT) was also used, e.g., stress AND retention or mental health NOT students (West </w:t>
      </w:r>
      <w:r>
        <w:rPr>
          <w:rFonts w:cs="Arial" w:ascii="Arial" w:hAnsi="Arial"/>
          <w:i/>
          <w:iCs/>
        </w:rPr>
        <w:t>et al.</w:t>
      </w:r>
      <w:r>
        <w:rPr>
          <w:rFonts w:cs="Arial" w:ascii="Arial" w:hAnsi="Arial"/>
        </w:rPr>
        <w:t>, 2019). A well-defined search strategy was used, where all keyword searches that were successfully used are documented, and searches were iterated depending on relevance or on results that could be obtained, depending on the database concerned.</w:t>
      </w:r>
    </w:p>
    <w:p>
      <w:pPr>
        <w:pStyle w:val="Heading2"/>
        <w:spacing w:before="120" w:after="120"/>
        <w:rPr/>
      </w:pPr>
      <w:bookmarkStart w:id="3" w:name="_Toc204096834"/>
      <w:r>
        <w:rPr/>
        <w:t>3.3 Searching for Information</w:t>
      </w:r>
      <w:bookmarkEnd w:id="3"/>
    </w:p>
    <w:p>
      <w:pPr>
        <w:pStyle w:val="Normal"/>
        <w:spacing w:before="120" w:after="120"/>
        <w:jc w:val="center"/>
        <w:rPr/>
      </w:pPr>
      <w:r>
        <w:rPr/>
        <w:drawing>
          <wp:inline distT="0" distB="0" distL="0" distR="0">
            <wp:extent cx="4956175" cy="2343785"/>
            <wp:effectExtent l="0" t="0" r="0" b="0"/>
            <wp:docPr id="2" name="Picture 2" descr="792+ Thousand Searching Information Royalty-Free Images, Stock Photos &amp;  Pictur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792+ Thousand Searching Information Royalty-Free Images, Stock Photos &amp;  Pictures | Shutterstock"/>
                    <pic:cNvPicPr>
                      <a:picLocks noChangeAspect="1" noChangeArrowheads="1"/>
                    </pic:cNvPicPr>
                  </pic:nvPicPr>
                  <pic:blipFill>
                    <a:blip r:embed="rId3"/>
                    <a:srcRect l="0" t="0" r="0" b="12122"/>
                    <a:stretch>
                      <a:fillRect/>
                    </a:stretch>
                  </pic:blipFill>
                  <pic:spPr bwMode="auto">
                    <a:xfrm>
                      <a:off x="0" y="0"/>
                      <a:ext cx="4956175" cy="2343785"/>
                    </a:xfrm>
                    <a:prstGeom prst="rect">
                      <a:avLst/>
                    </a:prstGeom>
                    <a:noFill/>
                  </pic:spPr>
                </pic:pic>
              </a:graphicData>
            </a:graphic>
          </wp:inline>
        </w:drawing>
      </w:r>
    </w:p>
    <w:p>
      <w:pPr>
        <w:pStyle w:val="Normal"/>
        <w:spacing w:before="120" w:after="120"/>
        <w:jc w:val="center"/>
        <w:rPr>
          <w:rFonts w:ascii="Arial" w:hAnsi="Arial" w:cs="Arial"/>
        </w:rPr>
      </w:pPr>
      <w:r>
        <w:rPr>
          <w:rFonts w:cs="Arial" w:ascii="Arial" w:hAnsi="Arial"/>
        </w:rPr>
        <w:t xml:space="preserve">Figure: Searching for Information (Khamisa </w:t>
      </w:r>
      <w:r>
        <w:rPr>
          <w:rFonts w:cs="Arial" w:ascii="Arial" w:hAnsi="Arial"/>
          <w:i/>
          <w:iCs/>
        </w:rPr>
        <w:t>et al.</w:t>
      </w:r>
      <w:r>
        <w:rPr>
          <w:rFonts w:cs="Arial" w:ascii="Arial" w:hAnsi="Arial"/>
        </w:rPr>
        <w:t>, 2016)</w:t>
      </w:r>
    </w:p>
    <w:p>
      <w:pPr>
        <w:pStyle w:val="Normal"/>
        <w:spacing w:before="120" w:after="120"/>
        <w:rPr>
          <w:rFonts w:ascii="Arial" w:hAnsi="Arial" w:cs="Arial"/>
        </w:rPr>
      </w:pPr>
      <w:r>
        <w:rPr>
          <w:rFonts w:cs="Arial" w:ascii="Arial" w:hAnsi="Arial"/>
        </w:rPr>
        <w:t>The scrutiny of the literature was performed with the help of a variety of academic sources and websites, such as Google Scholar, PubMed, CINAHL, and UWTSD Online Library. These sources were chosen because they were credible, offered access to peer-reviewed articles and applied to the health and social care issues. They also provided search facilities that were well developed and presented Boolean logic and search filters (NHS Confederation, 2023).</w:t>
      </w:r>
    </w:p>
    <w:p>
      <w:pPr>
        <w:pStyle w:val="Normal"/>
        <w:spacing w:before="120" w:after="120"/>
        <w:rPr>
          <w:rFonts w:ascii="Arial" w:hAnsi="Arial" w:cs="Arial"/>
        </w:rPr>
      </w:pPr>
      <w:r>
        <w:rPr>
          <w:rFonts w:cs="Arial" w:ascii="Arial" w:hAnsi="Arial"/>
        </w:rPr>
        <w:t>To increase its relevance, the filters were conducted to present only the results within the scope of peer-reviewed journal articles published in the past 10 years (2015-2024), in the English language, and either UK-or cross-country, similar health systems-oriented. A full-text availability filter and the subject-specific domains of interest, including the words: nursing, social work and occupational health, were also employed.</w:t>
      </w:r>
    </w:p>
    <w:p>
      <w:pPr>
        <w:pStyle w:val="Normal"/>
        <w:spacing w:before="120" w:after="120"/>
        <w:rPr>
          <w:rFonts w:ascii="Arial" w:hAnsi="Arial" w:cs="Arial"/>
        </w:rPr>
      </w:pPr>
      <w:r>
        <w:rPr>
          <w:rFonts w:cs="Arial" w:ascii="Arial" w:hAnsi="Arial"/>
        </w:rPr>
        <w:t>In the procedure, the search terms were repeatedly adjusted to achieve greater precision as well as produce more aligned articles. As another example, the broader terms were narrowed in favour of more specific phrases, and Boolean operators were restricted to precision. A source tracking table was formed to record article titles, authors, databases, key findings and relevance, and is reproduced in the appendix to improve transparency and replicability.</w:t>
      </w:r>
    </w:p>
    <w:p>
      <w:pPr>
        <w:pStyle w:val="Heading2"/>
        <w:spacing w:before="120" w:after="120"/>
        <w:rPr/>
      </w:pPr>
      <w:bookmarkStart w:id="4" w:name="_Toc204096835"/>
      <w:r>
        <w:rPr/>
        <w:t>3.4 Research Validation</w:t>
      </w:r>
      <w:bookmarkEnd w:id="4"/>
    </w:p>
    <w:p>
      <w:pPr>
        <w:pStyle w:val="Normal"/>
        <w:spacing w:before="120" w:after="120"/>
        <w:rPr>
          <w:rFonts w:ascii="Arial" w:hAnsi="Arial" w:cs="Arial"/>
        </w:rPr>
      </w:pPr>
      <w:r>
        <w:rPr>
          <w:rFonts w:cs="Arial" w:ascii="Arial" w:hAnsi="Arial"/>
        </w:rPr>
        <w:t xml:space="preserve">As a way of guaranteeing quality and relevance of the sources that were selected, the researcher utilised the skimming methods by going through the title, the abstract, introduction and conclusion of every article. This step has allowed us to rapidly determine whether the material was consistent with the research objectives. Each source was subsequently evaluated according to the CRAAP test (Currency, Relevance, Authority, Accuracy, and Purpose) in order to assess the academic rigour of individual sources. The Currency, relevance, and Authority were given a specific focus. As an example, a 2023 report by the NHS Confederation was included because it provided updated information, was directly relevant to the United Kingdom healthcare context, and had an especially weighty source. This methodical process assisted in determining that only reliable and appropriate sources could be used to help in the thematic analysis of the dissertation (Teoh </w:t>
      </w:r>
      <w:r>
        <w:rPr>
          <w:rFonts w:cs="Arial" w:ascii="Arial" w:hAnsi="Arial"/>
          <w:i/>
          <w:iCs/>
        </w:rPr>
        <w:t>et al.</w:t>
      </w:r>
      <w:r>
        <w:rPr>
          <w:rFonts w:cs="Arial" w:ascii="Arial" w:hAnsi="Arial"/>
        </w:rPr>
        <w:t>, 2023).</w:t>
      </w:r>
    </w:p>
    <w:p>
      <w:pPr>
        <w:pStyle w:val="Heading2"/>
        <w:spacing w:before="120" w:after="120"/>
        <w:rPr/>
      </w:pPr>
      <w:bookmarkStart w:id="5" w:name="_Toc204096836"/>
      <w:r>
        <w:rPr/>
        <w:t>3.5 Inclusion and Exclusion Criteria</w:t>
      </w:r>
      <w:bookmarkEnd w:id="5"/>
    </w:p>
    <w:p>
      <w:pPr>
        <w:pStyle w:val="Normal"/>
        <w:spacing w:before="120" w:after="120"/>
        <w:rPr>
          <w:rFonts w:ascii="Arial" w:hAnsi="Arial" w:cs="Arial"/>
        </w:rPr>
      </w:pPr>
      <w:r>
        <w:rPr>
          <w:rFonts w:cs="Arial" w:ascii="Arial" w:hAnsi="Arial"/>
        </w:rPr>
        <w:t>The researcher considered peer-reviewed journal articles, official reports and publications from highly trusted organisations published no earlier than a ten-year term (2015-2025). Preference was put on research within the UK and those which targeted health and social care professionals. Those that were rejected were outdated materials, non-English articles, opinion blogs and non-academic websites not good enough to be referred to. These standards also made the research up-to-date, as well as relevant and academically valid. The reduced age and the high quality of the literature ensured a definite scope of the study, as well as increased the reliability and effectiveness of its conclusions in the selected context (Bailey, 2021).</w:t>
      </w:r>
    </w:p>
    <w:p>
      <w:pPr>
        <w:pStyle w:val="Heading2"/>
        <w:spacing w:before="120" w:after="120"/>
        <w:rPr/>
      </w:pPr>
      <w:bookmarkStart w:id="6" w:name="_Toc204096837"/>
      <w:r>
        <w:rPr/>
        <w:t>3.6 Analysing Research</w:t>
      </w:r>
      <w:bookmarkEnd w:id="6"/>
    </w:p>
    <w:p>
      <w:pPr>
        <w:pStyle w:val="Normal"/>
        <w:spacing w:before="120" w:after="120"/>
        <w:rPr/>
      </w:pPr>
      <w:r>
        <w:rPr/>
        <w:drawing>
          <wp:inline distT="0" distB="0" distL="0" distR="0">
            <wp:extent cx="5731510" cy="3496310"/>
            <wp:effectExtent l="0" t="0" r="0" b="0"/>
            <wp:docPr id="3" name="Image2" descr="How to Analyze Qualitative Data from UX Research: Thematic Analysis - N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How to Analyze Qualitative Data from UX Research: Thematic Analysis - NN/g"/>
                    <pic:cNvPicPr>
                      <a:picLocks noChangeAspect="1" noChangeArrowheads="1"/>
                    </pic:cNvPicPr>
                  </pic:nvPicPr>
                  <pic:blipFill>
                    <a:blip r:embed="rId4"/>
                    <a:srcRect l="0" t="0" r="0" b="12080"/>
                    <a:stretch>
                      <a:fillRect/>
                    </a:stretch>
                  </pic:blipFill>
                  <pic:spPr bwMode="auto">
                    <a:xfrm>
                      <a:off x="0" y="0"/>
                      <a:ext cx="5731510" cy="3496310"/>
                    </a:xfrm>
                    <a:prstGeom prst="rect">
                      <a:avLst/>
                    </a:prstGeom>
                    <a:noFill/>
                  </pic:spPr>
                </pic:pic>
              </a:graphicData>
            </a:graphic>
          </wp:inline>
        </w:drawing>
      </w:r>
    </w:p>
    <w:p>
      <w:pPr>
        <w:pStyle w:val="Normal"/>
        <w:spacing w:before="120" w:after="120"/>
        <w:jc w:val="center"/>
        <w:rPr>
          <w:rFonts w:ascii="Arial" w:hAnsi="Arial" w:cs="Arial"/>
        </w:rPr>
      </w:pPr>
      <w:r>
        <w:rPr>
          <w:rFonts w:cs="Arial" w:ascii="Arial" w:hAnsi="Arial"/>
        </w:rPr>
        <w:t xml:space="preserve">Figure: Analysing Research (Booth </w:t>
      </w:r>
      <w:r>
        <w:rPr>
          <w:rFonts w:cs="Arial" w:ascii="Arial" w:hAnsi="Arial"/>
          <w:i/>
          <w:iCs/>
        </w:rPr>
        <w:t>et al.</w:t>
      </w:r>
      <w:r>
        <w:rPr>
          <w:rFonts w:cs="Arial" w:ascii="Arial" w:hAnsi="Arial"/>
        </w:rPr>
        <w:t>, 2021)</w:t>
      </w:r>
    </w:p>
    <w:p>
      <w:pPr>
        <w:pStyle w:val="Normal"/>
        <w:spacing w:before="120" w:after="120"/>
        <w:rPr>
          <w:rFonts w:ascii="Arial" w:hAnsi="Arial" w:cs="Arial"/>
        </w:rPr>
      </w:pPr>
      <w:r>
        <w:rPr>
          <w:rFonts w:cs="Arial" w:ascii="Arial" w:hAnsi="Arial"/>
        </w:rPr>
        <w:t>There were some sources selected, and they were analysed in a systematic way based on the thematic coding approach. All the articles were thoroughly read to find common concepts, keywords, and concerns of working stress, mental illness and employee retention within health and social care. First codes were created using typical trends in literature (Bettany-Saltikov and McSherry, 2024). These codes were, in turn, sorted into larger categories to get general themes to meet the goals of the research.</w:t>
      </w:r>
    </w:p>
    <w:p>
      <w:pPr>
        <w:pStyle w:val="Normal"/>
        <w:spacing w:before="120" w:after="120"/>
        <w:rPr>
          <w:rFonts w:ascii="Arial" w:hAnsi="Arial" w:cs="Arial"/>
        </w:rPr>
      </w:pPr>
      <w:r>
        <w:rPr>
          <w:rFonts w:cs="Arial" w:ascii="Arial" w:hAnsi="Arial"/>
        </w:rPr>
        <w:t>In order to be systematic and not misled, Excel worksheets and also use of colours in tables helped. These tools allowed the researcher to check out individual codes, their frequency and how they helped develop each theme. This plan helped to maintain uniformity in the analysis literature and has provided the prerequisite to Chapter 4, where the results will be summarised into themes. The process enabled a clear audit trail of decisions made during the analytical process as well (Lame, 2019).</w:t>
      </w:r>
    </w:p>
    <w:p>
      <w:pPr>
        <w:pStyle w:val="Heading2"/>
        <w:spacing w:before="120" w:after="120"/>
        <w:rPr/>
      </w:pPr>
      <w:bookmarkStart w:id="7" w:name="_Toc204096838"/>
      <w:r>
        <w:rPr/>
        <w:t>3.7 Ethical Considerations</w:t>
      </w:r>
      <w:bookmarkEnd w:id="7"/>
    </w:p>
    <w:p>
      <w:pPr>
        <w:pStyle w:val="Normal"/>
        <w:spacing w:before="120" w:after="120"/>
        <w:rPr>
          <w:rFonts w:ascii="Arial" w:hAnsi="Arial" w:cs="Arial"/>
        </w:rPr>
      </w:pPr>
      <w:r>
        <w:rPr>
          <w:rFonts w:cs="Arial" w:ascii="Arial" w:hAnsi="Arial"/>
        </w:rPr>
        <w:t>There is no primary data collection or contact with human participants in this research, and this research was fully secondary and there were no ethical risks in this research in regards to consent and confidentiality (Hasan, 2021). Academic integrity was maintained through referencing appropriately all resources used according to the Harvard referencing style, with original authors being acknowledged and no plagiarism or misrepresentation. Credibility and transparency were achieved by selecting good, peer-reviewed literature, which was also presented when objective, or free of personal bias, to help in an honest and fair evaluation of the research topic.</w:t>
      </w:r>
    </w:p>
    <w:p>
      <w:pPr>
        <w:pStyle w:val="Heading2"/>
        <w:spacing w:before="120" w:after="120"/>
        <w:rPr/>
      </w:pPr>
      <w:bookmarkStart w:id="8" w:name="_Toc204096839"/>
      <w:r>
        <w:rPr/>
        <w:t>3.8 Chapter Conclusion</w:t>
      </w:r>
      <w:bookmarkEnd w:id="8"/>
    </w:p>
    <w:p>
      <w:pPr>
        <w:pStyle w:val="Normal"/>
        <w:spacing w:before="120" w:after="120"/>
        <w:rPr>
          <w:rFonts w:ascii="Arial" w:hAnsi="Arial" w:cs="Arial"/>
        </w:rPr>
      </w:pPr>
      <w:r>
        <w:rPr>
          <w:rFonts w:cs="Arial" w:ascii="Arial" w:hAnsi="Arial"/>
        </w:rPr>
        <w:t>This chapter has discussed the desk-based methodology evidenced in identifying, picking and analysing academic literature to support the study. It outlined how a planned search strategy was developed, how inclusion and exclusion criteria were applied, which databases with credentials were used, and how it was validated by using the CRAAP test. Thematic-coding was utilised to cluster repeated thoughts and come up with meaningful themes. These measures provided a proper and intensive consideration of applicable sources. The results of this analysis will be provided in chapter 4 under thematic sections that will be in line with the research question and objectives.</w:t>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spacing w:lineRule="auto" w:line="259"/>
        <w:jc w:val="start"/>
        <w:rPr>
          <w:rFonts w:ascii="Arial" w:hAnsi="Arial" w:cs="Arial"/>
        </w:rPr>
      </w:pPr>
      <w:r>
        <w:rPr>
          <w:rFonts w:cs="Arial" w:ascii="Arial" w:hAnsi="Arial"/>
        </w:rPr>
      </w:r>
      <w:r>
        <w:br w:type="page"/>
      </w:r>
    </w:p>
    <w:p>
      <w:pPr>
        <w:pStyle w:val="Heading1"/>
        <w:spacing w:before="0" w:after="0"/>
        <w:ind w:start="0"/>
        <w:rPr/>
      </w:pPr>
      <w:bookmarkStart w:id="9" w:name="_Toc204096840"/>
      <w:r>
        <w:rPr/>
        <w:t>References</w:t>
      </w:r>
      <w:bookmarkEnd w:id="9"/>
    </w:p>
    <w:p>
      <w:pPr>
        <w:pStyle w:val="Normal"/>
        <w:spacing w:beforeAutospacing="1" w:afterAutospacing="1"/>
        <w:rPr>
          <w:rFonts w:ascii="Arial" w:hAnsi="Arial" w:eastAsia="Times New Roman" w:cs="Arial"/>
          <w:kern w:val="0"/>
        </w:rPr>
      </w:pPr>
      <w:r>
        <w:rPr>
          <w:rFonts w:eastAsia="Times New Roman" w:cs="Arial" w:ascii="Arial" w:hAnsi="Arial"/>
          <w:kern w:val="0"/>
        </w:rPr>
        <w:t xml:space="preserve">Bailey, S. (2021) Parliamentary report on workforce burnout and resilience. </w:t>
      </w:r>
      <w:r>
        <w:rPr>
          <w:rFonts w:eastAsia="Times New Roman" w:cs="Arial" w:ascii="Arial" w:hAnsi="Arial"/>
          <w:i/>
          <w:iCs/>
          <w:kern w:val="0"/>
        </w:rPr>
        <w:t>BMJ</w:t>
      </w:r>
      <w:r>
        <w:rPr>
          <w:rFonts w:eastAsia="Times New Roman" w:cs="Arial" w:ascii="Arial" w:hAnsi="Arial"/>
          <w:kern w:val="0"/>
        </w:rPr>
        <w:t>, 373.</w:t>
      </w:r>
    </w:p>
    <w:p>
      <w:pPr>
        <w:pStyle w:val="Normal"/>
        <w:spacing w:beforeAutospacing="1" w:afterAutospacing="1"/>
        <w:rPr>
          <w:rFonts w:ascii="Arial" w:hAnsi="Arial" w:eastAsia="Times New Roman" w:cs="Arial"/>
          <w:kern w:val="0"/>
        </w:rPr>
      </w:pPr>
      <w:r>
        <w:rPr>
          <w:rFonts w:eastAsia="Times New Roman" w:cs="Arial" w:ascii="Arial" w:hAnsi="Arial"/>
          <w:kern w:val="0"/>
        </w:rPr>
        <w:t xml:space="preserve">Bettany-Saltikov, J. and McSherry, R. (2024) </w:t>
      </w:r>
      <w:r>
        <w:rPr>
          <w:rFonts w:eastAsia="Times New Roman" w:cs="Arial" w:ascii="Arial" w:hAnsi="Arial"/>
          <w:i/>
          <w:iCs/>
          <w:kern w:val="0"/>
        </w:rPr>
        <w:t>How to do a systematic literature review in nursing: A step-by-step guide</w:t>
      </w:r>
      <w:r>
        <w:rPr>
          <w:rFonts w:eastAsia="Times New Roman" w:cs="Arial" w:ascii="Arial" w:hAnsi="Arial"/>
          <w:kern w:val="0"/>
        </w:rPr>
        <w:t>. 3rd edn. London: Open University Press.</w:t>
      </w:r>
    </w:p>
    <w:p>
      <w:pPr>
        <w:pStyle w:val="Normal"/>
        <w:spacing w:beforeAutospacing="1" w:afterAutospacing="1"/>
        <w:rPr>
          <w:rFonts w:ascii="Arial" w:hAnsi="Arial" w:eastAsia="Times New Roman" w:cs="Arial"/>
          <w:kern w:val="0"/>
        </w:rPr>
      </w:pPr>
      <w:r>
        <w:rPr>
          <w:rFonts w:eastAsia="Times New Roman" w:cs="Arial" w:ascii="Arial" w:hAnsi="Arial"/>
          <w:kern w:val="0"/>
        </w:rPr>
        <w:t xml:space="preserve">Booth, A., Martyn-St James, M., Clowes, M. and Sutton, A. (2021) </w:t>
      </w:r>
      <w:r>
        <w:rPr>
          <w:rFonts w:eastAsia="Times New Roman" w:cs="Arial" w:ascii="Arial" w:hAnsi="Arial"/>
          <w:i/>
          <w:iCs/>
          <w:kern w:val="0"/>
        </w:rPr>
        <w:t>Systematic approaches to a successful literature review</w:t>
      </w:r>
      <w:r>
        <w:rPr>
          <w:rFonts w:eastAsia="Times New Roman" w:cs="Arial" w:ascii="Arial" w:hAnsi="Arial"/>
          <w:kern w:val="0"/>
        </w:rPr>
        <w:t xml:space="preserve">. London: SAGE. Available at: </w:t>
      </w:r>
      <w:hyperlink r:id="rId5" w:tgtFrame="_new">
        <w:r>
          <w:rPr>
            <w:rStyle w:val="Style5"/>
            <w:rFonts w:eastAsia="Times New Roman" w:cs="Arial" w:ascii="Arial" w:hAnsi="Arial"/>
            <w:kern w:val="0"/>
            <w:u w:val="single"/>
          </w:rPr>
          <w:t>https://www.torrossa.com/it/resources/an/5282271</w:t>
        </w:r>
      </w:hyperlink>
      <w:r>
        <w:rPr>
          <w:rFonts w:eastAsia="Times New Roman" w:cs="Arial" w:ascii="Arial" w:hAnsi="Arial"/>
          <w:kern w:val="0"/>
        </w:rPr>
        <w:t xml:space="preserve"> [Accessed 20 Jul. 2025].</w:t>
      </w:r>
    </w:p>
    <w:p>
      <w:pPr>
        <w:pStyle w:val="Normal"/>
        <w:spacing w:beforeAutospacing="1" w:afterAutospacing="1"/>
        <w:rPr>
          <w:rFonts w:ascii="Arial" w:hAnsi="Arial" w:eastAsia="Times New Roman" w:cs="Arial"/>
          <w:kern w:val="0"/>
        </w:rPr>
      </w:pPr>
      <w:r>
        <w:rPr>
          <w:rFonts w:eastAsia="Times New Roman" w:cs="Arial" w:ascii="Arial" w:hAnsi="Arial"/>
          <w:kern w:val="0"/>
        </w:rPr>
        <w:t xml:space="preserve">Hasan, A. (2021) Ethical considerations in the use of secondary data for built environment research. In: M. Mela and B. Wilkinson (eds.) </w:t>
      </w:r>
      <w:r>
        <w:rPr>
          <w:rFonts w:eastAsia="Times New Roman" w:cs="Arial" w:ascii="Arial" w:hAnsi="Arial"/>
          <w:i/>
          <w:iCs/>
          <w:kern w:val="0"/>
        </w:rPr>
        <w:t>Secondary Research Methods in the Built Environment</w:t>
      </w:r>
      <w:r>
        <w:rPr>
          <w:rFonts w:eastAsia="Times New Roman" w:cs="Arial" w:ascii="Arial" w:hAnsi="Arial"/>
          <w:kern w:val="0"/>
        </w:rPr>
        <w:t>. London: Routledge, pp.26–39.</w:t>
      </w:r>
    </w:p>
    <w:p>
      <w:pPr>
        <w:pStyle w:val="Normal"/>
        <w:spacing w:beforeAutospacing="1" w:afterAutospacing="1"/>
        <w:rPr>
          <w:rFonts w:ascii="Arial" w:hAnsi="Arial" w:eastAsia="Times New Roman" w:cs="Arial"/>
          <w:kern w:val="0"/>
        </w:rPr>
      </w:pPr>
      <w:r>
        <w:rPr>
          <w:rFonts w:eastAsia="Times New Roman" w:cs="Arial" w:ascii="Arial" w:hAnsi="Arial"/>
          <w:kern w:val="0"/>
        </w:rPr>
        <w:t xml:space="preserve">Khamisa, N., Oldenburg, B., Peltzer, K. and Ilic, D. (2016) Work-related stress, burnout, job satisfaction and general health of nurses. </w:t>
      </w:r>
      <w:r>
        <w:rPr>
          <w:rFonts w:eastAsia="Times New Roman" w:cs="Arial" w:ascii="Arial" w:hAnsi="Arial"/>
          <w:i/>
          <w:iCs/>
          <w:kern w:val="0"/>
        </w:rPr>
        <w:t>International Journal of Environmental Research and Public Health</w:t>
      </w:r>
      <w:r>
        <w:rPr>
          <w:rFonts w:eastAsia="Times New Roman" w:cs="Arial" w:ascii="Arial" w:hAnsi="Arial"/>
          <w:kern w:val="0"/>
        </w:rPr>
        <w:t xml:space="preserve">, 12(1), pp.652–666. Available at: </w:t>
      </w:r>
      <w:hyperlink r:id="rId6" w:tgtFrame="_new">
        <w:r>
          <w:rPr>
            <w:rStyle w:val="Style5"/>
            <w:rFonts w:eastAsia="Times New Roman" w:cs="Arial" w:ascii="Arial" w:hAnsi="Arial"/>
            <w:kern w:val="0"/>
            <w:u w:val="single"/>
          </w:rPr>
          <w:t>https://doi.org/10.3390/ijerph120100652</w:t>
        </w:r>
      </w:hyperlink>
      <w:r>
        <w:rPr>
          <w:rFonts w:eastAsia="Times New Roman" w:cs="Arial" w:ascii="Arial" w:hAnsi="Arial"/>
          <w:kern w:val="0"/>
        </w:rPr>
        <w:t xml:space="preserve"> [Accessed 20 Jul. 2025].</w:t>
      </w:r>
    </w:p>
    <w:p>
      <w:pPr>
        <w:pStyle w:val="Normal"/>
        <w:spacing w:beforeAutospacing="1" w:afterAutospacing="1"/>
        <w:rPr>
          <w:rFonts w:ascii="Arial" w:hAnsi="Arial" w:eastAsia="Times New Roman" w:cs="Arial"/>
          <w:kern w:val="0"/>
        </w:rPr>
      </w:pPr>
      <w:r>
        <w:rPr>
          <w:rFonts w:eastAsia="Times New Roman" w:cs="Arial" w:ascii="Arial" w:hAnsi="Arial"/>
          <w:kern w:val="0"/>
        </w:rPr>
        <w:t xml:space="preserve">Lame, G. (2019) Systematic literature reviews: An introduction. In: </w:t>
      </w:r>
      <w:r>
        <w:rPr>
          <w:rFonts w:eastAsia="Times New Roman" w:cs="Arial" w:ascii="Arial" w:hAnsi="Arial"/>
          <w:i/>
          <w:iCs/>
          <w:kern w:val="0"/>
        </w:rPr>
        <w:t>Proceedings of the Design Society: International Conference on Engineering Design</w:t>
      </w:r>
      <w:r>
        <w:rPr>
          <w:rFonts w:eastAsia="Times New Roman" w:cs="Arial" w:ascii="Arial" w:hAnsi="Arial"/>
          <w:kern w:val="0"/>
        </w:rPr>
        <w:t xml:space="preserve">, 1(1), pp.1633–1642. Cambridge: Cambridge University Press. Available at: </w:t>
      </w:r>
      <w:hyperlink r:id="rId7" w:tgtFrame="_new">
        <w:r>
          <w:rPr>
            <w:rStyle w:val="Style5"/>
            <w:rFonts w:eastAsia="Times New Roman" w:cs="Arial" w:ascii="Arial" w:hAnsi="Arial"/>
            <w:kern w:val="0"/>
            <w:u w:val="single"/>
          </w:rPr>
          <w:t>https://www.cambridge.org/core/journals/proceedings-of-the-international-conference-on-engineering-design/article/systematic-literature-reviews-an-introduction/40D4CEA7A7CC3FB6ED6233E79A0A2A1F</w:t>
        </w:r>
      </w:hyperlink>
      <w:r>
        <w:rPr>
          <w:rFonts w:eastAsia="Times New Roman" w:cs="Arial" w:ascii="Arial" w:hAnsi="Arial"/>
          <w:kern w:val="0"/>
        </w:rPr>
        <w:t xml:space="preserve"> [Accessed 20 Jul. 2025].</w:t>
      </w:r>
    </w:p>
    <w:p>
      <w:pPr>
        <w:pStyle w:val="Normal"/>
        <w:spacing w:beforeAutospacing="1" w:afterAutospacing="1"/>
        <w:rPr>
          <w:rFonts w:ascii="Arial" w:hAnsi="Arial" w:eastAsia="Times New Roman" w:cs="Arial"/>
          <w:kern w:val="0"/>
        </w:rPr>
      </w:pPr>
      <w:r>
        <w:rPr>
          <w:rFonts w:eastAsia="Times New Roman" w:cs="Arial" w:ascii="Arial" w:hAnsi="Arial"/>
          <w:kern w:val="0"/>
        </w:rPr>
        <w:t xml:space="preserve">Maslach, C. and Leiter, M.P. (2016) Understanding the burnout experience: Recent research and its implications for psychiatry. </w:t>
      </w:r>
      <w:r>
        <w:rPr>
          <w:rFonts w:eastAsia="Times New Roman" w:cs="Arial" w:ascii="Arial" w:hAnsi="Arial"/>
          <w:i/>
          <w:iCs/>
          <w:kern w:val="0"/>
        </w:rPr>
        <w:t>World Psychiatry</w:t>
      </w:r>
      <w:r>
        <w:rPr>
          <w:rFonts w:eastAsia="Times New Roman" w:cs="Arial" w:ascii="Arial" w:hAnsi="Arial"/>
          <w:kern w:val="0"/>
        </w:rPr>
        <w:t xml:space="preserve">, 15(2), pp.103–111. Available at: </w:t>
      </w:r>
      <w:hyperlink r:id="rId8" w:tgtFrame="_new">
        <w:r>
          <w:rPr>
            <w:rStyle w:val="Style5"/>
            <w:rFonts w:eastAsia="Times New Roman" w:cs="Arial" w:ascii="Arial" w:hAnsi="Arial"/>
            <w:kern w:val="0"/>
            <w:u w:val="single"/>
          </w:rPr>
          <w:t>https://doi.org/10.1002/wps.20311</w:t>
        </w:r>
      </w:hyperlink>
      <w:r>
        <w:rPr>
          <w:rFonts w:eastAsia="Times New Roman" w:cs="Arial" w:ascii="Arial" w:hAnsi="Arial"/>
          <w:kern w:val="0"/>
        </w:rPr>
        <w:t xml:space="preserve"> [Accessed 20 Jul. 2025].</w:t>
      </w:r>
    </w:p>
    <w:p>
      <w:pPr>
        <w:pStyle w:val="Normal"/>
        <w:spacing w:beforeAutospacing="1" w:afterAutospacing="1"/>
        <w:rPr>
          <w:rFonts w:ascii="Arial" w:hAnsi="Arial" w:eastAsia="Times New Roman" w:cs="Arial"/>
          <w:kern w:val="0"/>
        </w:rPr>
      </w:pPr>
      <w:r>
        <w:rPr>
          <w:rFonts w:eastAsia="Times New Roman" w:cs="Arial" w:ascii="Arial" w:hAnsi="Arial"/>
          <w:kern w:val="0"/>
        </w:rPr>
        <w:t xml:space="preserve">NHS Confederation (2023) </w:t>
      </w:r>
      <w:r>
        <w:rPr>
          <w:rFonts w:eastAsia="Times New Roman" w:cs="Arial" w:ascii="Arial" w:hAnsi="Arial"/>
          <w:i/>
          <w:iCs/>
          <w:kern w:val="0"/>
        </w:rPr>
        <w:t>The state of the NHS workforce: Addressing the mental health of frontline staff</w:t>
      </w:r>
      <w:r>
        <w:rPr>
          <w:rFonts w:eastAsia="Times New Roman" w:cs="Arial" w:ascii="Arial" w:hAnsi="Arial"/>
          <w:kern w:val="0"/>
        </w:rPr>
        <w:t xml:space="preserve">. London: NHS Confederation. Available at: </w:t>
      </w:r>
      <w:hyperlink r:id="rId9" w:tgtFrame="_new">
        <w:r>
          <w:rPr>
            <w:rStyle w:val="Style5"/>
            <w:rFonts w:eastAsia="Times New Roman" w:cs="Arial" w:ascii="Arial" w:hAnsi="Arial"/>
            <w:kern w:val="0"/>
            <w:u w:val="single"/>
          </w:rPr>
          <w:t>https://www.nhsconfed.org/news/nhs-confederation-comment-nhs-pressures</w:t>
        </w:r>
      </w:hyperlink>
      <w:r>
        <w:rPr>
          <w:rFonts w:eastAsia="Times New Roman" w:cs="Arial" w:ascii="Arial" w:hAnsi="Arial"/>
          <w:kern w:val="0"/>
        </w:rPr>
        <w:t xml:space="preserve"> [Accessed 20 Jul. 2025].</w:t>
      </w:r>
    </w:p>
    <w:p>
      <w:pPr>
        <w:pStyle w:val="Normal"/>
        <w:spacing w:beforeAutospacing="1" w:afterAutospacing="1"/>
        <w:rPr>
          <w:rFonts w:ascii="Arial" w:hAnsi="Arial" w:eastAsia="Times New Roman" w:cs="Arial"/>
          <w:kern w:val="0"/>
        </w:rPr>
      </w:pPr>
      <w:r>
        <w:rPr>
          <w:rFonts w:eastAsia="Times New Roman" w:cs="Arial" w:ascii="Arial" w:hAnsi="Arial"/>
          <w:kern w:val="0"/>
        </w:rPr>
        <w:t xml:space="preserve">Teoh, K., Dhensa-Kahlon, R., Christense, M., Frost, F., Hatton, E. and Nielsen, K. (2023) </w:t>
      </w:r>
      <w:r>
        <w:rPr>
          <w:rFonts w:eastAsia="Times New Roman" w:cs="Arial" w:ascii="Arial" w:hAnsi="Arial"/>
          <w:i/>
          <w:iCs/>
          <w:kern w:val="0"/>
        </w:rPr>
        <w:t>Organisational wellbeing interventions: Case studies from the NHS</w:t>
      </w:r>
      <w:r>
        <w:rPr>
          <w:rFonts w:eastAsia="Times New Roman" w:cs="Arial" w:ascii="Arial" w:hAnsi="Arial"/>
          <w:kern w:val="0"/>
        </w:rPr>
        <w:t xml:space="preserve">. London: Birkbeck University of London. Available at: </w:t>
      </w:r>
      <w:hyperlink r:id="rId10" w:tgtFrame="_new">
        <w:r>
          <w:rPr>
            <w:rStyle w:val="Style5"/>
            <w:rFonts w:eastAsia="Times New Roman" w:cs="Arial" w:ascii="Arial" w:hAnsi="Arial"/>
            <w:kern w:val="0"/>
            <w:u w:val="single"/>
          </w:rPr>
          <w:t>https://eprints.bbk.ac.uk/id/eprint/50880/</w:t>
        </w:r>
      </w:hyperlink>
      <w:r>
        <w:rPr>
          <w:rFonts w:eastAsia="Times New Roman" w:cs="Arial" w:ascii="Arial" w:hAnsi="Arial"/>
          <w:kern w:val="0"/>
        </w:rPr>
        <w:t xml:space="preserve"> [Accessed 20 Jul. 2025].</w:t>
      </w:r>
    </w:p>
    <w:p>
      <w:pPr>
        <w:pStyle w:val="Normal"/>
        <w:spacing w:beforeAutospacing="1" w:afterAutospacing="1"/>
        <w:rPr>
          <w:rFonts w:ascii="Arial" w:hAnsi="Arial" w:eastAsia="Times New Roman" w:cs="Arial"/>
          <w:kern w:val="0"/>
        </w:rPr>
      </w:pPr>
      <w:r>
        <w:rPr>
          <w:rFonts w:eastAsia="Times New Roman" w:cs="Arial" w:ascii="Arial" w:hAnsi="Arial"/>
          <w:kern w:val="0"/>
        </w:rPr>
        <w:t xml:space="preserve">West, M., Bailey, S. and Williams, E. (2019) </w:t>
      </w:r>
      <w:r>
        <w:rPr>
          <w:rFonts w:eastAsia="Times New Roman" w:cs="Arial" w:ascii="Arial" w:hAnsi="Arial"/>
          <w:i/>
          <w:iCs/>
          <w:kern w:val="0"/>
        </w:rPr>
        <w:t>The courage of compassion: Supporting nurses and midwives to deliver high-quality care</w:t>
      </w:r>
      <w:r>
        <w:rPr>
          <w:rFonts w:eastAsia="Times New Roman" w:cs="Arial" w:ascii="Arial" w:hAnsi="Arial"/>
          <w:kern w:val="0"/>
        </w:rPr>
        <w:t xml:space="preserve">. London: The King’s Fund. Available at: </w:t>
      </w:r>
      <w:hyperlink r:id="rId11" w:tgtFrame="_new">
        <w:r>
          <w:rPr>
            <w:rStyle w:val="Style5"/>
            <w:rFonts w:eastAsia="Times New Roman" w:cs="Arial" w:ascii="Arial" w:hAnsi="Arial"/>
            <w:kern w:val="0"/>
            <w:u w:val="single"/>
          </w:rPr>
          <w:t>https://www.kingsfund.org.uk/publications/courage-compassion-supporting-nurses-midwives</w:t>
        </w:r>
      </w:hyperlink>
      <w:r>
        <w:rPr>
          <w:rFonts w:eastAsia="Times New Roman" w:cs="Arial" w:ascii="Arial" w:hAnsi="Arial"/>
          <w:kern w:val="0"/>
        </w:rPr>
        <w:t xml:space="preserve"> [Accessed 20 Jul. 2025].</w:t>
      </w:r>
    </w:p>
    <w:p>
      <w:pPr>
        <w:pStyle w:val="Normal"/>
        <w:spacing w:lineRule="auto" w:line="259"/>
        <w:jc w:val="start"/>
        <w:rPr>
          <w:rFonts w:ascii="Arial" w:hAnsi="Arial" w:cs="Arial"/>
        </w:rPr>
      </w:pPr>
      <w:r>
        <w:rPr>
          <w:rFonts w:cs="Arial" w:ascii="Arial" w:hAnsi="Arial"/>
        </w:rPr>
      </w:r>
      <w:r>
        <w:br w:type="page"/>
      </w:r>
    </w:p>
    <w:p>
      <w:pPr>
        <w:pStyle w:val="Heading1"/>
        <w:spacing w:before="0" w:after="0"/>
        <w:ind w:start="0"/>
        <w:rPr/>
      </w:pPr>
      <w:bookmarkStart w:id="10" w:name="_Toc204096841"/>
      <w:r>
        <w:rPr/>
        <w:t>Appendix</w:t>
      </w:r>
      <w:bookmarkEnd w:id="10"/>
    </w:p>
    <w:p>
      <w:pPr>
        <w:pStyle w:val="Heading2"/>
        <w:rPr>
          <w:rStyle w:val="Strong"/>
          <w:b w:val="false"/>
          <w:bCs w:val="false"/>
        </w:rPr>
      </w:pPr>
      <w:bookmarkStart w:id="11" w:name="_Toc204096842"/>
      <w:r>
        <w:rPr>
          <w:rStyle w:val="Strong"/>
          <w:b w:val="false"/>
          <w:bCs w:val="false"/>
        </w:rPr>
        <w:t>Appendix A: Source Tracking Table</w:t>
      </w:r>
      <w:bookmarkEnd w:id="11"/>
    </w:p>
    <w:tbl>
      <w:tblPr>
        <w:tblStyle w:val="TableGrid"/>
        <w:tblW w:w="9016" w:type="dxa"/>
        <w:jc w:val="start"/>
        <w:tblInd w:w="0" w:type="dxa"/>
        <w:tblLayout w:type="fixed"/>
        <w:tblCellMar>
          <w:top w:w="0" w:type="dxa"/>
          <w:start w:w="108" w:type="dxa"/>
          <w:bottom w:w="0" w:type="dxa"/>
          <w:end w:w="108" w:type="dxa"/>
        </w:tblCellMar>
        <w:tblLook w:val="04a0" w:noHBand="0" w:noVBand="1" w:firstColumn="1" w:lastRow="0" w:lastColumn="0" w:firstRow="1"/>
      </w:tblPr>
      <w:tblGrid>
        <w:gridCol w:w="278"/>
        <w:gridCol w:w="1985"/>
        <w:gridCol w:w="1275"/>
        <w:gridCol w:w="1418"/>
        <w:gridCol w:w="1623"/>
        <w:gridCol w:w="1316"/>
        <w:gridCol w:w="1121"/>
      </w:tblGrid>
      <w:tr>
        <w:trPr/>
        <w:tc>
          <w:tcPr>
            <w:tcW w:w="278" w:type="dxa"/>
            <w:tcBorders/>
          </w:tcPr>
          <w:p>
            <w:pPr>
              <w:pStyle w:val="Normal"/>
              <w:widowControl/>
              <w:spacing w:before="0" w:after="0"/>
              <w:rPr>
                <w:rFonts w:ascii="Arial" w:hAnsi="Arial" w:cs="Arial"/>
              </w:rPr>
            </w:pPr>
            <w:r>
              <w:rPr>
                <w:rFonts w:eastAsia="Calibri" w:cs="Arial" w:ascii="Arial" w:hAnsi="Arial"/>
                <w:kern w:val="0"/>
                <w:sz w:val="22"/>
                <w:szCs w:val="22"/>
                <w:lang w:val="en-GB" w:eastAsia="en-US" w:bidi="ar-SA"/>
              </w:rPr>
              <w:t>No.</w:t>
            </w:r>
          </w:p>
        </w:tc>
        <w:tc>
          <w:tcPr>
            <w:tcW w:w="1985" w:type="dxa"/>
            <w:tcBorders/>
          </w:tcPr>
          <w:p>
            <w:pPr>
              <w:pStyle w:val="Normal"/>
              <w:widowControl/>
              <w:spacing w:before="0" w:after="0"/>
              <w:rPr>
                <w:rFonts w:ascii="Arial" w:hAnsi="Arial" w:cs="Arial"/>
              </w:rPr>
            </w:pPr>
            <w:r>
              <w:rPr>
                <w:rFonts w:eastAsia="Calibri" w:cs="Arial" w:ascii="Arial" w:hAnsi="Arial"/>
                <w:kern w:val="0"/>
                <w:sz w:val="22"/>
                <w:szCs w:val="22"/>
                <w:lang w:val="en-GB" w:eastAsia="en-US" w:bidi="ar-SA"/>
              </w:rPr>
              <w:t>Author(s) and Year</w:t>
            </w:r>
          </w:p>
        </w:tc>
        <w:tc>
          <w:tcPr>
            <w:tcW w:w="1275" w:type="dxa"/>
            <w:tcBorders/>
          </w:tcPr>
          <w:p>
            <w:pPr>
              <w:pStyle w:val="Normal"/>
              <w:widowControl/>
              <w:spacing w:before="0" w:after="0"/>
              <w:rPr>
                <w:rFonts w:ascii="Arial" w:hAnsi="Arial" w:cs="Arial"/>
              </w:rPr>
            </w:pPr>
            <w:r>
              <w:rPr>
                <w:rFonts w:eastAsia="Calibri" w:cs="Arial" w:ascii="Arial" w:hAnsi="Arial"/>
                <w:kern w:val="0"/>
                <w:sz w:val="22"/>
                <w:szCs w:val="22"/>
                <w:lang w:val="en-GB" w:eastAsia="en-US" w:bidi="ar-SA"/>
              </w:rPr>
              <w:t>Title of Study</w:t>
            </w:r>
          </w:p>
        </w:tc>
        <w:tc>
          <w:tcPr>
            <w:tcW w:w="1418" w:type="dxa"/>
            <w:tcBorders/>
          </w:tcPr>
          <w:p>
            <w:pPr>
              <w:pStyle w:val="Normal"/>
              <w:widowControl/>
              <w:spacing w:before="0" w:after="0"/>
              <w:rPr>
                <w:rFonts w:ascii="Arial" w:hAnsi="Arial" w:cs="Arial"/>
              </w:rPr>
            </w:pPr>
            <w:r>
              <w:rPr>
                <w:rFonts w:eastAsia="Calibri" w:cs="Arial" w:ascii="Arial" w:hAnsi="Arial"/>
                <w:kern w:val="0"/>
                <w:sz w:val="22"/>
                <w:szCs w:val="22"/>
                <w:lang w:val="en-GB" w:eastAsia="en-US" w:bidi="ar-SA"/>
              </w:rPr>
              <w:t>Database Used</w:t>
            </w:r>
          </w:p>
        </w:tc>
        <w:tc>
          <w:tcPr>
            <w:tcW w:w="1623" w:type="dxa"/>
            <w:tcBorders/>
          </w:tcPr>
          <w:p>
            <w:pPr>
              <w:pStyle w:val="Normal"/>
              <w:widowControl/>
              <w:spacing w:before="0" w:after="0"/>
              <w:rPr>
                <w:rFonts w:ascii="Arial" w:hAnsi="Arial" w:cs="Arial"/>
              </w:rPr>
            </w:pPr>
            <w:r>
              <w:rPr>
                <w:rFonts w:eastAsia="Calibri" w:cs="Arial" w:ascii="Arial" w:hAnsi="Arial"/>
                <w:kern w:val="0"/>
                <w:sz w:val="22"/>
                <w:szCs w:val="22"/>
                <w:lang w:val="en-GB" w:eastAsia="en-US" w:bidi="ar-SA"/>
              </w:rPr>
              <w:t>Keywords/Combinations Used</w:t>
            </w:r>
          </w:p>
        </w:tc>
        <w:tc>
          <w:tcPr>
            <w:tcW w:w="1316" w:type="dxa"/>
            <w:tcBorders/>
          </w:tcPr>
          <w:p>
            <w:pPr>
              <w:pStyle w:val="Normal"/>
              <w:widowControl/>
              <w:spacing w:before="0" w:after="0"/>
              <w:rPr>
                <w:rFonts w:ascii="Arial" w:hAnsi="Arial" w:cs="Arial"/>
              </w:rPr>
            </w:pPr>
            <w:r>
              <w:rPr>
                <w:rFonts w:eastAsia="Calibri" w:cs="Arial" w:ascii="Arial" w:hAnsi="Arial"/>
                <w:kern w:val="0"/>
                <w:sz w:val="22"/>
                <w:szCs w:val="22"/>
                <w:lang w:val="en-GB" w:eastAsia="en-US" w:bidi="ar-SA"/>
              </w:rPr>
              <w:t>Main Findings</w:t>
            </w:r>
          </w:p>
        </w:tc>
        <w:tc>
          <w:tcPr>
            <w:tcW w:w="1121" w:type="dxa"/>
            <w:tcBorders/>
          </w:tcPr>
          <w:p>
            <w:pPr>
              <w:pStyle w:val="Normal"/>
              <w:widowControl/>
              <w:spacing w:before="0" w:after="0"/>
              <w:rPr>
                <w:rFonts w:ascii="Arial" w:hAnsi="Arial" w:cs="Arial"/>
              </w:rPr>
            </w:pPr>
            <w:r>
              <w:rPr>
                <w:rFonts w:eastAsia="Calibri" w:cs="Arial" w:ascii="Arial" w:hAnsi="Arial"/>
                <w:kern w:val="0"/>
                <w:sz w:val="22"/>
                <w:szCs w:val="22"/>
                <w:lang w:val="en-GB" w:eastAsia="en-US" w:bidi="ar-SA"/>
              </w:rPr>
              <w:t>Relevance to Research Aim</w:t>
            </w:r>
          </w:p>
        </w:tc>
      </w:tr>
      <w:tr>
        <w:trPr/>
        <w:tc>
          <w:tcPr>
            <w:tcW w:w="278" w:type="dxa"/>
            <w:tcBorders/>
          </w:tcPr>
          <w:p>
            <w:pPr>
              <w:pStyle w:val="Normal"/>
              <w:widowControl/>
              <w:spacing w:before="0" w:after="0"/>
              <w:rPr>
                <w:rFonts w:ascii="Arial" w:hAnsi="Arial" w:cs="Arial"/>
              </w:rPr>
            </w:pPr>
            <w:r>
              <w:rPr>
                <w:rFonts w:eastAsia="Calibri" w:cs="Arial" w:ascii="Arial" w:hAnsi="Arial"/>
                <w:kern w:val="0"/>
                <w:sz w:val="22"/>
                <w:szCs w:val="22"/>
                <w:lang w:val="en-GB" w:eastAsia="en-US" w:bidi="ar-SA"/>
              </w:rPr>
              <w:t>1</w:t>
            </w:r>
          </w:p>
        </w:tc>
        <w:tc>
          <w:tcPr>
            <w:tcW w:w="1985" w:type="dxa"/>
            <w:tcBorders/>
          </w:tcPr>
          <w:p>
            <w:pPr>
              <w:pStyle w:val="Normal"/>
              <w:widowControl/>
              <w:spacing w:before="0" w:after="0"/>
              <w:rPr>
                <w:rFonts w:ascii="Arial" w:hAnsi="Arial" w:cs="Arial"/>
              </w:rPr>
            </w:pPr>
            <w:r>
              <w:rPr>
                <w:rFonts w:eastAsia="Calibri" w:cs="Arial" w:ascii="Arial" w:hAnsi="Arial"/>
                <w:kern w:val="0"/>
                <w:sz w:val="22"/>
                <w:szCs w:val="22"/>
                <w:lang w:val="en-GB" w:eastAsia="en-US" w:bidi="ar-SA"/>
              </w:rPr>
              <w:t>Maslach and Leiter (2016)</w:t>
            </w:r>
          </w:p>
        </w:tc>
        <w:tc>
          <w:tcPr>
            <w:tcW w:w="1275" w:type="dxa"/>
            <w:tcBorders/>
          </w:tcPr>
          <w:p>
            <w:pPr>
              <w:pStyle w:val="Normal"/>
              <w:widowControl/>
              <w:spacing w:before="0" w:after="0"/>
              <w:rPr>
                <w:rFonts w:ascii="Arial" w:hAnsi="Arial" w:cs="Arial"/>
              </w:rPr>
            </w:pPr>
            <w:r>
              <w:rPr>
                <w:rFonts w:eastAsia="Calibri" w:cs="Arial" w:ascii="Arial" w:hAnsi="Arial"/>
                <w:kern w:val="0"/>
                <w:sz w:val="22"/>
                <w:szCs w:val="22"/>
                <w:lang w:val="en-GB" w:eastAsia="en-US" w:bidi="ar-SA"/>
              </w:rPr>
              <w:t>Understanding the Burnout Experience</w:t>
            </w:r>
          </w:p>
        </w:tc>
        <w:tc>
          <w:tcPr>
            <w:tcW w:w="1418" w:type="dxa"/>
            <w:tcBorders/>
          </w:tcPr>
          <w:p>
            <w:pPr>
              <w:pStyle w:val="Normal"/>
              <w:widowControl/>
              <w:spacing w:before="0" w:after="0"/>
              <w:rPr>
                <w:rFonts w:ascii="Arial" w:hAnsi="Arial" w:cs="Arial"/>
              </w:rPr>
            </w:pPr>
            <w:r>
              <w:rPr>
                <w:rFonts w:eastAsia="Calibri" w:cs="Arial" w:ascii="Arial" w:hAnsi="Arial"/>
                <w:kern w:val="0"/>
                <w:sz w:val="22"/>
                <w:szCs w:val="22"/>
                <w:lang w:val="en-GB" w:eastAsia="en-US" w:bidi="ar-SA"/>
              </w:rPr>
              <w:t>Google Scholar</w:t>
            </w:r>
          </w:p>
        </w:tc>
        <w:tc>
          <w:tcPr>
            <w:tcW w:w="1623" w:type="dxa"/>
            <w:tcBorders/>
          </w:tcPr>
          <w:p>
            <w:pPr>
              <w:pStyle w:val="Normal"/>
              <w:widowControl/>
              <w:spacing w:before="0" w:after="0"/>
              <w:rPr>
                <w:rFonts w:ascii="Arial" w:hAnsi="Arial" w:cs="Arial"/>
              </w:rPr>
            </w:pPr>
            <w:r>
              <w:rPr>
                <w:rFonts w:eastAsia="Calibri" w:cs="Arial" w:ascii="Arial" w:hAnsi="Arial"/>
                <w:kern w:val="0"/>
                <w:sz w:val="22"/>
                <w:szCs w:val="22"/>
                <w:lang w:val="en-GB" w:eastAsia="en-US" w:bidi="ar-SA"/>
              </w:rPr>
              <w:t>"burnout AND health care"</w:t>
            </w:r>
          </w:p>
        </w:tc>
        <w:tc>
          <w:tcPr>
            <w:tcW w:w="1316" w:type="dxa"/>
            <w:tcBorders/>
          </w:tcPr>
          <w:p>
            <w:pPr>
              <w:pStyle w:val="Normal"/>
              <w:widowControl/>
              <w:spacing w:before="0" w:after="0"/>
              <w:rPr>
                <w:rFonts w:ascii="Arial" w:hAnsi="Arial" w:cs="Arial"/>
              </w:rPr>
            </w:pPr>
            <w:r>
              <w:rPr>
                <w:rFonts w:eastAsia="Calibri" w:cs="Arial" w:ascii="Arial" w:hAnsi="Arial"/>
                <w:kern w:val="0"/>
                <w:sz w:val="22"/>
                <w:szCs w:val="22"/>
                <w:lang w:val="en-GB" w:eastAsia="en-US" w:bidi="ar-SA"/>
              </w:rPr>
              <w:t>Identifies emotional exhaustion as a key stressor</w:t>
            </w:r>
          </w:p>
        </w:tc>
        <w:tc>
          <w:tcPr>
            <w:tcW w:w="1121" w:type="dxa"/>
            <w:tcBorders/>
          </w:tcPr>
          <w:p>
            <w:pPr>
              <w:pStyle w:val="Normal"/>
              <w:widowControl/>
              <w:spacing w:before="0" w:after="0"/>
              <w:rPr>
                <w:rFonts w:ascii="Arial" w:hAnsi="Arial" w:cs="Arial"/>
              </w:rPr>
            </w:pPr>
            <w:r>
              <w:rPr>
                <w:rFonts w:eastAsia="Calibri" w:cs="Arial" w:ascii="Arial" w:hAnsi="Arial"/>
                <w:kern w:val="0"/>
                <w:sz w:val="22"/>
                <w:szCs w:val="22"/>
                <w:lang w:val="en-GB" w:eastAsia="en-US" w:bidi="ar-SA"/>
              </w:rPr>
              <w:t>Supports Theme 1: Burnout and Mental Health</w:t>
            </w:r>
          </w:p>
        </w:tc>
      </w:tr>
      <w:tr>
        <w:trPr/>
        <w:tc>
          <w:tcPr>
            <w:tcW w:w="278" w:type="dxa"/>
            <w:tcBorders/>
          </w:tcPr>
          <w:p>
            <w:pPr>
              <w:pStyle w:val="Normal"/>
              <w:widowControl/>
              <w:spacing w:before="0" w:after="0"/>
              <w:rPr>
                <w:rFonts w:ascii="Arial" w:hAnsi="Arial" w:cs="Arial"/>
              </w:rPr>
            </w:pPr>
            <w:r>
              <w:rPr>
                <w:rFonts w:eastAsia="Calibri" w:cs="Arial" w:ascii="Arial" w:hAnsi="Arial"/>
                <w:kern w:val="0"/>
                <w:sz w:val="22"/>
                <w:szCs w:val="22"/>
                <w:lang w:val="en-GB" w:eastAsia="en-US" w:bidi="ar-SA"/>
              </w:rPr>
              <w:t>2</w:t>
            </w:r>
          </w:p>
        </w:tc>
        <w:tc>
          <w:tcPr>
            <w:tcW w:w="1985" w:type="dxa"/>
            <w:tcBorders/>
          </w:tcPr>
          <w:p>
            <w:pPr>
              <w:pStyle w:val="Normal"/>
              <w:widowControl/>
              <w:spacing w:before="0" w:after="0"/>
              <w:rPr>
                <w:rFonts w:ascii="Arial" w:hAnsi="Arial" w:cs="Arial"/>
              </w:rPr>
            </w:pPr>
            <w:r>
              <w:rPr>
                <w:rFonts w:eastAsia="Calibri" w:cs="Arial" w:ascii="Arial" w:hAnsi="Arial"/>
                <w:kern w:val="0"/>
                <w:sz w:val="22"/>
                <w:szCs w:val="22"/>
                <w:lang w:val="en-GB" w:eastAsia="en-US" w:bidi="ar-SA"/>
              </w:rPr>
              <w:t xml:space="preserve">West </w:t>
            </w:r>
            <w:r>
              <w:rPr>
                <w:rFonts w:eastAsia="Calibri" w:cs="Arial" w:ascii="Arial" w:hAnsi="Arial"/>
                <w:i/>
                <w:iCs/>
                <w:kern w:val="0"/>
                <w:sz w:val="22"/>
                <w:szCs w:val="22"/>
                <w:lang w:val="en-GB" w:eastAsia="en-US" w:bidi="ar-SA"/>
              </w:rPr>
              <w:t>et al.</w:t>
            </w:r>
            <w:r>
              <w:rPr>
                <w:rFonts w:eastAsia="Calibri" w:cs="Arial" w:ascii="Arial" w:hAnsi="Arial"/>
                <w:kern w:val="0"/>
                <w:sz w:val="22"/>
                <w:szCs w:val="22"/>
                <w:lang w:val="en-GB" w:eastAsia="en-US" w:bidi="ar-SA"/>
              </w:rPr>
              <w:t xml:space="preserve"> (2019)</w:t>
            </w:r>
          </w:p>
        </w:tc>
        <w:tc>
          <w:tcPr>
            <w:tcW w:w="1275" w:type="dxa"/>
            <w:tcBorders/>
          </w:tcPr>
          <w:p>
            <w:pPr>
              <w:pStyle w:val="Normal"/>
              <w:widowControl/>
              <w:spacing w:before="0" w:after="0"/>
              <w:rPr>
                <w:rFonts w:ascii="Arial" w:hAnsi="Arial" w:cs="Arial"/>
              </w:rPr>
            </w:pPr>
            <w:r>
              <w:rPr>
                <w:rFonts w:eastAsia="Calibri" w:cs="Arial" w:ascii="Arial" w:hAnsi="Arial"/>
                <w:kern w:val="0"/>
                <w:sz w:val="22"/>
                <w:szCs w:val="22"/>
                <w:lang w:val="en-GB" w:eastAsia="en-US" w:bidi="ar-SA"/>
              </w:rPr>
              <w:t>The Courage of Compassion</w:t>
            </w:r>
          </w:p>
        </w:tc>
        <w:tc>
          <w:tcPr>
            <w:tcW w:w="1418" w:type="dxa"/>
            <w:tcBorders/>
          </w:tcPr>
          <w:p>
            <w:pPr>
              <w:pStyle w:val="Normal"/>
              <w:widowControl/>
              <w:spacing w:before="0" w:after="0"/>
              <w:rPr>
                <w:rFonts w:ascii="Arial" w:hAnsi="Arial" w:cs="Arial"/>
              </w:rPr>
            </w:pPr>
            <w:r>
              <w:rPr>
                <w:rFonts w:eastAsia="Calibri" w:cs="Arial" w:ascii="Arial" w:hAnsi="Arial"/>
                <w:kern w:val="0"/>
                <w:sz w:val="22"/>
                <w:szCs w:val="22"/>
                <w:lang w:val="en-GB" w:eastAsia="en-US" w:bidi="ar-SA"/>
              </w:rPr>
              <w:t>UWTSD Library</w:t>
            </w:r>
          </w:p>
        </w:tc>
        <w:tc>
          <w:tcPr>
            <w:tcW w:w="1623" w:type="dxa"/>
            <w:tcBorders/>
          </w:tcPr>
          <w:p>
            <w:pPr>
              <w:pStyle w:val="Normal"/>
              <w:widowControl/>
              <w:spacing w:before="0" w:after="0"/>
              <w:rPr>
                <w:rFonts w:ascii="Arial" w:hAnsi="Arial" w:cs="Arial"/>
              </w:rPr>
            </w:pPr>
            <w:r>
              <w:rPr>
                <w:rFonts w:eastAsia="Calibri" w:cs="Arial" w:ascii="Arial" w:hAnsi="Arial"/>
                <w:kern w:val="0"/>
                <w:sz w:val="22"/>
                <w:szCs w:val="22"/>
                <w:lang w:val="en-GB" w:eastAsia="en-US" w:bidi="ar-SA"/>
              </w:rPr>
              <w:t>"Staff Wellbeing AND NHS"</w:t>
            </w:r>
          </w:p>
        </w:tc>
        <w:tc>
          <w:tcPr>
            <w:tcW w:w="1316" w:type="dxa"/>
            <w:tcBorders/>
          </w:tcPr>
          <w:p>
            <w:pPr>
              <w:pStyle w:val="Normal"/>
              <w:widowControl/>
              <w:spacing w:before="0" w:after="0"/>
              <w:rPr>
                <w:rFonts w:ascii="Arial" w:hAnsi="Arial" w:cs="Arial"/>
              </w:rPr>
            </w:pPr>
            <w:r>
              <w:rPr>
                <w:rFonts w:eastAsia="Calibri" w:cs="Arial" w:ascii="Arial" w:hAnsi="Arial"/>
                <w:kern w:val="0"/>
                <w:sz w:val="22"/>
                <w:szCs w:val="22"/>
                <w:lang w:val="en-GB" w:eastAsia="en-US" w:bidi="ar-SA"/>
              </w:rPr>
              <w:t>Highlights the need for mental health support in the NHS</w:t>
            </w:r>
          </w:p>
        </w:tc>
        <w:tc>
          <w:tcPr>
            <w:tcW w:w="1121" w:type="dxa"/>
            <w:tcBorders/>
          </w:tcPr>
          <w:p>
            <w:pPr>
              <w:pStyle w:val="Normal"/>
              <w:widowControl/>
              <w:spacing w:before="0" w:after="0"/>
              <w:rPr>
                <w:rFonts w:ascii="Arial" w:hAnsi="Arial" w:cs="Arial"/>
              </w:rPr>
            </w:pPr>
            <w:r>
              <w:rPr>
                <w:rFonts w:eastAsia="Calibri" w:cs="Arial" w:ascii="Arial" w:hAnsi="Arial"/>
                <w:kern w:val="0"/>
                <w:sz w:val="22"/>
                <w:szCs w:val="22"/>
                <w:lang w:val="en-GB" w:eastAsia="en-US" w:bidi="ar-SA"/>
              </w:rPr>
              <w:t>Aligns with staff wellbeing and retention</w:t>
            </w:r>
          </w:p>
        </w:tc>
      </w:tr>
      <w:tr>
        <w:trPr/>
        <w:tc>
          <w:tcPr>
            <w:tcW w:w="278" w:type="dxa"/>
            <w:tcBorders/>
          </w:tcPr>
          <w:p>
            <w:pPr>
              <w:pStyle w:val="Normal"/>
              <w:widowControl/>
              <w:spacing w:before="0" w:after="0"/>
              <w:rPr>
                <w:rFonts w:ascii="Arial" w:hAnsi="Arial" w:cs="Arial"/>
              </w:rPr>
            </w:pPr>
            <w:r>
              <w:rPr>
                <w:rFonts w:eastAsia="Calibri" w:cs="Arial" w:ascii="Arial" w:hAnsi="Arial"/>
                <w:kern w:val="0"/>
                <w:sz w:val="22"/>
                <w:szCs w:val="22"/>
                <w:lang w:val="en-GB" w:eastAsia="en-US" w:bidi="ar-SA"/>
              </w:rPr>
              <w:t>3</w:t>
            </w:r>
          </w:p>
        </w:tc>
        <w:tc>
          <w:tcPr>
            <w:tcW w:w="1985" w:type="dxa"/>
            <w:tcBorders/>
          </w:tcPr>
          <w:p>
            <w:pPr>
              <w:pStyle w:val="Normal"/>
              <w:widowControl/>
              <w:spacing w:before="0" w:after="0"/>
              <w:rPr>
                <w:rFonts w:ascii="Arial" w:hAnsi="Arial" w:cs="Arial"/>
              </w:rPr>
            </w:pPr>
            <w:r>
              <w:rPr>
                <w:rFonts w:eastAsia="Calibri" w:cs="Arial" w:ascii="Arial" w:hAnsi="Arial"/>
                <w:kern w:val="0"/>
                <w:sz w:val="22"/>
                <w:szCs w:val="22"/>
                <w:lang w:val="en-GB" w:eastAsia="en-US" w:bidi="ar-SA"/>
              </w:rPr>
              <w:t xml:space="preserve">Khamisa </w:t>
            </w:r>
            <w:r>
              <w:rPr>
                <w:rFonts w:eastAsia="Calibri" w:cs="Arial" w:ascii="Arial" w:hAnsi="Arial"/>
                <w:i/>
                <w:iCs/>
                <w:kern w:val="0"/>
                <w:sz w:val="22"/>
                <w:szCs w:val="22"/>
                <w:lang w:val="en-GB" w:eastAsia="en-US" w:bidi="ar-SA"/>
              </w:rPr>
              <w:t>et al.</w:t>
            </w:r>
            <w:r>
              <w:rPr>
                <w:rFonts w:eastAsia="Calibri" w:cs="Arial" w:ascii="Arial" w:hAnsi="Arial"/>
                <w:kern w:val="0"/>
                <w:sz w:val="22"/>
                <w:szCs w:val="22"/>
                <w:lang w:val="en-GB" w:eastAsia="en-US" w:bidi="ar-SA"/>
              </w:rPr>
              <w:t xml:space="preserve"> (2016)</w:t>
            </w:r>
          </w:p>
        </w:tc>
        <w:tc>
          <w:tcPr>
            <w:tcW w:w="1275" w:type="dxa"/>
            <w:tcBorders/>
          </w:tcPr>
          <w:p>
            <w:pPr>
              <w:pStyle w:val="Normal"/>
              <w:widowControl/>
              <w:spacing w:before="0" w:after="0"/>
              <w:rPr>
                <w:rFonts w:ascii="Arial" w:hAnsi="Arial" w:cs="Arial"/>
              </w:rPr>
            </w:pPr>
            <w:r>
              <w:rPr>
                <w:rFonts w:eastAsia="Calibri" w:cs="Arial" w:ascii="Arial" w:hAnsi="Arial"/>
                <w:kern w:val="0"/>
                <w:sz w:val="22"/>
                <w:szCs w:val="22"/>
                <w:lang w:val="en-GB" w:eastAsia="en-US" w:bidi="ar-SA"/>
              </w:rPr>
              <w:t>Stress and burnout in nurses</w:t>
            </w:r>
          </w:p>
        </w:tc>
        <w:tc>
          <w:tcPr>
            <w:tcW w:w="1418" w:type="dxa"/>
            <w:tcBorders/>
          </w:tcPr>
          <w:p>
            <w:pPr>
              <w:pStyle w:val="Normal"/>
              <w:widowControl/>
              <w:spacing w:before="0" w:after="0"/>
              <w:rPr>
                <w:rFonts w:ascii="Arial" w:hAnsi="Arial" w:cs="Arial"/>
              </w:rPr>
            </w:pPr>
            <w:r>
              <w:rPr>
                <w:rFonts w:eastAsia="Calibri" w:cs="Arial" w:ascii="Arial" w:hAnsi="Arial"/>
                <w:kern w:val="0"/>
                <w:sz w:val="22"/>
                <w:szCs w:val="22"/>
                <w:lang w:val="en-GB" w:eastAsia="en-US" w:bidi="ar-SA"/>
              </w:rPr>
              <w:t>PubMed</w:t>
            </w:r>
          </w:p>
        </w:tc>
        <w:tc>
          <w:tcPr>
            <w:tcW w:w="1623" w:type="dxa"/>
            <w:tcBorders/>
          </w:tcPr>
          <w:p>
            <w:pPr>
              <w:pStyle w:val="Normal"/>
              <w:widowControl/>
              <w:spacing w:before="0" w:after="0"/>
              <w:rPr>
                <w:rFonts w:ascii="Arial" w:hAnsi="Arial" w:cs="Arial"/>
              </w:rPr>
            </w:pPr>
            <w:r>
              <w:rPr>
                <w:rFonts w:eastAsia="Calibri" w:cs="Arial" w:ascii="Arial" w:hAnsi="Arial"/>
                <w:kern w:val="0"/>
                <w:sz w:val="22"/>
                <w:szCs w:val="22"/>
                <w:lang w:val="en-GB" w:eastAsia="en-US" w:bidi="ar-SA"/>
              </w:rPr>
              <w:t>"occupational stress AND nursing"</w:t>
            </w:r>
          </w:p>
        </w:tc>
        <w:tc>
          <w:tcPr>
            <w:tcW w:w="1316" w:type="dxa"/>
            <w:tcBorders/>
          </w:tcPr>
          <w:p>
            <w:pPr>
              <w:pStyle w:val="Normal"/>
              <w:widowControl/>
              <w:spacing w:before="0" w:after="0"/>
              <w:rPr>
                <w:rFonts w:ascii="Arial" w:hAnsi="Arial" w:cs="Arial"/>
              </w:rPr>
            </w:pPr>
            <w:r>
              <w:rPr>
                <w:rFonts w:eastAsia="Calibri" w:cs="Arial" w:ascii="Arial" w:hAnsi="Arial"/>
                <w:kern w:val="0"/>
                <w:sz w:val="22"/>
                <w:szCs w:val="22"/>
                <w:lang w:val="en-GB" w:eastAsia="en-US" w:bidi="ar-SA"/>
              </w:rPr>
              <w:t>Shows correlation between stress and job dissatisfaction</w:t>
            </w:r>
          </w:p>
        </w:tc>
        <w:tc>
          <w:tcPr>
            <w:tcW w:w="1121" w:type="dxa"/>
            <w:tcBorders/>
          </w:tcPr>
          <w:p>
            <w:pPr>
              <w:pStyle w:val="Normal"/>
              <w:widowControl/>
              <w:spacing w:before="0" w:after="0"/>
              <w:rPr>
                <w:rFonts w:ascii="Arial" w:hAnsi="Arial" w:cs="Arial"/>
              </w:rPr>
            </w:pPr>
            <w:r>
              <w:rPr>
                <w:rFonts w:eastAsia="Calibri" w:cs="Arial" w:ascii="Arial" w:hAnsi="Arial"/>
                <w:kern w:val="0"/>
                <w:sz w:val="22"/>
                <w:szCs w:val="22"/>
                <w:lang w:val="en-GB" w:eastAsia="en-US" w:bidi="ar-SA"/>
              </w:rPr>
              <w:t>Supports Theme 2: Job Satisfaction and Retention</w:t>
            </w:r>
          </w:p>
        </w:tc>
      </w:tr>
      <w:tr>
        <w:trPr/>
        <w:tc>
          <w:tcPr>
            <w:tcW w:w="278" w:type="dxa"/>
            <w:tcBorders/>
          </w:tcPr>
          <w:p>
            <w:pPr>
              <w:pStyle w:val="Normal"/>
              <w:widowControl/>
              <w:spacing w:before="0" w:after="0"/>
              <w:rPr>
                <w:rFonts w:ascii="Arial" w:hAnsi="Arial" w:cs="Arial"/>
              </w:rPr>
            </w:pPr>
            <w:r>
              <w:rPr>
                <w:rFonts w:eastAsia="Calibri" w:cs="Arial" w:ascii="Arial" w:hAnsi="Arial"/>
                <w:kern w:val="0"/>
                <w:sz w:val="22"/>
                <w:szCs w:val="22"/>
                <w:lang w:val="en-GB" w:eastAsia="en-US" w:bidi="ar-SA"/>
              </w:rPr>
              <w:t>4</w:t>
            </w:r>
          </w:p>
        </w:tc>
        <w:tc>
          <w:tcPr>
            <w:tcW w:w="1985" w:type="dxa"/>
            <w:tcBorders/>
          </w:tcPr>
          <w:p>
            <w:pPr>
              <w:pStyle w:val="Normal"/>
              <w:widowControl/>
              <w:spacing w:before="0" w:after="0"/>
              <w:rPr>
                <w:rFonts w:ascii="Arial" w:hAnsi="Arial" w:cs="Arial"/>
              </w:rPr>
            </w:pPr>
            <w:r>
              <w:rPr>
                <w:rFonts w:eastAsia="Calibri" w:cs="Arial" w:ascii="Arial" w:hAnsi="Arial"/>
                <w:kern w:val="0"/>
                <w:sz w:val="22"/>
                <w:szCs w:val="22"/>
                <w:lang w:val="en-GB" w:eastAsia="en-US" w:bidi="ar-SA"/>
              </w:rPr>
              <w:t>NHS Confederation (2023)</w:t>
            </w:r>
          </w:p>
        </w:tc>
        <w:tc>
          <w:tcPr>
            <w:tcW w:w="1275" w:type="dxa"/>
            <w:tcBorders/>
          </w:tcPr>
          <w:p>
            <w:pPr>
              <w:pStyle w:val="Normal"/>
              <w:widowControl/>
              <w:spacing w:before="0" w:after="0"/>
              <w:rPr>
                <w:rFonts w:ascii="Arial" w:hAnsi="Arial" w:cs="Arial"/>
              </w:rPr>
            </w:pPr>
            <w:r>
              <w:rPr>
                <w:rFonts w:eastAsia="Calibri" w:cs="Arial" w:ascii="Arial" w:hAnsi="Arial"/>
                <w:kern w:val="0"/>
                <w:sz w:val="22"/>
                <w:szCs w:val="22"/>
                <w:lang w:val="en-GB" w:eastAsia="en-US" w:bidi="ar-SA"/>
              </w:rPr>
              <w:t>Mental Health of Frontline Staff</w:t>
            </w:r>
          </w:p>
        </w:tc>
        <w:tc>
          <w:tcPr>
            <w:tcW w:w="1418" w:type="dxa"/>
            <w:tcBorders/>
          </w:tcPr>
          <w:p>
            <w:pPr>
              <w:pStyle w:val="Normal"/>
              <w:widowControl/>
              <w:spacing w:before="0" w:after="0"/>
              <w:rPr>
                <w:rFonts w:ascii="Arial" w:hAnsi="Arial" w:cs="Arial"/>
              </w:rPr>
            </w:pPr>
            <w:r>
              <w:rPr>
                <w:rFonts w:eastAsia="Calibri" w:cs="Arial" w:ascii="Arial" w:hAnsi="Arial"/>
                <w:kern w:val="0"/>
                <w:sz w:val="22"/>
                <w:szCs w:val="22"/>
                <w:lang w:val="en-GB" w:eastAsia="en-US" w:bidi="ar-SA"/>
              </w:rPr>
              <w:t>NHS Confederation</w:t>
            </w:r>
          </w:p>
        </w:tc>
        <w:tc>
          <w:tcPr>
            <w:tcW w:w="1623" w:type="dxa"/>
            <w:tcBorders/>
          </w:tcPr>
          <w:p>
            <w:pPr>
              <w:pStyle w:val="Normal"/>
              <w:widowControl/>
              <w:spacing w:before="0" w:after="0"/>
              <w:rPr>
                <w:rFonts w:ascii="Arial" w:hAnsi="Arial" w:cs="Arial"/>
              </w:rPr>
            </w:pPr>
            <w:r>
              <w:rPr>
                <w:rFonts w:eastAsia="Calibri" w:cs="Arial" w:ascii="Arial" w:hAnsi="Arial"/>
                <w:kern w:val="0"/>
                <w:sz w:val="22"/>
                <w:szCs w:val="22"/>
                <w:lang w:val="en-GB" w:eastAsia="en-US" w:bidi="ar-SA"/>
              </w:rPr>
              <w:t>"NHS staff mental health"</w:t>
            </w:r>
          </w:p>
        </w:tc>
        <w:tc>
          <w:tcPr>
            <w:tcW w:w="1316" w:type="dxa"/>
            <w:tcBorders/>
          </w:tcPr>
          <w:p>
            <w:pPr>
              <w:pStyle w:val="Normal"/>
              <w:widowControl/>
              <w:spacing w:before="0" w:after="0"/>
              <w:rPr>
                <w:rFonts w:ascii="Arial" w:hAnsi="Arial" w:cs="Arial"/>
              </w:rPr>
            </w:pPr>
            <w:r>
              <w:rPr>
                <w:rFonts w:eastAsia="Calibri" w:cs="Arial" w:ascii="Arial" w:hAnsi="Arial"/>
                <w:kern w:val="0"/>
                <w:sz w:val="22"/>
                <w:szCs w:val="22"/>
                <w:lang w:val="en-GB" w:eastAsia="en-US" w:bidi="ar-SA"/>
              </w:rPr>
              <w:t>Discusses COVID-19 impact on staff wellbeing</w:t>
            </w:r>
          </w:p>
        </w:tc>
        <w:tc>
          <w:tcPr>
            <w:tcW w:w="1121" w:type="dxa"/>
            <w:tcBorders/>
          </w:tcPr>
          <w:p>
            <w:pPr>
              <w:pStyle w:val="Normal"/>
              <w:widowControl/>
              <w:spacing w:before="0" w:after="0"/>
              <w:rPr>
                <w:rFonts w:ascii="Arial" w:hAnsi="Arial" w:cs="Arial"/>
              </w:rPr>
            </w:pPr>
            <w:r>
              <w:rPr>
                <w:rFonts w:eastAsia="Calibri" w:cs="Arial" w:ascii="Arial" w:hAnsi="Arial"/>
                <w:kern w:val="0"/>
                <w:sz w:val="22"/>
                <w:szCs w:val="22"/>
                <w:lang w:val="en-GB" w:eastAsia="en-US" w:bidi="ar-SA"/>
              </w:rPr>
              <w:t>Informs post-pandemic context</w:t>
            </w:r>
          </w:p>
        </w:tc>
      </w:tr>
      <w:tr>
        <w:trPr/>
        <w:tc>
          <w:tcPr>
            <w:tcW w:w="278" w:type="dxa"/>
            <w:tcBorders/>
          </w:tcPr>
          <w:p>
            <w:pPr>
              <w:pStyle w:val="Normal"/>
              <w:widowControl/>
              <w:spacing w:before="0" w:after="0"/>
              <w:rPr>
                <w:rFonts w:ascii="Arial" w:hAnsi="Arial" w:cs="Arial"/>
              </w:rPr>
            </w:pPr>
            <w:r>
              <w:rPr>
                <w:rFonts w:eastAsia="Calibri" w:cs="Arial" w:ascii="Arial" w:hAnsi="Arial"/>
                <w:kern w:val="0"/>
                <w:sz w:val="22"/>
                <w:szCs w:val="22"/>
                <w:lang w:val="en-GB" w:eastAsia="en-US" w:bidi="ar-SA"/>
              </w:rPr>
              <w:t>5</w:t>
            </w:r>
          </w:p>
        </w:tc>
        <w:tc>
          <w:tcPr>
            <w:tcW w:w="1985" w:type="dxa"/>
            <w:tcBorders/>
          </w:tcPr>
          <w:p>
            <w:pPr>
              <w:pStyle w:val="Normal"/>
              <w:widowControl/>
              <w:spacing w:before="0" w:after="0"/>
              <w:rPr>
                <w:rFonts w:ascii="Arial" w:hAnsi="Arial" w:cs="Arial"/>
              </w:rPr>
            </w:pPr>
            <w:r>
              <w:rPr>
                <w:rFonts w:eastAsia="Calibri" w:cs="Arial" w:ascii="Arial" w:hAnsi="Arial"/>
                <w:kern w:val="0"/>
                <w:sz w:val="22"/>
                <w:szCs w:val="22"/>
                <w:lang w:val="en-GB" w:eastAsia="en-US" w:bidi="ar-SA"/>
              </w:rPr>
              <w:t xml:space="preserve">Teoh </w:t>
            </w:r>
            <w:r>
              <w:rPr>
                <w:rFonts w:eastAsia="Calibri" w:cs="Arial" w:ascii="Arial" w:hAnsi="Arial"/>
                <w:i/>
                <w:iCs/>
                <w:kern w:val="0"/>
                <w:sz w:val="22"/>
                <w:szCs w:val="22"/>
                <w:lang w:val="en-GB" w:eastAsia="en-US" w:bidi="ar-SA"/>
              </w:rPr>
              <w:t>et al.</w:t>
            </w:r>
            <w:r>
              <w:rPr>
                <w:rFonts w:eastAsia="Calibri" w:cs="Arial" w:ascii="Arial" w:hAnsi="Arial"/>
                <w:kern w:val="0"/>
                <w:sz w:val="22"/>
                <w:szCs w:val="22"/>
                <w:lang w:val="en-GB" w:eastAsia="en-US" w:bidi="ar-SA"/>
              </w:rPr>
              <w:t xml:space="preserve"> (2023)</w:t>
            </w:r>
          </w:p>
        </w:tc>
        <w:tc>
          <w:tcPr>
            <w:tcW w:w="1275" w:type="dxa"/>
            <w:tcBorders/>
          </w:tcPr>
          <w:p>
            <w:pPr>
              <w:pStyle w:val="Normal"/>
              <w:widowControl/>
              <w:spacing w:before="0" w:after="0"/>
              <w:rPr>
                <w:rFonts w:ascii="Arial" w:hAnsi="Arial" w:cs="Arial"/>
              </w:rPr>
            </w:pPr>
            <w:r>
              <w:rPr>
                <w:rFonts w:eastAsia="Calibri" w:cs="Arial" w:ascii="Arial" w:hAnsi="Arial"/>
                <w:kern w:val="0"/>
                <w:sz w:val="22"/>
                <w:szCs w:val="22"/>
                <w:lang w:val="en-GB" w:eastAsia="en-US" w:bidi="ar-SA"/>
              </w:rPr>
              <w:t>Organisational Wellbeing Interventions</w:t>
            </w:r>
          </w:p>
        </w:tc>
        <w:tc>
          <w:tcPr>
            <w:tcW w:w="1418" w:type="dxa"/>
            <w:tcBorders/>
          </w:tcPr>
          <w:p>
            <w:pPr>
              <w:pStyle w:val="Normal"/>
              <w:widowControl/>
              <w:spacing w:before="0" w:after="0"/>
              <w:rPr>
                <w:rFonts w:ascii="Arial" w:hAnsi="Arial" w:cs="Arial"/>
              </w:rPr>
            </w:pPr>
            <w:r>
              <w:rPr>
                <w:rFonts w:eastAsia="Calibri" w:cs="Arial" w:ascii="Arial" w:hAnsi="Arial"/>
                <w:kern w:val="0"/>
                <w:sz w:val="22"/>
                <w:szCs w:val="22"/>
                <w:lang w:val="en-GB" w:eastAsia="en-US" w:bidi="ar-SA"/>
              </w:rPr>
              <w:t>CINAHL</w:t>
            </w:r>
          </w:p>
        </w:tc>
        <w:tc>
          <w:tcPr>
            <w:tcW w:w="1623" w:type="dxa"/>
            <w:tcBorders/>
          </w:tcPr>
          <w:p>
            <w:pPr>
              <w:pStyle w:val="Normal"/>
              <w:widowControl/>
              <w:spacing w:before="0" w:after="0"/>
              <w:rPr>
                <w:rFonts w:ascii="Arial" w:hAnsi="Arial" w:cs="Arial"/>
              </w:rPr>
            </w:pPr>
            <w:r>
              <w:rPr>
                <w:rFonts w:eastAsia="Calibri" w:cs="Arial" w:ascii="Arial" w:hAnsi="Arial"/>
                <w:kern w:val="0"/>
                <w:sz w:val="22"/>
                <w:szCs w:val="22"/>
                <w:lang w:val="en-GB" w:eastAsia="en-US" w:bidi="ar-SA"/>
              </w:rPr>
              <w:t>"workplace wellbeing interventions"</w:t>
            </w:r>
          </w:p>
        </w:tc>
        <w:tc>
          <w:tcPr>
            <w:tcW w:w="1316" w:type="dxa"/>
            <w:tcBorders/>
          </w:tcPr>
          <w:p>
            <w:pPr>
              <w:pStyle w:val="Normal"/>
              <w:widowControl/>
              <w:spacing w:before="0" w:after="0"/>
              <w:rPr>
                <w:rFonts w:ascii="Arial" w:hAnsi="Arial" w:cs="Arial"/>
              </w:rPr>
            </w:pPr>
            <w:r>
              <w:rPr>
                <w:rFonts w:eastAsia="Calibri" w:cs="Arial" w:ascii="Arial" w:hAnsi="Arial"/>
                <w:kern w:val="0"/>
                <w:sz w:val="22"/>
                <w:szCs w:val="22"/>
                <w:lang w:val="en-GB" w:eastAsia="en-US" w:bidi="ar-SA"/>
              </w:rPr>
              <w:t>Case studies on NHS interventions</w:t>
            </w:r>
          </w:p>
        </w:tc>
        <w:tc>
          <w:tcPr>
            <w:tcW w:w="1121" w:type="dxa"/>
            <w:tcBorders/>
          </w:tcPr>
          <w:p>
            <w:pPr>
              <w:pStyle w:val="Normal"/>
              <w:widowControl/>
              <w:spacing w:before="0" w:after="0"/>
              <w:rPr>
                <w:rFonts w:ascii="Arial" w:hAnsi="Arial" w:cs="Arial"/>
              </w:rPr>
            </w:pPr>
            <w:r>
              <w:rPr>
                <w:rFonts w:eastAsia="Calibri" w:cs="Arial" w:ascii="Arial" w:hAnsi="Arial"/>
                <w:kern w:val="0"/>
                <w:sz w:val="22"/>
                <w:szCs w:val="22"/>
                <w:lang w:val="en-GB" w:eastAsia="en-US" w:bidi="ar-SA"/>
              </w:rPr>
              <w:t>Relevant to policy and practice solutions</w:t>
            </w:r>
          </w:p>
        </w:tc>
      </w:tr>
    </w:tbl>
    <w:p>
      <w:pPr>
        <w:pStyle w:val="Normal"/>
        <w:rPr/>
      </w:pPr>
      <w:r>
        <w:rPr/>
      </w:r>
    </w:p>
    <w:p>
      <w:pPr>
        <w:pStyle w:val="Normal"/>
        <w:rPr/>
      </w:pPr>
      <w:r>
        <w:rPr/>
      </w:r>
    </w:p>
    <w:p>
      <w:pPr>
        <w:pStyle w:val="Normal"/>
        <w:spacing w:before="0" w:after="160"/>
        <w:rPr>
          <w:rFonts w:ascii="Arial" w:hAnsi="Arial" w:cs="Arial"/>
        </w:rPr>
      </w:pPr>
      <w:r>
        <w:rPr>
          <w:rFonts w:cs="Arial" w:ascii="Arial" w:hAnsi="Arial"/>
        </w:rPr>
      </w:r>
    </w:p>
    <w:sectPr>
      <w:footerReference w:type="even" r:id="rId12"/>
      <w:footerReference w:type="default" r:id="rId13"/>
      <w:footerReference w:type="first" r:id="rId14"/>
      <w:type w:val="nextPage"/>
      <w:pgSz w:w="11906" w:h="16838"/>
      <w:pgMar w:left="1440" w:right="1440" w:gutter="0" w:header="0" w:top="1440" w:footer="708" w:bottom="144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1" w:characterSet="utf-8"/>
    <w:family w:val="roman"/>
    <w:pitch w:val="variable"/>
  </w:font>
  <w:font w:name="Calibri">
    <w:charset w:val="01" w:characterSet="utf-8"/>
    <w:family w:val="roman"/>
    <w:pitch w:val="variable"/>
  </w:font>
  <w:font w:name="Aptos">
    <w:charset w:val="01" w:characterSet="utf-8"/>
    <w:family w:val="swiss"/>
    <w:pitch w:val="variable"/>
  </w:font>
  <w:font w:name="Arial">
    <w:charset w:val="01" w:characterSet="utf-8"/>
    <w:family w:val="swiss"/>
    <w:pitch w:val="variable"/>
  </w:font>
  <w:font w:name="Calibri Light">
    <w:charset w:val="01" w:characterSet="utf-8"/>
    <w:family w:val="swiss"/>
    <w:pitch w:val="variable"/>
  </w:font>
  <w:font w:name="Calibri Light">
    <w:charset w:val="01" w:characterSet="utf-8"/>
    <w:family w:val="roman"/>
    <w:pitch w:val="variable"/>
  </w:font>
  <w:font w:name="Liberation Sans">
    <w:altName w:val="Arial"/>
    <w:charset w:val="01" w:characterSet="utf-8"/>
    <w:family w:val="swiss"/>
    <w:pitch w:val="variable"/>
  </w:font>
  <w:font w:name="Times New Roman">
    <w:charset w:val="01" w:characterSet="utf-8"/>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757049994"/>
    </w:sdtPr>
    <w:sdtContent>
      <w:p>
        <w:pPr>
          <w:pStyle w:val="Footer"/>
          <w:jc w:val="center"/>
          <w:rPr/>
        </w:pPr>
        <w:r>
          <w:rPr/>
          <w:fldChar w:fldCharType="begin"/>
        </w:r>
        <w:r>
          <w:rPr/>
          <w:instrText xml:space="preserve"> PAGE </w:instrText>
        </w:r>
        <w:r>
          <w:rPr/>
          <w:fldChar w:fldCharType="separate"/>
        </w:r>
        <w:r>
          <w:rPr/>
          <w:t>10</w:t>
        </w:r>
        <w:r>
          <w:rPr/>
          <w:fldChar w:fldCharType="end"/>
        </w:r>
      </w:p>
    </w:sdtContent>
  </w:sdt>
  <w:p>
    <w:pPr>
      <w:pStyle w:val="Foo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757049994"/>
    </w:sdtPr>
    <w:sdtContent>
      <w:p>
        <w:pPr>
          <w:pStyle w:val="Footer"/>
          <w:jc w:val="center"/>
          <w:rPr/>
        </w:pPr>
        <w:r>
          <w:rPr/>
          <w:fldChar w:fldCharType="begin"/>
        </w:r>
        <w:r>
          <w:rPr/>
          <w:instrText xml:space="preserve"> PAGE </w:instrText>
        </w:r>
        <w:r>
          <w:rPr/>
          <w:fldChar w:fldCharType="separate"/>
        </w:r>
        <w:r>
          <w:rPr/>
          <w:t>10</w:t>
        </w:r>
        <w:r>
          <w:rPr/>
          <w:fldChar w:fldCharType="end"/>
        </w:r>
      </w:p>
    </w:sdtContent>
  </w:sdt>
  <w:p>
    <w:pPr>
      <w:pStyle w:val="Footer"/>
      <w:rPr/>
    </w:pPr>
    <w:r>
      <w:rPr/>
    </w:r>
  </w:p>
</w:ftr>
</file>

<file path=word/settings.xml><?xml version="1.0" encoding="utf-8"?>
<w:settings xmlns:w="http://schemas.openxmlformats.org/wordprocessingml/2006/main">
  <w:zoom w:percent="100"/>
  <w:defaultTabStop w:val="720"/>
  <w:autoHyphenation w:val="true"/>
  <w:hyphenationZone w:val="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GB"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kern w:val="2"/>
        <w:sz w:val="22"/>
        <w:szCs w:val="22"/>
        <w:lang w:val="en-GB" w:eastAsia="zh-CN"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1"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63b4c"/>
    <w:pPr>
      <w:widowControl/>
      <w:bidi w:val="0"/>
      <w:spacing w:lineRule="auto" w:line="360" w:before="0" w:after="160"/>
      <w:jc w:val="both"/>
    </w:pPr>
    <w:rPr>
      <w:rFonts w:ascii="Aptos" w:hAnsi="Aptos" w:eastAsia="" w:cs="" w:cstheme="minorBidi" w:eastAsiaTheme="minorEastAsia"/>
      <w:color w:val="auto"/>
      <w:kern w:val="2"/>
      <w:sz w:val="22"/>
      <w:szCs w:val="22"/>
      <w:lang w:val="en-GB" w:eastAsia="zh-CN" w:bidi="ar-SA"/>
    </w:rPr>
  </w:style>
  <w:style w:type="paragraph" w:styleId="Heading1">
    <w:name w:val="heading 1"/>
    <w:basedOn w:val="Normal"/>
    <w:link w:val="Heading1Char"/>
    <w:uiPriority w:val="1"/>
    <w:qFormat/>
    <w:rsid w:val="004b6063"/>
    <w:pPr>
      <w:widowControl w:val="false"/>
      <w:spacing w:before="0" w:after="0"/>
      <w:ind w:start="220"/>
      <w:outlineLvl w:val="0"/>
    </w:pPr>
    <w:rPr>
      <w:rFonts w:ascii="Arial" w:hAnsi="Arial" w:eastAsia="Calibri Light" w:cs="Calibri Light"/>
      <w:b/>
      <w:kern w:val="0"/>
      <w:sz w:val="32"/>
      <w:szCs w:val="32"/>
      <w:lang w:eastAsia="en-GB" w:bidi="en-GB"/>
    </w:rPr>
  </w:style>
  <w:style w:type="paragraph" w:styleId="Heading2">
    <w:name w:val="heading 2"/>
    <w:basedOn w:val="Normal"/>
    <w:next w:val="Normal"/>
    <w:link w:val="Heading2Char"/>
    <w:uiPriority w:val="9"/>
    <w:unhideWhenUsed/>
    <w:qFormat/>
    <w:rsid w:val="00b0372d"/>
    <w:pPr>
      <w:keepNext w:val="true"/>
      <w:keepLines/>
      <w:spacing w:before="40" w:after="0"/>
      <w:outlineLvl w:val="1"/>
    </w:pPr>
    <w:rPr>
      <w:rFonts w:ascii="Arial" w:hAnsi="Arial" w:eastAsia="" w:cs="Arial" w:eastAsiaTheme="majorEastAsia"/>
      <w:color w:val="0F4761"/>
      <w:sz w:val="28"/>
      <w:szCs w:val="28"/>
    </w:rPr>
  </w:style>
  <w:style w:type="paragraph" w:styleId="Heading3">
    <w:name w:val="heading 3"/>
    <w:basedOn w:val="Normal"/>
    <w:next w:val="Normal"/>
    <w:link w:val="Heading3Char"/>
    <w:uiPriority w:val="9"/>
    <w:semiHidden/>
    <w:unhideWhenUsed/>
    <w:qFormat/>
    <w:rsid w:val="00f910b5"/>
    <w:pPr>
      <w:keepNext w:val="true"/>
      <w:keepLines/>
      <w:spacing w:before="40" w:after="0"/>
      <w:outlineLvl w:val="2"/>
    </w:pPr>
    <w:rPr>
      <w:rFonts w:ascii="Calibri Light" w:hAnsi="Calibri Light" w:eastAsia="" w:cs="" w:asciiTheme="majorHAnsi" w:cstheme="majorBidi" w:eastAsiaTheme="majorEastAsia" w:hAnsiTheme="majorHAnsi"/>
      <w:color w:themeColor="accent1" w:themeShade="7f" w:val="1F3763"/>
      <w:sz w:val="24"/>
      <w:szCs w:val="24"/>
    </w:rPr>
  </w:style>
  <w:style w:type="paragraph" w:styleId="Heading4">
    <w:name w:val="heading 4"/>
    <w:basedOn w:val="Normal"/>
    <w:next w:val="Normal"/>
    <w:link w:val="Heading4Char"/>
    <w:uiPriority w:val="9"/>
    <w:semiHidden/>
    <w:unhideWhenUsed/>
    <w:qFormat/>
    <w:rsid w:val="007063ba"/>
    <w:pPr>
      <w:keepNext w:val="true"/>
      <w:keepLines/>
      <w:spacing w:before="40" w:after="0"/>
      <w:outlineLvl w:val="3"/>
    </w:pPr>
    <w:rPr>
      <w:rFonts w:ascii="Calibri Light" w:hAnsi="Calibri Light" w:eastAsia="" w:cs="" w:asciiTheme="majorHAnsi" w:cstheme="majorBidi" w:eastAsiaTheme="majorEastAsia" w:hAnsiTheme="majorHAnsi"/>
      <w:i/>
      <w:iCs/>
      <w:color w:themeColor="accent1" w:themeShade="bf" w:val="2F5496"/>
    </w:rPr>
  </w:style>
  <w:style w:type="character" w:styleId="DefaultParagraphFont" w:default="1">
    <w:name w:val="Default Paragraph Font"/>
    <w:uiPriority w:val="1"/>
    <w:semiHidden/>
    <w:unhideWhenUsed/>
    <w:qFormat/>
    <w:rPr/>
  </w:style>
  <w:style w:type="character" w:styleId="BodyTextChar" w:customStyle="1">
    <w:name w:val="Body Text Char"/>
    <w:basedOn w:val="DefaultParagraphFont"/>
    <w:uiPriority w:val="1"/>
    <w:qFormat/>
    <w:rsid w:val="00063b4c"/>
    <w:rPr>
      <w:rFonts w:ascii="Arial" w:hAnsi="Arial" w:eastAsia="Calibri Light" w:cs="Calibri Light"/>
      <w:kern w:val="0"/>
      <w:lang w:eastAsia="en-GB" w:bidi="en-GB"/>
    </w:rPr>
  </w:style>
  <w:style w:type="character" w:styleId="Heading1Char" w:customStyle="1">
    <w:name w:val="Heading 1 Char"/>
    <w:basedOn w:val="DefaultParagraphFont"/>
    <w:link w:val="Heading1"/>
    <w:uiPriority w:val="1"/>
    <w:qFormat/>
    <w:rsid w:val="004b6063"/>
    <w:rPr>
      <w:rFonts w:ascii="Arial" w:hAnsi="Arial" w:eastAsia="Calibri Light" w:cs="Calibri Light"/>
      <w:b/>
      <w:kern w:val="0"/>
      <w:sz w:val="32"/>
      <w:szCs w:val="32"/>
      <w:lang w:eastAsia="en-GB" w:bidi="en-GB"/>
    </w:rPr>
  </w:style>
  <w:style w:type="character" w:styleId="Heading2Char" w:customStyle="1">
    <w:name w:val="Heading 2 Char"/>
    <w:basedOn w:val="DefaultParagraphFont"/>
    <w:link w:val="Heading2"/>
    <w:uiPriority w:val="9"/>
    <w:qFormat/>
    <w:rsid w:val="00b0372d"/>
    <w:rPr>
      <w:rFonts w:ascii="Arial" w:hAnsi="Arial" w:eastAsia="" w:cs="Arial" w:eastAsiaTheme="majorEastAsia"/>
      <w:color w:val="0F4761"/>
      <w:sz w:val="28"/>
      <w:szCs w:val="28"/>
    </w:rPr>
  </w:style>
  <w:style w:type="character" w:styleId="HeaderChar" w:customStyle="1">
    <w:name w:val="Header Char"/>
    <w:basedOn w:val="DefaultParagraphFont"/>
    <w:link w:val="Header"/>
    <w:uiPriority w:val="99"/>
    <w:qFormat/>
    <w:rsid w:val="00211184"/>
    <w:rPr>
      <w:rFonts w:ascii="Aptos" w:hAnsi="Aptos"/>
    </w:rPr>
  </w:style>
  <w:style w:type="character" w:styleId="FooterChar" w:customStyle="1">
    <w:name w:val="Footer Char"/>
    <w:basedOn w:val="DefaultParagraphFont"/>
    <w:link w:val="Footer"/>
    <w:uiPriority w:val="99"/>
    <w:qFormat/>
    <w:rsid w:val="00211184"/>
    <w:rPr>
      <w:rFonts w:ascii="Aptos" w:hAnsi="Aptos"/>
    </w:rPr>
  </w:style>
  <w:style w:type="character" w:styleId="Hyperlink">
    <w:name w:val="Hyperlink"/>
    <w:basedOn w:val="DefaultParagraphFont"/>
    <w:uiPriority w:val="99"/>
    <w:unhideWhenUsed/>
    <w:rsid w:val="00621776"/>
    <w:rPr>
      <w:color w:val="0000FF"/>
      <w:u w:val="single"/>
    </w:rPr>
  </w:style>
  <w:style w:type="character" w:styleId="UnresolvedMention1" w:customStyle="1">
    <w:name w:val="Unresolved Mention1"/>
    <w:basedOn w:val="DefaultParagraphFont"/>
    <w:uiPriority w:val="99"/>
    <w:semiHidden/>
    <w:unhideWhenUsed/>
    <w:qFormat/>
    <w:rsid w:val="00621776"/>
    <w:rPr>
      <w:color w:val="605E5C"/>
      <w:shd w:fill="E1DFDD" w:val="clear"/>
    </w:rPr>
  </w:style>
  <w:style w:type="character" w:styleId="normaltextrun" w:customStyle="1">
    <w:name w:val="normaltextrun"/>
    <w:basedOn w:val="DefaultParagraphFont"/>
    <w:qFormat/>
    <w:rsid w:val="00bd2909"/>
    <w:rPr/>
  </w:style>
  <w:style w:type="character" w:styleId="eop" w:customStyle="1">
    <w:name w:val="eop"/>
    <w:basedOn w:val="DefaultParagraphFont"/>
    <w:qFormat/>
    <w:rsid w:val="00bd2909"/>
    <w:rPr/>
  </w:style>
  <w:style w:type="character" w:styleId="Heading4Char" w:customStyle="1">
    <w:name w:val="Heading 4 Char"/>
    <w:basedOn w:val="DefaultParagraphFont"/>
    <w:link w:val="Heading4"/>
    <w:uiPriority w:val="9"/>
    <w:semiHidden/>
    <w:qFormat/>
    <w:rsid w:val="007063ba"/>
    <w:rPr>
      <w:rFonts w:ascii="Calibri Light" w:hAnsi="Calibri Light" w:eastAsia="" w:cs="" w:asciiTheme="majorHAnsi" w:cstheme="majorBidi" w:eastAsiaTheme="majorEastAsia" w:hAnsiTheme="majorHAnsi"/>
      <w:i/>
      <w:iCs/>
      <w:color w:themeColor="accent1" w:themeShade="bf" w:val="2F5496"/>
    </w:rPr>
  </w:style>
  <w:style w:type="character" w:styleId="Strong">
    <w:name w:val="Strong"/>
    <w:basedOn w:val="DefaultParagraphFont"/>
    <w:uiPriority w:val="22"/>
    <w:qFormat/>
    <w:rsid w:val="007063ba"/>
    <w:rPr>
      <w:b/>
      <w:bCs/>
    </w:rPr>
  </w:style>
  <w:style w:type="character" w:styleId="Emphasis">
    <w:name w:val="Emphasis"/>
    <w:basedOn w:val="DefaultParagraphFont"/>
    <w:uiPriority w:val="20"/>
    <w:qFormat/>
    <w:rsid w:val="00265633"/>
    <w:rPr>
      <w:i/>
      <w:iCs/>
    </w:rPr>
  </w:style>
  <w:style w:type="character" w:styleId="UnresolvedMention">
    <w:name w:val="Unresolved Mention"/>
    <w:basedOn w:val="DefaultParagraphFont"/>
    <w:uiPriority w:val="99"/>
    <w:semiHidden/>
    <w:unhideWhenUsed/>
    <w:qFormat/>
    <w:rsid w:val="00265633"/>
    <w:rPr>
      <w:color w:val="605E5C"/>
      <w:shd w:fill="E1DFDD" w:val="clear"/>
    </w:rPr>
  </w:style>
  <w:style w:type="character" w:styleId="Heading3Char" w:customStyle="1">
    <w:name w:val="Heading 3 Char"/>
    <w:basedOn w:val="DefaultParagraphFont"/>
    <w:link w:val="Heading3"/>
    <w:uiPriority w:val="9"/>
    <w:semiHidden/>
    <w:qFormat/>
    <w:rsid w:val="00f910b5"/>
    <w:rPr>
      <w:rFonts w:ascii="Calibri Light" w:hAnsi="Calibri Light" w:eastAsia="" w:cs="" w:asciiTheme="majorHAnsi" w:cstheme="majorBidi" w:eastAsiaTheme="majorEastAsia" w:hAnsiTheme="majorHAnsi"/>
      <w:color w:themeColor="accent1" w:themeShade="7f" w:val="1F3763"/>
      <w:sz w:val="24"/>
      <w:szCs w:val="24"/>
    </w:rPr>
  </w:style>
  <w:style w:type="character" w:styleId="FollowedHyperlink">
    <w:name w:val="FollowedHyperlink"/>
    <w:basedOn w:val="DefaultParagraphFont"/>
    <w:uiPriority w:val="99"/>
    <w:semiHidden/>
    <w:unhideWhenUsed/>
    <w:rsid w:val="009c49b9"/>
    <w:rPr>
      <w:color w:themeColor="followedHyperlink" w:val="954F72"/>
      <w:u w:val="single"/>
    </w:rPr>
  </w:style>
  <w:style w:type="character" w:styleId="IndexLink">
    <w:name w:val="Index Link"/>
    <w:qFormat/>
    <w:rPr/>
  </w:style>
  <w:style w:type="paragraph" w:styleId="Heading">
    <w:name w:val="Heading"/>
    <w:basedOn w:val="Normal"/>
    <w:next w:val="BodyText"/>
    <w:qFormat/>
    <w:pPr>
      <w:keepNext w:val="true"/>
      <w:spacing w:before="240" w:after="120"/>
    </w:pPr>
    <w:rPr>
      <w:rFonts w:ascii="Liberation Sans" w:hAnsi="Liberation Sans" w:eastAsia="Noto Sans CJK SC" w:cs="Noto Sans Devanagari"/>
      <w:sz w:val="28"/>
      <w:szCs w:val="28"/>
    </w:rPr>
  </w:style>
  <w:style w:type="paragraph" w:styleId="BodyText">
    <w:name w:val="Body Text"/>
    <w:basedOn w:val="Normal"/>
    <w:link w:val="BodyTextChar"/>
    <w:uiPriority w:val="1"/>
    <w:unhideWhenUsed/>
    <w:qFormat/>
    <w:rsid w:val="00063b4c"/>
    <w:pPr>
      <w:widowControl w:val="false"/>
      <w:spacing w:lineRule="auto" w:line="240" w:before="0" w:after="0"/>
      <w:jc w:val="start"/>
    </w:pPr>
    <w:rPr>
      <w:rFonts w:ascii="Arial" w:hAnsi="Arial" w:eastAsia="Calibri Light" w:cs="Calibri Light"/>
      <w:kern w:val="0"/>
      <w:lang w:eastAsia="en-GB" w:bidi="en-GB"/>
    </w:rPr>
  </w:style>
  <w:style w:type="paragraph" w:styleId="List">
    <w:name w:val="List"/>
    <w:basedOn w:val="BodyText"/>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Index">
    <w:name w:val="Index"/>
    <w:basedOn w:val="Normal"/>
    <w:qFormat/>
    <w:pPr>
      <w:suppressLineNumbers/>
    </w:pPr>
    <w:rPr>
      <w:rFonts w:cs="Noto Sans Devanagari"/>
    </w:rPr>
  </w:style>
  <w:style w:type="paragraph" w:styleId="NormalWeb">
    <w:name w:val="Normal (Web)"/>
    <w:basedOn w:val="Normal"/>
    <w:uiPriority w:val="99"/>
    <w:unhideWhenUsed/>
    <w:qFormat/>
    <w:rsid w:val="00995444"/>
    <w:pPr>
      <w:spacing w:lineRule="auto" w:line="240" w:beforeAutospacing="1" w:afterAutospacing="1"/>
      <w:jc w:val="start"/>
    </w:pPr>
    <w:rPr>
      <w:rFonts w:ascii="Times New Roman" w:hAnsi="Times New Roman" w:eastAsia="Times New Roman" w:cs="Times New Roman"/>
      <w:kern w:val="0"/>
      <w:sz w:val="24"/>
      <w:szCs w:val="24"/>
      <w:lang w:eastAsia="en-GB"/>
    </w:rPr>
  </w:style>
  <w:style w:type="paragraph" w:styleId="ListParagraph">
    <w:name w:val="List Paragraph"/>
    <w:basedOn w:val="Normal"/>
    <w:uiPriority w:val="34"/>
    <w:qFormat/>
    <w:rsid w:val="00ce620e"/>
    <w:pPr>
      <w:widowControl w:val="false"/>
      <w:spacing w:lineRule="auto" w:line="240" w:before="0" w:after="0"/>
      <w:ind w:hanging="360" w:start="940"/>
      <w:jc w:val="start"/>
    </w:pPr>
    <w:rPr>
      <w:rFonts w:ascii="Calibri Light" w:hAnsi="Calibri Light" w:eastAsia="Calibri Light" w:cs="Calibri Light"/>
      <w:kern w:val="0"/>
      <w:lang w:eastAsia="en-GB" w:bidi="en-GB"/>
    </w:rPr>
  </w:style>
  <w:style w:type="paragraph" w:styleId="HeaderandFooter">
    <w:name w:val="Header and Footer"/>
    <w:basedOn w:val="Normal"/>
    <w:qFormat/>
    <w:pPr/>
    <w:rPr/>
  </w:style>
  <w:style w:type="paragraph" w:styleId="Header">
    <w:name w:val="header"/>
    <w:basedOn w:val="Normal"/>
    <w:link w:val="HeaderChar"/>
    <w:uiPriority w:val="99"/>
    <w:unhideWhenUsed/>
    <w:rsid w:val="00211184"/>
    <w:pPr>
      <w:tabs>
        <w:tab w:val="clear" w:pos="720"/>
        <w:tab w:val="center" w:pos="4513" w:leader="none"/>
        <w:tab w:val="right" w:pos="9026" w:leader="none"/>
      </w:tabs>
      <w:spacing w:lineRule="auto" w:line="240" w:before="0" w:after="0"/>
    </w:pPr>
    <w:rPr/>
  </w:style>
  <w:style w:type="paragraph" w:styleId="Footer">
    <w:name w:val="footer"/>
    <w:basedOn w:val="Normal"/>
    <w:link w:val="FooterChar"/>
    <w:uiPriority w:val="99"/>
    <w:unhideWhenUsed/>
    <w:rsid w:val="00211184"/>
    <w:pPr>
      <w:tabs>
        <w:tab w:val="clear" w:pos="720"/>
        <w:tab w:val="center" w:pos="4513" w:leader="none"/>
        <w:tab w:val="right" w:pos="9026" w:leader="none"/>
      </w:tabs>
      <w:spacing w:lineRule="auto" w:line="240" w:before="0" w:after="0"/>
    </w:pPr>
    <w:rPr/>
  </w:style>
  <w:style w:type="paragraph" w:styleId="paragraph" w:customStyle="1">
    <w:name w:val="paragraph"/>
    <w:basedOn w:val="Normal"/>
    <w:qFormat/>
    <w:rsid w:val="00bd2909"/>
    <w:pPr>
      <w:spacing w:lineRule="auto" w:line="240" w:beforeAutospacing="1" w:afterAutospacing="1"/>
      <w:jc w:val="start"/>
    </w:pPr>
    <w:rPr>
      <w:rFonts w:ascii="Times New Roman" w:hAnsi="Times New Roman" w:eastAsia="Times New Roman" w:cs="Times New Roman"/>
      <w:kern w:val="0"/>
      <w:sz w:val="24"/>
      <w:szCs w:val="24"/>
    </w:rPr>
  </w:style>
  <w:style w:type="paragraph" w:styleId="IndexHeading">
    <w:name w:val="index heading"/>
    <w:basedOn w:val="Heading"/>
    <w:pPr/>
    <w:rPr/>
  </w:style>
  <w:style w:type="paragraph" w:styleId="TOCHeading">
    <w:name w:val="TOC Heading"/>
    <w:basedOn w:val="Heading1"/>
    <w:next w:val="Normal"/>
    <w:uiPriority w:val="39"/>
    <w:unhideWhenUsed/>
    <w:qFormat/>
    <w:rsid w:val="00a72b43"/>
    <w:pPr>
      <w:keepNext w:val="true"/>
      <w:keepLines/>
      <w:widowControl/>
      <w:spacing w:lineRule="auto" w:line="259" w:before="240" w:after="0"/>
      <w:ind w:start="0"/>
      <w:outlineLvl w:val="9"/>
    </w:pPr>
    <w:rPr>
      <w:rFonts w:ascii="Calibri Light" w:hAnsi="Calibri Light" w:eastAsia="" w:cs="" w:asciiTheme="majorHAnsi" w:cstheme="majorBidi" w:eastAsiaTheme="majorEastAsia" w:hAnsiTheme="majorHAnsi"/>
      <w:b w:val="false"/>
      <w:color w:themeColor="accent1" w:themeShade="bf" w:val="2F5496"/>
      <w:lang w:val="en-US" w:eastAsia="en-US" w:bidi="ar-SA"/>
    </w:rPr>
  </w:style>
  <w:style w:type="paragraph" w:styleId="TOC1">
    <w:name w:val="toc 1"/>
    <w:basedOn w:val="Normal"/>
    <w:next w:val="Normal"/>
    <w:autoRedefine/>
    <w:uiPriority w:val="39"/>
    <w:unhideWhenUsed/>
    <w:rsid w:val="00a72b43"/>
    <w:pPr>
      <w:spacing w:before="0" w:after="100"/>
    </w:pPr>
    <w:rPr/>
  </w:style>
  <w:style w:type="paragraph" w:styleId="TOC2">
    <w:name w:val="toc 2"/>
    <w:basedOn w:val="Normal"/>
    <w:next w:val="Normal"/>
    <w:autoRedefine/>
    <w:uiPriority w:val="39"/>
    <w:unhideWhenUsed/>
    <w:rsid w:val="00a72b43"/>
    <w:pPr>
      <w:spacing w:before="0" w:after="100"/>
      <w:ind w:start="220"/>
    </w:pPr>
    <w:rPr/>
  </w:style>
  <w:style w:type="paragraph" w:styleId="NoSpacing">
    <w:name w:val="No Spacing"/>
    <w:uiPriority w:val="1"/>
    <w:qFormat/>
    <w:rsid w:val="003809ae"/>
    <w:pPr>
      <w:widowControl/>
      <w:bidi w:val="0"/>
      <w:spacing w:lineRule="auto" w:line="240" w:before="0" w:after="0"/>
      <w:jc w:val="both"/>
    </w:pPr>
    <w:rPr>
      <w:rFonts w:ascii="Aptos" w:hAnsi="Aptos" w:eastAsia="" w:cs="" w:cstheme="minorBidi" w:eastAsiaTheme="minorEastAsia"/>
      <w:color w:val="auto"/>
      <w:kern w:val="2"/>
      <w:sz w:val="22"/>
      <w:szCs w:val="22"/>
      <w:lang w:val="en-GB" w:eastAsia="zh-CN" w:bidi="ar-SA"/>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uiPriority w:val="59"/>
    <w:rsid w:val="00604a87"/>
    <w:pPr>
      <w:spacing w:after="0" w:line="240" w:lineRule="auto"/>
    </w:pPr>
    <w:rPr>
      <w:rFonts w:eastAsiaTheme="minorHAnsi"/>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jpeg"/><Relationship Id="rId4" Type="http://schemas.openxmlformats.org/officeDocument/2006/relationships/image" Target="media/image3.png"/><Relationship Id="rId5" Type="http://schemas.openxmlformats.org/officeDocument/2006/relationships/hyperlink" Target="https://www.torrossa.com/it/resources/an/5282271" TargetMode="External"/><Relationship Id="rId6" Type="http://schemas.openxmlformats.org/officeDocument/2006/relationships/hyperlink" Target="https://doi.org/10.3390/ijerph120100652" TargetMode="External"/><Relationship Id="rId7" Type="http://schemas.openxmlformats.org/officeDocument/2006/relationships/hyperlink" Target="https://www.cambridge.org/core/journals/proceedings-of-the-international-conference-on-engineering-design/article/systematic-literature-reviews-an-introduction/40D4CEA7A7CC3FB6ED6233E79A0A2A1F" TargetMode="External"/><Relationship Id="rId8" Type="http://schemas.openxmlformats.org/officeDocument/2006/relationships/hyperlink" Target="https://doi.org/10.1002/wps.20311" TargetMode="External"/><Relationship Id="rId9" Type="http://schemas.openxmlformats.org/officeDocument/2006/relationships/hyperlink" Target="https://www.nhsconfed.org/news/nhs-confederation-comment-nhs-pressures" TargetMode="External"/><Relationship Id="rId10" Type="http://schemas.openxmlformats.org/officeDocument/2006/relationships/hyperlink" Target="https://eprints.bbk.ac.uk/id/eprint/50880/" TargetMode="External"/><Relationship Id="rId11" Type="http://schemas.openxmlformats.org/officeDocument/2006/relationships/hyperlink" Target="https://www.kingsfund.org.uk/publications/courage-compassion-supporting-nurses-midwives" TargetMode="External"/><Relationship Id="rId12" Type="http://schemas.openxmlformats.org/officeDocument/2006/relationships/footer" Target="footer1.xml"/><Relationship Id="rId13" Type="http://schemas.openxmlformats.org/officeDocument/2006/relationships/footer" Target="footer2.xml"/><Relationship Id="rId14" Type="http://schemas.openxmlformats.org/officeDocument/2006/relationships/footer" Target="footer3.xml"/><Relationship Id="rId15" Type="http://schemas.openxmlformats.org/officeDocument/2006/relationships/fontTable" Target="fontTable.xml"/><Relationship Id="rId16" Type="http://schemas.openxmlformats.org/officeDocument/2006/relationships/settings" Target="settings.xml"/><Relationship Id="rId17" Type="http://schemas.openxmlformats.org/officeDocument/2006/relationships/theme" Target="theme/theme1.xml"/><Relationship Id="rId18"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itchFamily="0" charset="1"/>
        <a:ea typeface=""/>
        <a:cs typeface=""/>
      </a:majorFont>
      <a:minorFont>
        <a:latin typeface="Calibri"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652794-EADF-462C-9136-107FA6993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Application>LibreOffice/25.8.2.2$Linux_X86_64 LibreOffice_project/d401f2107ccab8f924a8e2df40f573aab7605b6f</Application>
  <AppVersion>15.0000</AppVersion>
  <Pages>10</Pages>
  <Words>1609</Words>
  <Characters>9666</Characters>
  <CharactersWithSpaces>11176</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2025-07-22T11:14:00Z</dcterms:created>
  <dc:creator/>
  <dc:description/>
  <dc:language>en-GB</dc:language>
  <cp:lastModifiedBy/>
  <dcterms:modified xsi:type="dcterms:W3CDTF">2025-10-14T17:00:42Z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2bf46647-eaf2-4051-b21a-276e1edac2b5</vt:lpwstr>
  </property>
</Properties>
</file>