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0E4DFD" w14:textId="55802177" w:rsidR="00673FB8" w:rsidRPr="00FB217C" w:rsidRDefault="00333A25">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mc:AlternateContent>
          <mc:Choice Requires="wpg">
            <w:drawing>
              <wp:anchor distT="0" distB="0" distL="114300" distR="114300" simplePos="0" relativeHeight="251658240" behindDoc="0" locked="0" layoutInCell="1" hidden="0" allowOverlap="1" wp14:anchorId="274A1F2C" wp14:editId="619AA5E9">
                <wp:simplePos x="0" y="0"/>
                <wp:positionH relativeFrom="page">
                  <wp:align>center</wp:align>
                </wp:positionH>
                <wp:positionV relativeFrom="page">
                  <wp:posOffset>245745</wp:posOffset>
                </wp:positionV>
                <wp:extent cx="7315200" cy="1215391"/>
                <wp:effectExtent l="0" t="0" r="0" b="0"/>
                <wp:wrapNone/>
                <wp:docPr id="3" name="Group 3"/>
                <wp:cNvGraphicFramePr/>
                <a:graphic xmlns:a="http://schemas.openxmlformats.org/drawingml/2006/main">
                  <a:graphicData uri="http://schemas.microsoft.com/office/word/2010/wordprocessingGroup">
                    <wpg:wgp>
                      <wpg:cNvGrpSpPr/>
                      <wpg:grpSpPr>
                        <a:xfrm>
                          <a:off x="0" y="0"/>
                          <a:ext cx="7315200" cy="1215391"/>
                          <a:chOff x="1688400" y="3172305"/>
                          <a:chExt cx="7315200" cy="1215391"/>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094F2DE9" w14:textId="77777777" w:rsidR="00673FB8" w:rsidRDefault="00673FB8">
                                <w:pPr>
                                  <w:spacing w:after="0" w:line="240" w:lineRule="auto"/>
                                  <w:textDirection w:val="btLr"/>
                                </w:pPr>
                              </w:p>
                            </w:txbxContent>
                          </wps:txbx>
                          <wps:bodyPr spcFirstLastPara="1" wrap="square" lIns="91425" tIns="91425" rIns="91425" bIns="91425" anchor="ctr" anchorCtr="0">
                            <a:noAutofit/>
                          </wps:bodyPr>
                        </wps:wsp>
                        <wps:wsp>
                          <wps:cNvPr id="4" name="Freeform: Shape 4"/>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5" name="Rectangle 5"/>
                          <wps:cNvSpPr/>
                          <wps:spPr>
                            <a:xfrm>
                              <a:off x="0" y="0"/>
                              <a:ext cx="7315200" cy="1216152"/>
                            </a:xfrm>
                            <a:prstGeom prst="rect">
                              <a:avLst/>
                            </a:prstGeom>
                            <a:blipFill rotWithShape="1">
                              <a:blip r:embed="rId5">
                                <a:alphaModFix/>
                              </a:blip>
                              <a:stretch>
                                <a:fillRect r="-7573"/>
                              </a:stretch>
                            </a:blipFill>
                            <a:ln>
                              <a:noFill/>
                            </a:ln>
                          </wps:spPr>
                          <wps:txbx>
                            <w:txbxContent>
                              <w:p w14:paraId="66516E1C" w14:textId="77777777" w:rsidR="00673FB8" w:rsidRDefault="00673FB8">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7315200" cy="1215391"/>
                        </a:xfrm>
                        <a:prstGeom prst="rect"/>
                        <a:ln/>
                      </pic:spPr>
                    </pic:pic>
                  </a:graphicData>
                </a:graphic>
              </wp:anchor>
            </w:drawing>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hidden="0" allowOverlap="1" wp14:anchorId="04DBCE10" wp14:editId="7F7CFD4C">
                <wp:simplePos x="0" y="0"/>
                <wp:positionH relativeFrom="page">
                  <wp:align>center</wp:align>
                </wp:positionH>
                <wp:positionV relativeFrom="page">
                  <wp:posOffset>8741093</wp:posOffset>
                </wp:positionV>
                <wp:extent cx="7324725" cy="923925"/>
                <wp:effectExtent l="0" t="0" r="0" b="0"/>
                <wp:wrapSquare wrapText="bothSides" distT="0" distB="0" distL="114300" distR="114300"/>
                <wp:docPr id="6" name="Rectangle 6"/>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14:paraId="7F820F5E" w14:textId="421D3F34" w:rsidR="00673FB8" w:rsidRDefault="00673FB8" w:rsidP="00FB217C">
                            <w:pPr>
                              <w:spacing w:after="0" w:line="240" w:lineRule="auto"/>
                              <w:textDirection w:val="btLr"/>
                            </w:pPr>
                          </w:p>
                          <w:p w14:paraId="3B949138" w14:textId="77777777" w:rsidR="00673FB8" w:rsidRDefault="00333A25">
                            <w:pPr>
                              <w:spacing w:after="0" w:line="240" w:lineRule="auto"/>
                              <w:jc w:val="right"/>
                              <w:textDirection w:val="btLr"/>
                            </w:pPr>
                            <w:r>
                              <w:rPr>
                                <w:rFonts w:ascii="Arial" w:eastAsia="Arial" w:hAnsi="Arial" w:cs="Arial"/>
                                <w:color w:val="595959"/>
                                <w:sz w:val="18"/>
                              </w:rPr>
                              <w:t xml:space="preserve">     </w:t>
                            </w:r>
                          </w:p>
                        </w:txbxContent>
                      </wps:txbx>
                      <wps:bodyPr spcFirstLastPara="1" wrap="square" lIns="1600200" tIns="0" rIns="685800" bIns="0" anchor="b" anchorCtr="0">
                        <a:noAutofit/>
                      </wps:bodyPr>
                    </wps:wsp>
                  </a:graphicData>
                </a:graphic>
              </wp:anchor>
            </w:drawing>
          </mc:Choice>
          <mc:Fallback>
            <w:pict>
              <v:rect w14:anchorId="04DBCE10" id="Rectangle 6" o:spid="_x0000_s1031" style="position:absolute;left:0;text-align:left;margin-left:0;margin-top:688.3pt;width:576.75pt;height:72.7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3kq0wEAAIIDAAAOAAAAZHJzL2Uyb0RvYy54bWysU9uO0zAQfUfiHyy/01y6G7JR3RViVYS0&#10;goqFD3Acu7HkG7bbpH/P2Gl3gX1DvDgz49GZc44nm/tZK3TiPkhrCK5WJUbcMDtIcyD4x/fduxaj&#10;EKkZqLKGE3zmAd9v377ZTK7jtR2tGrhHAGJCNzmCxxhdVxSBjVzTsLKOG7gU1msaIfWHYvB0AnSt&#10;irosm2KyfnDeMh4CVB+WS7zN+EJwFr8KEXhEimDgFvPp89mns9huaHfw1I2SXWjQf2ChqTQw9Bnq&#10;gUaKjl6+gtKSeRusiCtmdWGFkIxnDaCmKv9S8zRSx7MWMCe4Z5vC/4NlX057j+RAcIORoRqe6BuY&#10;Rs1BcdQkeyYXOuh6cnt/yQKESessvE5fUIFmePymbW9KMPlM8Hpd1y3E2V4+R8Sg4f26uoU3w4hB&#10;x111k5qhoXhBcj7ET9xqlAKCPTDJrtLTY4hL67UlDTZ2J5XKM5T5owCYqVIk8gvdFMW5n7PW+iqs&#10;t8MZ9AfHdhJGPtIQ99TDBlQYTbAVBIefR+o5RuqzAdurpiyzhJhT0OJz0LS3SS7qr2Vq2Ghhz3qM&#10;lvBjzFu3sPxwjFbIrCjxWlhc6MJDZ08uS5k26fc8d738OttfAAAA//8DAFBLAwQUAAYACAAAACEA&#10;aLk/t+AAAAALAQAADwAAAGRycy9kb3ducmV2LnhtbEyPzU7DQAyE70i8w8pI3OgmqVJoyKZCRXBD&#10;glDE1c2aJOr+RNltE3h63BPcbM9o/E25ma0RJxpD752CdJGAINd43btWwe796eYORIjoNBrvSME3&#10;BdhUlxclFtpP7o1OdWwFh7hQoIIuxqGQMjQdWQwLP5Bj7cuPFiOvYyv1iBOHWyOzJFlJi73jDx0O&#10;tO2oOdRHqyCYz/rncZ1vzfP6RU8f9WF4xZ1S11fzwz2ISHP8M8MZn9GhYqa9PzodhFHARSJfl7er&#10;FYiznubLHMSepzzLUpBVKf93qH4BAAD//wMAUEsBAi0AFAAGAAgAAAAhALaDOJL+AAAA4QEAABMA&#10;AAAAAAAAAAAAAAAAAAAAAFtDb250ZW50X1R5cGVzXS54bWxQSwECLQAUAAYACAAAACEAOP0h/9YA&#10;AACUAQAACwAAAAAAAAAAAAAAAAAvAQAAX3JlbHMvLnJlbHNQSwECLQAUAAYACAAAACEA6sd5KtMB&#10;AACCAwAADgAAAAAAAAAAAAAAAAAuAgAAZHJzL2Uyb0RvYy54bWxQSwECLQAUAAYACAAAACEAaLk/&#10;t+AAAAALAQAADwAAAAAAAAAAAAAAAAAtBAAAZHJzL2Rvd25yZXYueG1sUEsFBgAAAAAEAAQA8wAA&#10;ADoFAAAAAA==&#10;" filled="f" stroked="f">
                <v:textbox inset="126pt,0,54pt,0">
                  <w:txbxContent>
                    <w:p w14:paraId="7F820F5E" w14:textId="421D3F34" w:rsidR="00673FB8" w:rsidRDefault="00673FB8" w:rsidP="00FB217C">
                      <w:pPr>
                        <w:spacing w:after="0" w:line="240" w:lineRule="auto"/>
                        <w:textDirection w:val="btLr"/>
                      </w:pPr>
                    </w:p>
                    <w:p w14:paraId="3B949138" w14:textId="77777777" w:rsidR="00673FB8" w:rsidRDefault="00333A25">
                      <w:pPr>
                        <w:spacing w:after="0" w:line="240" w:lineRule="auto"/>
                        <w:jc w:val="right"/>
                        <w:textDirection w:val="btLr"/>
                      </w:pPr>
                      <w:r>
                        <w:rPr>
                          <w:rFonts w:ascii="Arial" w:eastAsia="Arial" w:hAnsi="Arial" w:cs="Arial"/>
                          <w:color w:val="595959"/>
                          <w:sz w:val="18"/>
                        </w:rPr>
                        <w:t xml:space="preserve">     </w:t>
                      </w:r>
                    </w:p>
                  </w:txbxContent>
                </v:textbox>
                <w10:wrap type="square" anchorx="page" anchory="page"/>
              </v:rect>
            </w:pict>
          </mc:Fallback>
        </mc:AlternateContent>
      </w: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hidden="0" allowOverlap="1" wp14:anchorId="790E435E" wp14:editId="333B699B">
                <wp:simplePos x="0" y="0"/>
                <wp:positionH relativeFrom="page">
                  <wp:align>center</wp:align>
                </wp:positionH>
                <wp:positionV relativeFrom="page">
                  <wp:posOffset>3202623</wp:posOffset>
                </wp:positionV>
                <wp:extent cx="7324725" cy="3648075"/>
                <wp:effectExtent l="0" t="0" r="0" b="0"/>
                <wp:wrapSquare wrapText="bothSides" distT="0" distB="0" distL="114300" distR="114300"/>
                <wp:docPr id="7" name="Rectangle 7"/>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3DE3450F" w14:textId="35893794" w:rsidR="00673FB8" w:rsidRDefault="00333A25">
                            <w:pPr>
                              <w:spacing w:line="258" w:lineRule="auto"/>
                              <w:jc w:val="right"/>
                              <w:textDirection w:val="btLr"/>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r w:rsidRPr="00FB217C">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ENGAGEMENT</w:t>
                            </w:r>
                          </w:p>
                          <w:p w14:paraId="6C260AFF" w14:textId="77777777" w:rsidR="00FB217C" w:rsidRPr="00FB217C" w:rsidRDefault="00FB217C">
                            <w:pPr>
                              <w:spacing w:line="258" w:lineRule="auto"/>
                              <w:jc w:val="right"/>
                              <w:textDirection w:val="btL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DD1FA6" w14:textId="05DDF371" w:rsidR="00673FB8" w:rsidRPr="00FB217C" w:rsidRDefault="00FB217C" w:rsidP="00FB217C">
                            <w:pPr>
                              <w:spacing w:line="258" w:lineRule="auto"/>
                              <w:jc w:val="center"/>
                              <w:textDirection w:val="btL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63CCA264" w14:textId="18B7CE89" w:rsidR="00FB217C" w:rsidRPr="00FB217C" w:rsidRDefault="00FB217C" w:rsidP="00FB217C">
                            <w:pPr>
                              <w:jc w:val="center"/>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Gregory Cowan</w:t>
                            </w:r>
                          </w:p>
                          <w:p w14:paraId="5E7B173D" w14:textId="77777777" w:rsidR="00FB217C" w:rsidRPr="00FB217C" w:rsidRDefault="00FB217C" w:rsidP="00FB217C">
                            <w:pPr>
                              <w:jc w:val="center"/>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CF8F5" w14:textId="77777777" w:rsidR="00FB217C" w:rsidRPr="00FB217C" w:rsidRDefault="00FB217C" w:rsidP="00FB217C">
                            <w:pPr>
                              <w:keepNext/>
                              <w:keepLines/>
                              <w:spacing w:before="240" w:after="0" w:line="360" w:lineRule="auto"/>
                              <w:outlineLvl w:val="0"/>
                              <w:rPr>
                                <w:rFonts w:ascii="Times New Roman" w:eastAsia="Times New Roman" w:hAnsi="Times New Roman" w:cs="Times New Roman"/>
                                <w:b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rFonts w:ascii="Times New Roman" w:eastAsia="Times New Roman" w:hAnsi="Times New Roman" w:cs="Times New Roman"/>
                                <w:b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Kristina Spasova            ID: 2014059                LCBB4002</w:t>
                            </w:r>
                          </w:p>
                          <w:p w14:paraId="151FF5BD" w14:textId="3C7ECCDD" w:rsidR="00FB217C" w:rsidRPr="00FB217C" w:rsidRDefault="00FB217C" w:rsidP="00FB217C">
                            <w:pPr>
                              <w:spacing w:line="258" w:lineRule="auto"/>
                              <w:jc w:val="center"/>
                              <w:textDirection w:val="btL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spcFirstLastPara="1" wrap="square" lIns="1600200" tIns="0" rIns="685800" bIns="0" anchor="b" anchorCtr="0">
                        <a:noAutofit/>
                      </wps:bodyPr>
                    </wps:wsp>
                  </a:graphicData>
                </a:graphic>
              </wp:anchor>
            </w:drawing>
          </mc:Choice>
          <mc:Fallback>
            <w:pict>
              <v:rect w14:anchorId="790E435E" id="Rectangle 7" o:spid="_x0000_s1032" style="position:absolute;left:0;text-align:left;margin-left:0;margin-top:252.2pt;width:576.75pt;height:287.25pt;z-index:251660288;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S611gEAAIMDAAAOAAAAZHJzL2Uyb0RvYy54bWysU9tu2zAMfR+wfxD0vthOZsc14hTFigwD&#10;ii1Yuw+QZSkWoNskJXb+fpSctFv7NvSFJimCPOeQ3txOSqITc14Y3eJikWPENDW90IcW/3rafaox&#10;8oHonkijWYvPzOPb7ccPm9E2bGkGI3vmEDTRvhlti4cQbJNlng5MEb8wlml45MYpEiB0h6x3ZITu&#10;SmbLPK+y0bjeOkOZ95C9nx/xNvXnnNHwg3PPApItBmwhWZdsF2223ZDm4IgdBL3AIP+BQhGhYehz&#10;q3sSCDo68aaVEtQZb3hYUKMyw7mgLHEANkX+is3jQCxLXEAcb59l8u/Xln4/7R0SfYvXGGmiYEU/&#10;QTSiD5KhdZRntL6Bqke7d5fIgxu5Ttyp+AUWaILlV3X9OQeRz+DfVPl6Wc7ysikgCgXrVVHCzjCi&#10;ULGqVnVZpgVkL62s8+ErMwpFp8UOoCRZyenBBxgPpdeSOFmbnZAy7VDqfxJQGDNZRD/jjV6YuimR&#10;XV2ZdaY/gwDe0p2AkQ/Ehz1xcAIFRiOcRYv97yNxDCP5TYPuRZXniUNIIZBxyanqso7UumuaaDoY&#10;OLQOo9n9EtLZzSjvjsFwkRhFXDOKC1zYdCJ6ucp4Sn/Hqerl39n+AQAA//8DAFBLAwQUAAYACAAA&#10;ACEAcXjDceAAAAAKAQAADwAAAGRycy9kb3ducmV2LnhtbEyPwU7DMBBE70j8g7VI3KhTaKBJ41So&#10;CG5IEIp63cZLEtVeR7HbBL4e9wS3Wc1q5k2xnqwRJxp851jBfJaAIK6d7rhRsP14vlmC8AFZo3FM&#10;Cr7Jw7q8vCgw127kdzpVoRExhH2OCtoQ+lxKX7dk0c9cTxy9LzdYDPEcGqkHHGO4NfI2Se6lxY5j&#10;Q4s9bVqqD9XRKvBmV/08ZenGvGSvevysDv0bbpW6vpoeVyACTeHvGc74ER3KyLR3R9ZeGAVxSFCQ&#10;JosFiLM9T+9SEPuokodlBrIs5P8J5S8AAAD//wMAUEsBAi0AFAAGAAgAAAAhALaDOJL+AAAA4QEA&#10;ABMAAAAAAAAAAAAAAAAAAAAAAFtDb250ZW50X1R5cGVzXS54bWxQSwECLQAUAAYACAAAACEAOP0h&#10;/9YAAACUAQAACwAAAAAAAAAAAAAAAAAvAQAAX3JlbHMvLnJlbHNQSwECLQAUAAYACAAAACEALEEu&#10;tdYBAACDAwAADgAAAAAAAAAAAAAAAAAuAgAAZHJzL2Uyb0RvYy54bWxQSwECLQAUAAYACAAAACEA&#10;cXjDceAAAAAKAQAADwAAAAAAAAAAAAAAAAAwBAAAZHJzL2Rvd25yZXYueG1sUEsFBgAAAAAEAAQA&#10;8wAAAD0FAAAAAA==&#10;" filled="f" stroked="f">
                <v:textbox inset="126pt,0,54pt,0">
                  <w:txbxContent>
                    <w:p w14:paraId="3DE3450F" w14:textId="35893794" w:rsidR="00673FB8" w:rsidRDefault="00333A25">
                      <w:pPr>
                        <w:spacing w:line="258" w:lineRule="auto"/>
                        <w:jc w:val="right"/>
                        <w:textDirection w:val="btLr"/>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r w:rsidRPr="00FB217C">
                        <w:rPr>
                          <w:color w:val="000000" w:themeColor="text1"/>
                          <w:sz w:val="6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ENGAGEMENT</w:t>
                      </w:r>
                    </w:p>
                    <w:p w14:paraId="6C260AFF" w14:textId="77777777" w:rsidR="00FB217C" w:rsidRPr="00FB217C" w:rsidRDefault="00FB217C">
                      <w:pPr>
                        <w:spacing w:line="258" w:lineRule="auto"/>
                        <w:jc w:val="right"/>
                        <w:textDirection w:val="btL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DD1FA6" w14:textId="05DDF371" w:rsidR="00673FB8" w:rsidRPr="00FB217C" w:rsidRDefault="00FB217C" w:rsidP="00FB217C">
                      <w:pPr>
                        <w:spacing w:line="258" w:lineRule="auto"/>
                        <w:jc w:val="center"/>
                        <w:textDirection w:val="btL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63CCA264" w14:textId="18B7CE89" w:rsidR="00FB217C" w:rsidRPr="00FB217C" w:rsidRDefault="00FB217C" w:rsidP="00FB217C">
                      <w:pPr>
                        <w:jc w:val="center"/>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B217C">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Gregory Cowan</w:t>
                      </w:r>
                    </w:p>
                    <w:p w14:paraId="5E7B173D" w14:textId="77777777" w:rsidR="00FB217C" w:rsidRPr="00FB217C" w:rsidRDefault="00FB217C" w:rsidP="00FB217C">
                      <w:pPr>
                        <w:jc w:val="center"/>
                        <w:rPr>
                          <w:rFonts w:ascii="Times New Roman" w:eastAsia="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CF8F5" w14:textId="77777777" w:rsidR="00FB217C" w:rsidRPr="00FB217C" w:rsidRDefault="00FB217C" w:rsidP="00FB217C">
                      <w:pPr>
                        <w:keepNext/>
                        <w:keepLines/>
                        <w:spacing w:before="240" w:after="0" w:line="360" w:lineRule="auto"/>
                        <w:outlineLvl w:val="0"/>
                        <w:rPr>
                          <w:rFonts w:ascii="Times New Roman" w:eastAsia="Times New Roman" w:hAnsi="Times New Roman" w:cs="Times New Roman"/>
                          <w:b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217C">
                        <w:rPr>
                          <w:rFonts w:ascii="Times New Roman" w:eastAsia="Times New Roman" w:hAnsi="Times New Roman" w:cs="Times New Roman"/>
                          <w:bCs/>
                          <w:color w:val="000000" w:themeColor="text1"/>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Kristina Spasova            ID: 2014059                LCBB4002</w:t>
                      </w:r>
                    </w:p>
                    <w:p w14:paraId="151FF5BD" w14:textId="3C7ECCDD" w:rsidR="00FB217C" w:rsidRPr="00FB217C" w:rsidRDefault="00FB217C" w:rsidP="00FB217C">
                      <w:pPr>
                        <w:spacing w:line="258" w:lineRule="auto"/>
                        <w:jc w:val="center"/>
                        <w:textDirection w:val="btL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page" anchory="page"/>
              </v:rect>
            </w:pict>
          </mc:Fallback>
        </mc:AlternateContent>
      </w:r>
      <w:proofErr w:type="spellStart"/>
      <w:r w:rsidR="00FB217C">
        <w:rPr>
          <w:rFonts w:ascii="Times New Roman" w:eastAsia="Times New Roman" w:hAnsi="Times New Roman" w:cs="Times New Roman"/>
          <w:sz w:val="24"/>
          <w:szCs w:val="24"/>
        </w:rPr>
        <w:t>Klll</w:t>
      </w:r>
      <w:r w:rsidR="00FB217C">
        <w:rPr>
          <w:rFonts w:ascii="Times New Roman" w:eastAsia="Times New Roman" w:hAnsi="Times New Roman" w:cs="Times New Roman"/>
          <w:b/>
          <w:bCs/>
          <w:sz w:val="24"/>
          <w:szCs w:val="24"/>
        </w:rPr>
        <w:t>K</w:t>
      </w:r>
      <w:proofErr w:type="spellEnd"/>
    </w:p>
    <w:p w14:paraId="5CD2A90B" w14:textId="5A36DD8B" w:rsidR="00673FB8" w:rsidRDefault="00FB217C">
      <w:pPr>
        <w:spacing w:line="360" w:lineRule="auto"/>
        <w:jc w:val="both"/>
        <w:rPr>
          <w:rFonts w:ascii="Times New Roman" w:eastAsia="Times New Roman" w:hAnsi="Times New Roman" w:cs="Times New Roman"/>
          <w:sz w:val="24"/>
          <w:szCs w:val="24"/>
        </w:rPr>
      </w:pPr>
      <w:proofErr w:type="spellStart"/>
      <w:r>
        <w:t>Kkk</w:t>
      </w:r>
      <w:proofErr w:type="spellEnd"/>
      <w:r w:rsidR="00333A25">
        <w:br w:type="page"/>
      </w:r>
    </w:p>
    <w:p w14:paraId="18ABE570" w14:textId="77777777" w:rsidR="00673FB8" w:rsidRDefault="00333A25">
      <w:pPr>
        <w:keepNext/>
        <w:keepLines/>
        <w:pBdr>
          <w:top w:val="nil"/>
          <w:left w:val="nil"/>
          <w:bottom w:val="nil"/>
          <w:right w:val="nil"/>
          <w:between w:val="nil"/>
        </w:pBdr>
        <w:spacing w:before="240" w:after="0" w:line="360" w:lineRule="auto"/>
        <w:jc w:val="both"/>
        <w:rPr>
          <w:rFonts w:ascii="Times New Roman" w:eastAsia="Times New Roman" w:hAnsi="Times New Roman" w:cs="Times New Roman"/>
          <w:color w:val="2E75B5"/>
          <w:sz w:val="24"/>
          <w:szCs w:val="24"/>
        </w:rPr>
      </w:pPr>
      <w:r>
        <w:rPr>
          <w:rFonts w:ascii="Times New Roman" w:eastAsia="Times New Roman" w:hAnsi="Times New Roman" w:cs="Times New Roman"/>
          <w:color w:val="2E75B5"/>
          <w:sz w:val="24"/>
          <w:szCs w:val="24"/>
        </w:rPr>
        <w:lastRenderedPageBreak/>
        <w:t>Contents</w:t>
      </w:r>
    </w:p>
    <w:sdt>
      <w:sdtPr>
        <w:id w:val="-1841614159"/>
        <w:docPartObj>
          <w:docPartGallery w:val="Table of Contents"/>
          <w:docPartUnique/>
        </w:docPartObj>
      </w:sdtPr>
      <w:sdtEndPr/>
      <w:sdtContent>
        <w:p w14:paraId="158DB662"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30j0zll">
            <w:r>
              <w:rPr>
                <w:rFonts w:ascii="Times New Roman" w:eastAsia="Times New Roman" w:hAnsi="Times New Roman" w:cs="Times New Roman"/>
                <w:color w:val="000000"/>
                <w:sz w:val="24"/>
                <w:szCs w:val="24"/>
              </w:rPr>
              <w:t>Community Engagement</w:t>
            </w:r>
            <w:r>
              <w:rPr>
                <w:rFonts w:ascii="Times New Roman" w:eastAsia="Times New Roman" w:hAnsi="Times New Roman" w:cs="Times New Roman"/>
                <w:color w:val="000000"/>
                <w:sz w:val="24"/>
                <w:szCs w:val="24"/>
              </w:rPr>
              <w:tab/>
              <w:t>2</w:t>
            </w:r>
          </w:hyperlink>
        </w:p>
        <w:p w14:paraId="789A8605"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Core Values of Community engagement</w:t>
            </w:r>
            <w:r>
              <w:rPr>
                <w:rFonts w:ascii="Times New Roman" w:eastAsia="Times New Roman" w:hAnsi="Times New Roman" w:cs="Times New Roman"/>
                <w:color w:val="000000"/>
                <w:sz w:val="24"/>
                <w:szCs w:val="24"/>
              </w:rPr>
              <w:tab/>
              <w:t>2</w:t>
            </w:r>
          </w:hyperlink>
        </w:p>
        <w:p w14:paraId="5B146567"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COMMUNITY ENGAGEMENT MODELS</w:t>
            </w:r>
            <w:r>
              <w:rPr>
                <w:rFonts w:ascii="Times New Roman" w:eastAsia="Times New Roman" w:hAnsi="Times New Roman" w:cs="Times New Roman"/>
                <w:color w:val="000000"/>
                <w:sz w:val="24"/>
                <w:szCs w:val="24"/>
              </w:rPr>
              <w:tab/>
              <w:t>3</w:t>
            </w:r>
          </w:hyperlink>
        </w:p>
        <w:p w14:paraId="3882F65D"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Model of Community Engagement:</w:t>
            </w:r>
            <w:r>
              <w:rPr>
                <w:rFonts w:ascii="Times New Roman" w:eastAsia="Times New Roman" w:hAnsi="Times New Roman" w:cs="Times New Roman"/>
                <w:color w:val="000000"/>
                <w:sz w:val="24"/>
                <w:szCs w:val="24"/>
              </w:rPr>
              <w:tab/>
              <w:t>3</w:t>
            </w:r>
          </w:hyperlink>
        </w:p>
        <w:p w14:paraId="13320E60"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Consultation /public Participation models:</w:t>
            </w:r>
            <w:r>
              <w:rPr>
                <w:rFonts w:ascii="Times New Roman" w:eastAsia="Times New Roman" w:hAnsi="Times New Roman" w:cs="Times New Roman"/>
                <w:color w:val="000000"/>
                <w:sz w:val="24"/>
                <w:szCs w:val="24"/>
              </w:rPr>
              <w:tab/>
              <w:t>3</w:t>
            </w:r>
          </w:hyperlink>
        </w:p>
        <w:p w14:paraId="025E4262"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Asset-based/social economy model:</w:t>
            </w:r>
            <w:r>
              <w:rPr>
                <w:rFonts w:ascii="Times New Roman" w:eastAsia="Times New Roman" w:hAnsi="Times New Roman" w:cs="Times New Roman"/>
                <w:color w:val="000000"/>
                <w:sz w:val="24"/>
                <w:szCs w:val="24"/>
              </w:rPr>
              <w:tab/>
              <w:t>3</w:t>
            </w:r>
          </w:hyperlink>
        </w:p>
        <w:p w14:paraId="75256458"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Community democracy model:</w:t>
            </w:r>
            <w:r>
              <w:rPr>
                <w:rFonts w:ascii="Times New Roman" w:eastAsia="Times New Roman" w:hAnsi="Times New Roman" w:cs="Times New Roman"/>
                <w:color w:val="000000"/>
                <w:sz w:val="24"/>
                <w:szCs w:val="24"/>
              </w:rPr>
              <w:tab/>
              <w:t>3</w:t>
            </w:r>
          </w:hyperlink>
        </w:p>
        <w:p w14:paraId="36876D65"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Identity based models:</w:t>
            </w:r>
            <w:r>
              <w:rPr>
                <w:rFonts w:ascii="Times New Roman" w:eastAsia="Times New Roman" w:hAnsi="Times New Roman" w:cs="Times New Roman"/>
                <w:color w:val="000000"/>
                <w:sz w:val="24"/>
                <w:szCs w:val="24"/>
              </w:rPr>
              <w:tab/>
              <w:t>3</w:t>
            </w:r>
          </w:hyperlink>
        </w:p>
        <w:p w14:paraId="047C9BFA"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Learning-led and popular education models</w:t>
            </w:r>
            <w:r>
              <w:rPr>
                <w:rFonts w:ascii="Times New Roman" w:eastAsia="Times New Roman" w:hAnsi="Times New Roman" w:cs="Times New Roman"/>
                <w:color w:val="000000"/>
                <w:sz w:val="24"/>
                <w:szCs w:val="24"/>
              </w:rPr>
              <w:tab/>
              <w:t>3</w:t>
            </w:r>
          </w:hyperlink>
        </w:p>
        <w:bookmarkStart w:id="0" w:name="_gjdgxs" w:colFirst="0" w:colLast="0"/>
        <w:bookmarkEnd w:id="0"/>
        <w:p w14:paraId="3B7888F5"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r>
            <w:fldChar w:fldCharType="begin"/>
          </w:r>
          <w:r>
            <w:instrText xml:space="preserve"> HYPERLINK \l </w:instrText>
          </w:r>
          <w:r>
            <w:instrText xml:space="preserve">"_17dp8vu" \h </w:instrText>
          </w:r>
          <w:r>
            <w:fldChar w:fldCharType="separate"/>
          </w:r>
          <w:r>
            <w:rPr>
              <w:rFonts w:ascii="Times New Roman" w:eastAsia="Times New Roman" w:hAnsi="Times New Roman" w:cs="Times New Roman"/>
              <w:color w:val="000000"/>
              <w:sz w:val="24"/>
              <w:szCs w:val="24"/>
            </w:rPr>
            <w:t>Service development models:</w:t>
          </w:r>
          <w:r>
            <w:rPr>
              <w:rFonts w:ascii="Times New Roman" w:eastAsia="Times New Roman" w:hAnsi="Times New Roman" w:cs="Times New Roman"/>
              <w:color w:val="000000"/>
              <w:sz w:val="24"/>
              <w:szCs w:val="24"/>
            </w:rPr>
            <w:tab/>
            <w:t>3</w:t>
          </w:r>
          <w:r>
            <w:rPr>
              <w:rFonts w:ascii="Times New Roman" w:eastAsia="Times New Roman" w:hAnsi="Times New Roman" w:cs="Times New Roman"/>
              <w:color w:val="000000"/>
              <w:sz w:val="24"/>
              <w:szCs w:val="24"/>
            </w:rPr>
            <w:fldChar w:fldCharType="end"/>
          </w:r>
        </w:p>
        <w:p w14:paraId="1A2AEF41"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Benefits of Group engagement</w:t>
            </w:r>
            <w:r>
              <w:rPr>
                <w:rFonts w:ascii="Times New Roman" w:eastAsia="Times New Roman" w:hAnsi="Times New Roman" w:cs="Times New Roman"/>
                <w:color w:val="000000"/>
                <w:sz w:val="24"/>
                <w:szCs w:val="24"/>
              </w:rPr>
              <w:tab/>
              <w:t>4</w:t>
            </w:r>
          </w:hyperlink>
        </w:p>
        <w:p w14:paraId="7C2958B1"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Community Engagement Policy</w:t>
            </w:r>
            <w:r>
              <w:rPr>
                <w:rFonts w:ascii="Times New Roman" w:eastAsia="Times New Roman" w:hAnsi="Times New Roman" w:cs="Times New Roman"/>
                <w:color w:val="000000"/>
                <w:sz w:val="24"/>
                <w:szCs w:val="24"/>
              </w:rPr>
              <w:tab/>
              <w:t>4</w:t>
            </w:r>
          </w:hyperlink>
        </w:p>
        <w:p w14:paraId="593C7476"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Identify needs, issues and assets:</w:t>
            </w:r>
            <w:r>
              <w:rPr>
                <w:rFonts w:ascii="Times New Roman" w:eastAsia="Times New Roman" w:hAnsi="Times New Roman" w:cs="Times New Roman"/>
                <w:color w:val="000000"/>
                <w:sz w:val="24"/>
                <w:szCs w:val="24"/>
              </w:rPr>
              <w:tab/>
              <w:t>5</w:t>
            </w:r>
          </w:hyperlink>
        </w:p>
        <w:p w14:paraId="7F4CBDF0"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Setting an agenda for growth</w:t>
            </w:r>
            <w:r>
              <w:rPr>
                <w:rFonts w:ascii="Times New Roman" w:eastAsia="Times New Roman" w:hAnsi="Times New Roman" w:cs="Times New Roman"/>
                <w:color w:val="000000"/>
                <w:sz w:val="24"/>
                <w:szCs w:val="24"/>
              </w:rPr>
              <w:tab/>
              <w:t>5</w:t>
            </w:r>
          </w:hyperlink>
        </w:p>
        <w:p w14:paraId="3E1F8FAE"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Building Capacities</w:t>
            </w:r>
            <w:r>
              <w:rPr>
                <w:rFonts w:ascii="Times New Roman" w:eastAsia="Times New Roman" w:hAnsi="Times New Roman" w:cs="Times New Roman"/>
                <w:color w:val="000000"/>
                <w:sz w:val="24"/>
                <w:szCs w:val="24"/>
              </w:rPr>
              <w:tab/>
              <w:t>5</w:t>
            </w:r>
          </w:hyperlink>
        </w:p>
        <w:p w14:paraId="5BD7EAD7"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Learning exercises</w:t>
            </w:r>
            <w:r>
              <w:rPr>
                <w:rFonts w:ascii="Times New Roman" w:eastAsia="Times New Roman" w:hAnsi="Times New Roman" w:cs="Times New Roman"/>
                <w:color w:val="000000"/>
                <w:sz w:val="24"/>
                <w:szCs w:val="24"/>
              </w:rPr>
              <w:tab/>
              <w:t>5</w:t>
            </w:r>
          </w:hyperlink>
        </w:p>
        <w:p w14:paraId="055911C7" w14:textId="77777777" w:rsidR="00673FB8" w:rsidRDefault="00333A25">
          <w:pPr>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Support for engagement</w:t>
            </w:r>
            <w:r>
              <w:rPr>
                <w:rFonts w:ascii="Times New Roman" w:eastAsia="Times New Roman" w:hAnsi="Times New Roman" w:cs="Times New Roman"/>
                <w:color w:val="000000"/>
                <w:sz w:val="24"/>
                <w:szCs w:val="24"/>
              </w:rPr>
              <w:tab/>
              <w:t>5</w:t>
            </w:r>
          </w:hyperlink>
        </w:p>
        <w:p w14:paraId="450BA056"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rPr>
              <w:t>Reflection Practice in Community Engagement</w:t>
            </w:r>
            <w:r>
              <w:rPr>
                <w:rFonts w:ascii="Times New Roman" w:eastAsia="Times New Roman" w:hAnsi="Times New Roman" w:cs="Times New Roman"/>
                <w:color w:val="000000"/>
                <w:sz w:val="24"/>
                <w:szCs w:val="24"/>
              </w:rPr>
              <w:tab/>
              <w:t>6</w:t>
            </w:r>
          </w:hyperlink>
        </w:p>
        <w:p w14:paraId="6A12E10D" w14:textId="77777777" w:rsidR="00673FB8" w:rsidRDefault="00333A25">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7</w:t>
            </w:r>
          </w:hyperlink>
        </w:p>
        <w:p w14:paraId="71509972" w14:textId="77777777" w:rsidR="00673FB8" w:rsidRDefault="00333A25">
          <w:pPr>
            <w:pBdr>
              <w:top w:val="nil"/>
              <w:left w:val="nil"/>
              <w:bottom w:val="nil"/>
              <w:right w:val="nil"/>
              <w:between w:val="nil"/>
            </w:pBdr>
            <w:tabs>
              <w:tab w:val="right" w:pos="9016"/>
            </w:tabs>
            <w:spacing w:after="100" w:line="360" w:lineRule="auto"/>
            <w:jc w:val="both"/>
            <w:rPr>
              <w:color w:val="000000"/>
            </w:rPr>
          </w:pPr>
          <w:hyperlink w:anchor="_1y810tw">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8</w:t>
            </w:r>
          </w:hyperlink>
        </w:p>
        <w:p w14:paraId="3C1B8F91" w14:textId="77777777" w:rsidR="00673FB8" w:rsidRDefault="00333A25">
          <w:pPr>
            <w:spacing w:line="360" w:lineRule="auto"/>
            <w:jc w:val="both"/>
            <w:rPr>
              <w:rFonts w:ascii="Times New Roman" w:eastAsia="Times New Roman" w:hAnsi="Times New Roman" w:cs="Times New Roman"/>
              <w:sz w:val="24"/>
              <w:szCs w:val="24"/>
            </w:rPr>
          </w:pPr>
          <w:r>
            <w:fldChar w:fldCharType="end"/>
          </w:r>
        </w:p>
      </w:sdtContent>
    </w:sdt>
    <w:p w14:paraId="085F8FE9" w14:textId="77777777" w:rsidR="00673FB8" w:rsidRDefault="00333A25">
      <w:pPr>
        <w:spacing w:line="360" w:lineRule="auto"/>
        <w:jc w:val="both"/>
        <w:rPr>
          <w:rFonts w:ascii="Times New Roman" w:eastAsia="Times New Roman" w:hAnsi="Times New Roman" w:cs="Times New Roman"/>
          <w:color w:val="2E75B5"/>
          <w:sz w:val="24"/>
          <w:szCs w:val="24"/>
        </w:rPr>
      </w:pPr>
      <w:r>
        <w:br w:type="page"/>
      </w:r>
    </w:p>
    <w:p w14:paraId="55209624" w14:textId="77777777" w:rsidR="00673FB8" w:rsidRDefault="00333A25">
      <w:pPr>
        <w:pStyle w:val="Heading1"/>
      </w:pPr>
      <w:bookmarkStart w:id="1" w:name="_30j0zll" w:colFirst="0" w:colLast="0"/>
      <w:bookmarkEnd w:id="1"/>
      <w:r>
        <w:lastRenderedPageBreak/>
        <w:t>Community Engagement</w:t>
      </w:r>
    </w:p>
    <w:p w14:paraId="5E2CBB44" w14:textId="77777777" w:rsidR="00673FB8" w:rsidRDefault="00673FB8">
      <w:pPr>
        <w:spacing w:line="360" w:lineRule="auto"/>
        <w:jc w:val="both"/>
        <w:rPr>
          <w:rFonts w:ascii="Times New Roman" w:eastAsia="Times New Roman" w:hAnsi="Times New Roman" w:cs="Times New Roman"/>
          <w:sz w:val="24"/>
          <w:szCs w:val="24"/>
        </w:rPr>
      </w:pPr>
    </w:p>
    <w:p w14:paraId="751917E3"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is the practice of engaging with and acros</w:t>
      </w:r>
      <w:r>
        <w:rPr>
          <w:rFonts w:ascii="Times New Roman" w:eastAsia="Times New Roman" w:hAnsi="Times New Roman" w:cs="Times New Roman"/>
          <w:sz w:val="24"/>
          <w:szCs w:val="24"/>
        </w:rPr>
        <w:t>s associations of people associated with geographical proximity, special interest or related circumstances in order to deal with issues of the wellbeing of those persons. It is an effective way to bring in improvements to atmosphere and actions that increa</w:t>
      </w:r>
      <w:r>
        <w:rPr>
          <w:rFonts w:ascii="Times New Roman" w:eastAsia="Times New Roman" w:hAnsi="Times New Roman" w:cs="Times New Roman"/>
          <w:sz w:val="24"/>
          <w:szCs w:val="24"/>
        </w:rPr>
        <w:t>se the health of the society and its people (WHO 2020).</w:t>
      </w:r>
    </w:p>
    <w:p w14:paraId="5EB646C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involvement refers to the interaction between states, residents and others. Communities on a host of governance, program and operation concerns. It covers a wide range of applications. Gover</w:t>
      </w:r>
      <w:r>
        <w:rPr>
          <w:rFonts w:ascii="Times New Roman" w:eastAsia="Times New Roman" w:hAnsi="Times New Roman" w:cs="Times New Roman"/>
          <w:sz w:val="24"/>
          <w:szCs w:val="24"/>
        </w:rPr>
        <w:t xml:space="preserve">nment-group connections, ranging from sharing knowledge to community consultation and in some cases, constructive involvement in the official decision-making process". It is often assumed that group participation is frequent Involve alliances that promote </w:t>
      </w:r>
      <w:r>
        <w:rPr>
          <w:rFonts w:ascii="Times New Roman" w:eastAsia="Times New Roman" w:hAnsi="Times New Roman" w:cs="Times New Roman"/>
          <w:sz w:val="24"/>
          <w:szCs w:val="24"/>
        </w:rPr>
        <w:t>the deployment of capital and power of the public sector system; Change the relationship between partners, which may also act as catalysts" in policy change and Programs and programs.</w:t>
      </w:r>
    </w:p>
    <w:p w14:paraId="11C69FCF"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five key criteria for active community engagement (Napoli 2019</w:t>
      </w:r>
      <w:r>
        <w:rPr>
          <w:rFonts w:ascii="Times New Roman" w:eastAsia="Times New Roman" w:hAnsi="Times New Roman" w:cs="Times New Roman"/>
          <w:sz w:val="24"/>
          <w:szCs w:val="24"/>
        </w:rPr>
        <w:t>).</w:t>
      </w:r>
    </w:p>
    <w:p w14:paraId="0BED754F"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Principles of active community engagement include:</w:t>
      </w:r>
    </w:p>
    <w:p w14:paraId="2FBA1883" w14:textId="77777777" w:rsidR="00673FB8" w:rsidRDefault="00333A25">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Increase residents' awareness of a society and/or the topic you want to work with.</w:t>
      </w:r>
    </w:p>
    <w:p w14:paraId="114B3801" w14:textId="77777777" w:rsidR="00673FB8" w:rsidRDefault="00333A25">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Encourage people to contribute to the development and implementation of new knowledge and understanding.</w:t>
      </w:r>
    </w:p>
    <w:p w14:paraId="0DB02CBF" w14:textId="77777777" w:rsidR="00673FB8" w:rsidRDefault="00333A25">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Use this information to strengthen the society or to cope with the issue found.</w:t>
      </w:r>
    </w:p>
    <w:p w14:paraId="3AB15F92" w14:textId="77777777" w:rsidR="00673FB8" w:rsidRDefault="00333A25">
      <w:pPr>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Build opportunities for people to invest in the future.</w:t>
      </w:r>
    </w:p>
    <w:p w14:paraId="41AC491E" w14:textId="77777777" w:rsidR="00673FB8" w:rsidRDefault="00333A25">
      <w:pPr>
        <w:numPr>
          <w:ilvl w:val="0"/>
          <w:numId w:val="2"/>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Ensure that these opportunities and constructive collaboration is part of the process on a daily and continuing basis.</w:t>
      </w:r>
    </w:p>
    <w:p w14:paraId="097DDF04" w14:textId="77777777" w:rsidR="00673FB8" w:rsidRDefault="00333A25">
      <w:pPr>
        <w:pStyle w:val="Heading1"/>
      </w:pPr>
      <w:bookmarkStart w:id="2" w:name="_1fob9te" w:colFirst="0" w:colLast="0"/>
      <w:bookmarkEnd w:id="2"/>
      <w:r>
        <w:t>Core Values of Community engagement</w:t>
      </w:r>
    </w:p>
    <w:p w14:paraId="3CE14B22"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Community engagement is founded on the conviction that those affected by a decision are entitled to t</w:t>
      </w:r>
      <w:r>
        <w:rPr>
          <w:rFonts w:ascii="Times New Roman" w:eastAsia="Times New Roman" w:hAnsi="Times New Roman" w:cs="Times New Roman"/>
          <w:color w:val="000000"/>
          <w:sz w:val="24"/>
          <w:szCs w:val="24"/>
        </w:rPr>
        <w:t>ake part in the decision-making process.</w:t>
      </w:r>
    </w:p>
    <w:p w14:paraId="2A0C3769"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Community engagement requires the promise of shaping the decision on community commitment.</w:t>
      </w:r>
    </w:p>
    <w:p w14:paraId="31B68BBD"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Community interaction encourages sustainable options by understanding and communicating all members, including decision-make</w:t>
      </w:r>
      <w:r>
        <w:rPr>
          <w:rFonts w:ascii="Times New Roman" w:eastAsia="Times New Roman" w:hAnsi="Times New Roman" w:cs="Times New Roman"/>
          <w:color w:val="000000"/>
          <w:sz w:val="24"/>
          <w:szCs w:val="24"/>
        </w:rPr>
        <w:t>rs, with desires and preferences.</w:t>
      </w:r>
    </w:p>
    <w:p w14:paraId="431BAE46"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lastRenderedPageBreak/>
        <w:t>The engagement of those potentially influenced by or involved in a decision seeks and encourages engagement by the group.</w:t>
      </w:r>
    </w:p>
    <w:p w14:paraId="17F97A64"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Participants in the creation of their involvement request feedback from the group engagement.</w:t>
      </w:r>
    </w:p>
    <w:p w14:paraId="58D90254"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Community interaction offers people knowledge in a realistic manner that they need to participate.</w:t>
      </w:r>
    </w:p>
    <w:p w14:paraId="183B2C9B" w14:textId="77777777" w:rsidR="00673FB8" w:rsidRDefault="00333A25">
      <w:pPr>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Participants would be told of the effect their input has on the</w:t>
      </w:r>
      <w:r>
        <w:rPr>
          <w:rFonts w:ascii="Times New Roman" w:eastAsia="Times New Roman" w:hAnsi="Times New Roman" w:cs="Times New Roman"/>
          <w:color w:val="000000"/>
          <w:sz w:val="24"/>
          <w:szCs w:val="24"/>
        </w:rPr>
        <w:t xml:space="preserve"> decision.</w:t>
      </w:r>
    </w:p>
    <w:p w14:paraId="312AF2DA" w14:textId="77777777" w:rsidR="00673FB8" w:rsidRDefault="00333A25">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(McMullen et al. 2020)</w:t>
      </w:r>
    </w:p>
    <w:p w14:paraId="57B3660B" w14:textId="77777777" w:rsidR="00673FB8" w:rsidRDefault="00673FB8">
      <w:pPr>
        <w:spacing w:line="360" w:lineRule="auto"/>
        <w:jc w:val="both"/>
        <w:rPr>
          <w:rFonts w:ascii="Times New Roman" w:eastAsia="Times New Roman" w:hAnsi="Times New Roman" w:cs="Times New Roman"/>
          <w:sz w:val="24"/>
          <w:szCs w:val="24"/>
        </w:rPr>
      </w:pPr>
    </w:p>
    <w:p w14:paraId="185E8D77" w14:textId="77777777" w:rsidR="00673FB8" w:rsidRDefault="00333A25">
      <w:pPr>
        <w:pStyle w:val="Heading1"/>
      </w:pPr>
      <w:bookmarkStart w:id="3" w:name="_3znysh7" w:colFirst="0" w:colLast="0"/>
      <w:bookmarkEnd w:id="3"/>
      <w:r>
        <w:t>COMMUNITY ENGAGEMENT MODELS</w:t>
      </w:r>
    </w:p>
    <w:p w14:paraId="7E65BD0F" w14:textId="77777777" w:rsidR="00673FB8" w:rsidRDefault="00333A25">
      <w:pPr>
        <w:pStyle w:val="Heading1"/>
      </w:pPr>
      <w:bookmarkStart w:id="4" w:name="_2et92p0" w:colFirst="0" w:colLast="0"/>
      <w:bookmarkEnd w:id="4"/>
      <w:r>
        <w:t>Model of Community Engagement:</w:t>
      </w:r>
    </w:p>
    <w:p w14:paraId="2012D672" w14:textId="77777777" w:rsidR="00673FB8" w:rsidRDefault="00333A25">
      <w:pPr>
        <w:spacing w:line="360" w:lineRule="auto"/>
        <w:jc w:val="both"/>
        <w:rPr>
          <w:rFonts w:ascii="Times New Roman" w:eastAsia="Times New Roman" w:hAnsi="Times New Roman" w:cs="Times New Roman"/>
          <w:sz w:val="24"/>
          <w:szCs w:val="24"/>
        </w:rPr>
      </w:pPr>
      <w:bookmarkStart w:id="5" w:name="_tyjcwt" w:colFirst="0" w:colLast="0"/>
      <w:bookmarkEnd w:id="5"/>
      <w:r>
        <w:rPr>
          <w:rFonts w:ascii="Times New Roman" w:eastAsia="Times New Roman" w:hAnsi="Times New Roman" w:cs="Times New Roman"/>
          <w:color w:val="2E75B5"/>
          <w:sz w:val="24"/>
          <w:szCs w:val="24"/>
        </w:rPr>
        <w:t>Consultation /public Participation models:</w:t>
      </w:r>
      <w:r>
        <w:rPr>
          <w:rFonts w:ascii="Times New Roman" w:eastAsia="Times New Roman" w:hAnsi="Times New Roman" w:cs="Times New Roman"/>
          <w:sz w:val="24"/>
          <w:szCs w:val="24"/>
        </w:rPr>
        <w:t xml:space="preserve"> Public agencies typically use such models to collect feedback and opinions on needs, problems or reactions to suggestio</w:t>
      </w:r>
      <w:r>
        <w:rPr>
          <w:rFonts w:ascii="Times New Roman" w:eastAsia="Times New Roman" w:hAnsi="Times New Roman" w:cs="Times New Roman"/>
          <w:sz w:val="24"/>
          <w:szCs w:val="24"/>
        </w:rPr>
        <w:t xml:space="preserve">ns from a wide variety of community stakeholders. Opinion polling, surveys, conferences, focus groups, open-space activities can be useful strategies (Lee 2020). </w:t>
      </w:r>
    </w:p>
    <w:p w14:paraId="0DB99FC5" w14:textId="77777777" w:rsidR="00673FB8" w:rsidRDefault="00333A25">
      <w:pPr>
        <w:spacing w:line="360" w:lineRule="auto"/>
        <w:jc w:val="both"/>
        <w:rPr>
          <w:rFonts w:ascii="Times New Roman" w:eastAsia="Times New Roman" w:hAnsi="Times New Roman" w:cs="Times New Roman"/>
          <w:sz w:val="24"/>
          <w:szCs w:val="24"/>
        </w:rPr>
      </w:pPr>
      <w:bookmarkStart w:id="6" w:name="_3dy6vkm" w:colFirst="0" w:colLast="0"/>
      <w:bookmarkEnd w:id="6"/>
      <w:r>
        <w:rPr>
          <w:rFonts w:ascii="Times New Roman" w:eastAsia="Times New Roman" w:hAnsi="Times New Roman" w:cs="Times New Roman"/>
          <w:color w:val="2E75B5"/>
          <w:sz w:val="24"/>
          <w:szCs w:val="24"/>
        </w:rPr>
        <w:t>Asset-based/social economy model:</w:t>
      </w:r>
      <w:r>
        <w:rPr>
          <w:rFonts w:ascii="Times New Roman" w:eastAsia="Times New Roman" w:hAnsi="Times New Roman" w:cs="Times New Roman"/>
          <w:sz w:val="24"/>
          <w:szCs w:val="24"/>
        </w:rPr>
        <w:t xml:space="preserve"> This model is availed to understand the importance of the c</w:t>
      </w:r>
      <w:r>
        <w:rPr>
          <w:rFonts w:ascii="Times New Roman" w:eastAsia="Times New Roman" w:hAnsi="Times New Roman" w:cs="Times New Roman"/>
          <w:sz w:val="24"/>
          <w:szCs w:val="24"/>
        </w:rPr>
        <w:t>ity's financial assets and human capital, and the key goals of these models are to optimise community power and profit from these assets. Community based housing association, community trust forestry are some examples of these models (Lee 2020).</w:t>
      </w:r>
    </w:p>
    <w:p w14:paraId="2532FF91" w14:textId="77777777" w:rsidR="00673FB8" w:rsidRDefault="00333A25">
      <w:pPr>
        <w:spacing w:line="360" w:lineRule="auto"/>
        <w:jc w:val="both"/>
        <w:rPr>
          <w:rFonts w:ascii="Times New Roman" w:eastAsia="Times New Roman" w:hAnsi="Times New Roman" w:cs="Times New Roman"/>
          <w:sz w:val="24"/>
          <w:szCs w:val="24"/>
        </w:rPr>
      </w:pPr>
      <w:bookmarkStart w:id="7" w:name="_1t3h5sf" w:colFirst="0" w:colLast="0"/>
      <w:bookmarkEnd w:id="7"/>
      <w:r>
        <w:rPr>
          <w:rFonts w:ascii="Times New Roman" w:eastAsia="Times New Roman" w:hAnsi="Times New Roman" w:cs="Times New Roman"/>
          <w:color w:val="2E75B5"/>
          <w:sz w:val="24"/>
          <w:szCs w:val="24"/>
        </w:rPr>
        <w:t xml:space="preserve">Community </w:t>
      </w:r>
      <w:r>
        <w:rPr>
          <w:rFonts w:ascii="Times New Roman" w:eastAsia="Times New Roman" w:hAnsi="Times New Roman" w:cs="Times New Roman"/>
          <w:color w:val="2E75B5"/>
          <w:sz w:val="24"/>
          <w:szCs w:val="24"/>
        </w:rPr>
        <w:t>democracy model:</w:t>
      </w:r>
      <w:r>
        <w:rPr>
          <w:rFonts w:ascii="Times New Roman" w:eastAsia="Times New Roman" w:hAnsi="Times New Roman" w:cs="Times New Roman"/>
          <w:sz w:val="24"/>
          <w:szCs w:val="24"/>
        </w:rPr>
        <w:t xml:space="preserve"> These help to expand community democracy to the region through the establishment of an 'informal' level of governance. The Community council could operate in this manner (Lee 2020).</w:t>
      </w:r>
    </w:p>
    <w:p w14:paraId="30831D97" w14:textId="77777777" w:rsidR="00673FB8" w:rsidRDefault="00333A25">
      <w:pPr>
        <w:spacing w:line="360" w:lineRule="auto"/>
        <w:jc w:val="both"/>
        <w:rPr>
          <w:rFonts w:ascii="Times New Roman" w:eastAsia="Times New Roman" w:hAnsi="Times New Roman" w:cs="Times New Roman"/>
          <w:sz w:val="24"/>
          <w:szCs w:val="24"/>
        </w:rPr>
      </w:pPr>
      <w:bookmarkStart w:id="8" w:name="_4d34og8" w:colFirst="0" w:colLast="0"/>
      <w:bookmarkEnd w:id="8"/>
      <w:r>
        <w:rPr>
          <w:rFonts w:ascii="Times New Roman" w:eastAsia="Times New Roman" w:hAnsi="Times New Roman" w:cs="Times New Roman"/>
          <w:color w:val="2E75B5"/>
          <w:sz w:val="24"/>
          <w:szCs w:val="24"/>
        </w:rPr>
        <w:t>Identity based models:</w:t>
      </w:r>
      <w:r>
        <w:rPr>
          <w:rFonts w:ascii="Times New Roman" w:eastAsia="Times New Roman" w:hAnsi="Times New Roman" w:cs="Times New Roman"/>
          <w:sz w:val="24"/>
          <w:szCs w:val="24"/>
        </w:rPr>
        <w:t xml:space="preserve"> As a way of discovering and projec</w:t>
      </w:r>
      <w:r>
        <w:rPr>
          <w:rFonts w:ascii="Times New Roman" w:eastAsia="Times New Roman" w:hAnsi="Times New Roman" w:cs="Times New Roman"/>
          <w:sz w:val="24"/>
          <w:szCs w:val="24"/>
        </w:rPr>
        <w:t>ting a voice, these models are used. Black and ethnic minority groups and the disabled groups have created these models.</w:t>
      </w:r>
    </w:p>
    <w:p w14:paraId="3113015F" w14:textId="77777777" w:rsidR="00673FB8" w:rsidRDefault="00333A25">
      <w:pPr>
        <w:spacing w:line="360" w:lineRule="auto"/>
        <w:jc w:val="both"/>
        <w:rPr>
          <w:rFonts w:ascii="Times New Roman" w:eastAsia="Times New Roman" w:hAnsi="Times New Roman" w:cs="Times New Roman"/>
          <w:sz w:val="24"/>
          <w:szCs w:val="24"/>
        </w:rPr>
      </w:pPr>
      <w:bookmarkStart w:id="9" w:name="_2s8eyo1" w:colFirst="0" w:colLast="0"/>
      <w:bookmarkEnd w:id="9"/>
      <w:r>
        <w:rPr>
          <w:rFonts w:ascii="Times New Roman" w:eastAsia="Times New Roman" w:hAnsi="Times New Roman" w:cs="Times New Roman"/>
          <w:color w:val="2E75B5"/>
          <w:sz w:val="24"/>
          <w:szCs w:val="24"/>
        </w:rPr>
        <w:t>Learning-led and popular education models</w:t>
      </w:r>
      <w:r>
        <w:rPr>
          <w:rFonts w:ascii="Times New Roman" w:eastAsia="Times New Roman" w:hAnsi="Times New Roman" w:cs="Times New Roman"/>
          <w:sz w:val="24"/>
          <w:szCs w:val="24"/>
        </w:rPr>
        <w:t>: These models help to develop the expertise and trust of members of the community and encoura</w:t>
      </w:r>
      <w:r>
        <w:rPr>
          <w:rFonts w:ascii="Times New Roman" w:eastAsia="Times New Roman" w:hAnsi="Times New Roman" w:cs="Times New Roman"/>
          <w:sz w:val="24"/>
          <w:szCs w:val="24"/>
        </w:rPr>
        <w:t>ge them.</w:t>
      </w:r>
    </w:p>
    <w:p w14:paraId="41287958" w14:textId="77777777" w:rsidR="00673FB8" w:rsidRDefault="00333A25">
      <w:pPr>
        <w:spacing w:line="360" w:lineRule="auto"/>
        <w:jc w:val="both"/>
        <w:rPr>
          <w:rFonts w:ascii="Times New Roman" w:eastAsia="Times New Roman" w:hAnsi="Times New Roman" w:cs="Times New Roman"/>
          <w:sz w:val="24"/>
          <w:szCs w:val="24"/>
        </w:rPr>
      </w:pPr>
      <w:bookmarkStart w:id="10" w:name="_17dp8vu" w:colFirst="0" w:colLast="0"/>
      <w:bookmarkEnd w:id="10"/>
      <w:r>
        <w:rPr>
          <w:rFonts w:ascii="Times New Roman" w:eastAsia="Times New Roman" w:hAnsi="Times New Roman" w:cs="Times New Roman"/>
          <w:color w:val="2E75B5"/>
          <w:sz w:val="24"/>
          <w:szCs w:val="24"/>
        </w:rPr>
        <w:t>Service development models:</w:t>
      </w:r>
      <w:r>
        <w:rPr>
          <w:rFonts w:ascii="Times New Roman" w:eastAsia="Times New Roman" w:hAnsi="Times New Roman" w:cs="Times New Roman"/>
          <w:sz w:val="24"/>
          <w:szCs w:val="24"/>
        </w:rPr>
        <w:t xml:space="preserve"> These models help to respond specifically to deficiencies in the provision of public services or to recognise local needs.</w:t>
      </w:r>
    </w:p>
    <w:p w14:paraId="48C40B05" w14:textId="77777777" w:rsidR="00673FB8" w:rsidRDefault="00333A25">
      <w:pPr>
        <w:pStyle w:val="Heading1"/>
      </w:pPr>
      <w:bookmarkStart w:id="11" w:name="_3rdcrjn" w:colFirst="0" w:colLast="0"/>
      <w:bookmarkEnd w:id="11"/>
      <w:r>
        <w:lastRenderedPageBreak/>
        <w:t>Benefits of Group engagement</w:t>
      </w:r>
    </w:p>
    <w:p w14:paraId="23E7A7CB"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participation is often believed to be used </w:t>
      </w:r>
      <w:proofErr w:type="gramStart"/>
      <w:r>
        <w:rPr>
          <w:rFonts w:ascii="Times New Roman" w:eastAsia="Times New Roman" w:hAnsi="Times New Roman" w:cs="Times New Roman"/>
          <w:sz w:val="24"/>
          <w:szCs w:val="24"/>
        </w:rPr>
        <w:t>as a means to</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reduce the political deficit and restore "connection" between lawmakers and the electorate.</w:t>
      </w:r>
    </w:p>
    <w:p w14:paraId="091CDC95"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participation in decision making is an important aspect of good governance, and policymakers are under growing pressure to improve transparency and accountability. Data, exchange, consultation and involvement are increasingly gaining ground in publi</w:t>
      </w:r>
      <w:r>
        <w:rPr>
          <w:rFonts w:ascii="Times New Roman" w:eastAsia="Times New Roman" w:hAnsi="Times New Roman" w:cs="Times New Roman"/>
          <w:sz w:val="24"/>
          <w:szCs w:val="24"/>
        </w:rPr>
        <w:t xml:space="preserve">c society as instruments for governance – citizen engagement" (Community Economic Development) (Pell et al. 2019). From a policy standpoint, it is thought that "public services have been used by governments to solve the problems of society and meet public </w:t>
      </w:r>
      <w:r>
        <w:rPr>
          <w:rFonts w:ascii="Times New Roman" w:eastAsia="Times New Roman" w:hAnsi="Times New Roman" w:cs="Times New Roman"/>
          <w:sz w:val="24"/>
          <w:szCs w:val="24"/>
        </w:rPr>
        <w:t>needs, and that this is no longer sufficient." Moreover, policymakers are constantly faced with 'complexity, complexities and variety' in the policy strategy and administration of public resources.</w:t>
      </w:r>
    </w:p>
    <w:p w14:paraId="3346FEB2" w14:textId="77777777" w:rsidR="00673FB8" w:rsidRDefault="00333A25">
      <w:pPr>
        <w:pStyle w:val="Heading1"/>
      </w:pPr>
      <w:bookmarkStart w:id="12" w:name="_26in1rg" w:colFirst="0" w:colLast="0"/>
      <w:bookmarkEnd w:id="12"/>
      <w:r>
        <w:t>Community Engagement Policy</w:t>
      </w:r>
    </w:p>
    <w:p w14:paraId="45A5BFD7"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Community engagement programs </w:t>
      </w:r>
      <w:r>
        <w:rPr>
          <w:rFonts w:ascii="Times New Roman" w:eastAsia="Times New Roman" w:hAnsi="Times New Roman" w:cs="Times New Roman"/>
          <w:sz w:val="24"/>
          <w:szCs w:val="24"/>
        </w:rPr>
        <w:t>should follow some important doctrines (McGrath et al. 2019). These include:</w:t>
      </w:r>
    </w:p>
    <w:p w14:paraId="02BD7865"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The emphasis and intent of community participation activities should be transparent and versatile.</w:t>
      </w:r>
    </w:p>
    <w:p w14:paraId="39C073A3"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It is important to choose the right model of community engagement that will be consistent with the goals and objectives of the </w:t>
      </w:r>
      <w:proofErr w:type="gramStart"/>
      <w:r>
        <w:rPr>
          <w:rFonts w:ascii="Times New Roman" w:eastAsia="Times New Roman" w:hAnsi="Times New Roman" w:cs="Times New Roman"/>
          <w:sz w:val="24"/>
          <w:szCs w:val="24"/>
        </w:rPr>
        <w:t>program;</w:t>
      </w:r>
      <w:proofErr w:type="gramEnd"/>
    </w:p>
    <w:p w14:paraId="27210FDB"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Community engag</w:t>
      </w:r>
      <w:r>
        <w:rPr>
          <w:rFonts w:ascii="Times New Roman" w:eastAsia="Times New Roman" w:hAnsi="Times New Roman" w:cs="Times New Roman"/>
          <w:sz w:val="24"/>
          <w:szCs w:val="24"/>
        </w:rPr>
        <w:t>ement is a long process that follows many phases. It is worth starting to include the group at the level of planning rather than the level of execution.</w:t>
      </w:r>
    </w:p>
    <w:p w14:paraId="3A6A14A8" w14:textId="77777777" w:rsidR="00673FB8" w:rsidRDefault="00333A25">
      <w:pPr>
        <w:numPr>
          <w:ilvl w:val="0"/>
          <w:numId w:val="1"/>
        </w:numPr>
        <w:pBdr>
          <w:top w:val="nil"/>
          <w:left w:val="nil"/>
          <w:bottom w:val="nil"/>
          <w:right w:val="nil"/>
          <w:between w:val="nil"/>
        </w:pBdr>
        <w:spacing w:line="360" w:lineRule="auto"/>
        <w:ind w:left="142" w:hanging="142"/>
        <w:jc w:val="both"/>
        <w:rPr>
          <w:color w:val="000000"/>
          <w:sz w:val="24"/>
          <w:szCs w:val="24"/>
        </w:rPr>
      </w:pPr>
      <w:r>
        <w:rPr>
          <w:rFonts w:ascii="Times New Roman" w:eastAsia="Times New Roman" w:hAnsi="Times New Roman" w:cs="Times New Roman"/>
          <w:color w:val="000000"/>
          <w:sz w:val="24"/>
          <w:szCs w:val="24"/>
        </w:rPr>
        <w:t>It is necessary to justify the motives for choosing a particular or specific target.</w:t>
      </w:r>
    </w:p>
    <w:p w14:paraId="12A7518B"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Group and the full</w:t>
      </w:r>
      <w:r>
        <w:rPr>
          <w:rFonts w:ascii="Times New Roman" w:eastAsia="Times New Roman" w:hAnsi="Times New Roman" w:cs="Times New Roman"/>
          <w:sz w:val="24"/>
          <w:szCs w:val="24"/>
        </w:rPr>
        <w:t xml:space="preserve"> value that can be obtained with this target community.</w:t>
      </w:r>
    </w:p>
    <w:p w14:paraId="37EFF32D"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Contact with the neighbourhood should be transparent and clear. It is fair to resist jargons and abbreviations.</w:t>
      </w:r>
    </w:p>
    <w:p w14:paraId="0B50C93C"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The Community involvement initiative should include all the facilities that will all</w:t>
      </w:r>
      <w:r>
        <w:rPr>
          <w:rFonts w:ascii="Times New Roman" w:eastAsia="Times New Roman" w:hAnsi="Times New Roman" w:cs="Times New Roman"/>
          <w:sz w:val="24"/>
          <w:szCs w:val="24"/>
        </w:rPr>
        <w:t>ow the community to participate peacefully.</w:t>
      </w:r>
    </w:p>
    <w:p w14:paraId="3544CC01"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Typically, group participation takes a long time to accomplish its aims. The determination to maintain the lengthy relationship process should be explained from the outset.</w:t>
      </w:r>
    </w:p>
    <w:p w14:paraId="2B530799"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From the level of planning, assessm</w:t>
      </w:r>
      <w:r>
        <w:rPr>
          <w:rFonts w:ascii="Times New Roman" w:eastAsia="Times New Roman" w:hAnsi="Times New Roman" w:cs="Times New Roman"/>
          <w:sz w:val="24"/>
          <w:szCs w:val="24"/>
        </w:rPr>
        <w:t>ent and monitoring of group engagement activities; the curriculum should be taken into consideration.</w:t>
      </w:r>
    </w:p>
    <w:p w14:paraId="2B574C21" w14:textId="77777777" w:rsidR="00673FB8" w:rsidRDefault="00333A25">
      <w:pPr>
        <w:pStyle w:val="Heading2"/>
        <w:spacing w:line="360" w:lineRule="auto"/>
        <w:jc w:val="both"/>
        <w:rPr>
          <w:rFonts w:ascii="Times New Roman" w:eastAsia="Times New Roman" w:hAnsi="Times New Roman" w:cs="Times New Roman"/>
          <w:sz w:val="24"/>
          <w:szCs w:val="24"/>
        </w:rPr>
      </w:pPr>
      <w:bookmarkStart w:id="13" w:name="_lnxbz9" w:colFirst="0" w:colLast="0"/>
      <w:bookmarkEnd w:id="13"/>
      <w:r>
        <w:rPr>
          <w:rFonts w:ascii="Times New Roman" w:eastAsia="Times New Roman" w:hAnsi="Times New Roman" w:cs="Times New Roman"/>
          <w:sz w:val="24"/>
          <w:szCs w:val="24"/>
        </w:rPr>
        <w:t>Identify needs, issues and assets:</w:t>
      </w:r>
    </w:p>
    <w:p w14:paraId="4F1055C5"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can be achieved in collaboration with communities, as with all phases of the project. The wants, challenges and as</w:t>
      </w:r>
      <w:r>
        <w:rPr>
          <w:rFonts w:ascii="Times New Roman" w:eastAsia="Times New Roman" w:hAnsi="Times New Roman" w:cs="Times New Roman"/>
          <w:sz w:val="24"/>
          <w:szCs w:val="24"/>
        </w:rPr>
        <w:t>sets contribute to the essence and skill of the Culture and its infrastructure, rather than any policy or thematic issue. The appraisal should also reflect on the essence of the society, its groups and their demands for learning and growth, the reach and e</w:t>
      </w:r>
      <w:r>
        <w:rPr>
          <w:rFonts w:ascii="Times New Roman" w:eastAsia="Times New Roman" w:hAnsi="Times New Roman" w:cs="Times New Roman"/>
          <w:sz w:val="24"/>
          <w:szCs w:val="24"/>
        </w:rPr>
        <w:t xml:space="preserve">fficacy of community groups and organisations, and the nature and results of the engagement. It should also define the origins and quality of the community's funding (Salmon &amp; </w:t>
      </w:r>
      <w:proofErr w:type="spellStart"/>
      <w:r>
        <w:rPr>
          <w:rFonts w:ascii="Times New Roman" w:eastAsia="Times New Roman" w:hAnsi="Times New Roman" w:cs="Times New Roman"/>
          <w:sz w:val="24"/>
          <w:szCs w:val="24"/>
        </w:rPr>
        <w:t>Roop</w:t>
      </w:r>
      <w:proofErr w:type="spellEnd"/>
      <w:r>
        <w:rPr>
          <w:rFonts w:ascii="Times New Roman" w:eastAsia="Times New Roman" w:hAnsi="Times New Roman" w:cs="Times New Roman"/>
          <w:sz w:val="24"/>
          <w:szCs w:val="24"/>
        </w:rPr>
        <w:t xml:space="preserve"> 2019).</w:t>
      </w:r>
    </w:p>
    <w:p w14:paraId="40B740DB" w14:textId="77777777" w:rsidR="00673FB8" w:rsidRDefault="00333A25">
      <w:pPr>
        <w:pStyle w:val="Heading2"/>
        <w:spacing w:line="360" w:lineRule="auto"/>
        <w:jc w:val="both"/>
        <w:rPr>
          <w:rFonts w:ascii="Times New Roman" w:eastAsia="Times New Roman" w:hAnsi="Times New Roman" w:cs="Times New Roman"/>
          <w:sz w:val="24"/>
          <w:szCs w:val="24"/>
        </w:rPr>
      </w:pPr>
      <w:bookmarkStart w:id="14" w:name="_35nkun2" w:colFirst="0" w:colLast="0"/>
      <w:bookmarkEnd w:id="14"/>
      <w:r>
        <w:rPr>
          <w:rFonts w:ascii="Times New Roman" w:eastAsia="Times New Roman" w:hAnsi="Times New Roman" w:cs="Times New Roman"/>
          <w:sz w:val="24"/>
          <w:szCs w:val="24"/>
        </w:rPr>
        <w:t>Setting an agenda for growth</w:t>
      </w:r>
    </w:p>
    <w:p w14:paraId="513FE6AD"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more, with network accomplices, a </w:t>
      </w:r>
      <w:r>
        <w:rPr>
          <w:rFonts w:ascii="Times New Roman" w:eastAsia="Times New Roman" w:hAnsi="Times New Roman" w:cs="Times New Roman"/>
          <w:sz w:val="24"/>
          <w:szCs w:val="24"/>
        </w:rPr>
        <w:t>plan or vision for the connection between the community and community planning should be set. This should address issues of limit, consideration, foundation, backing and proprietorship. The plan should have concurred as a structure for the activities of th</w:t>
      </w:r>
      <w:r>
        <w:rPr>
          <w:rFonts w:ascii="Times New Roman" w:eastAsia="Times New Roman" w:hAnsi="Times New Roman" w:cs="Times New Roman"/>
          <w:sz w:val="24"/>
          <w:szCs w:val="24"/>
        </w:rPr>
        <w:t>e community planning accomplices and for the network itself.</w:t>
      </w:r>
    </w:p>
    <w:p w14:paraId="1B8161E0" w14:textId="77777777" w:rsidR="00673FB8" w:rsidRDefault="00333A25">
      <w:pPr>
        <w:pStyle w:val="Heading2"/>
        <w:spacing w:line="360" w:lineRule="auto"/>
        <w:jc w:val="both"/>
        <w:rPr>
          <w:rFonts w:ascii="Times New Roman" w:eastAsia="Times New Roman" w:hAnsi="Times New Roman" w:cs="Times New Roman"/>
          <w:sz w:val="24"/>
          <w:szCs w:val="24"/>
        </w:rPr>
      </w:pPr>
      <w:bookmarkStart w:id="15" w:name="_1ksv4uv" w:colFirst="0" w:colLast="0"/>
      <w:bookmarkEnd w:id="15"/>
      <w:r>
        <w:rPr>
          <w:rFonts w:ascii="Times New Roman" w:eastAsia="Times New Roman" w:hAnsi="Times New Roman" w:cs="Times New Roman"/>
          <w:sz w:val="24"/>
          <w:szCs w:val="24"/>
        </w:rPr>
        <w:t>Building Capacities</w:t>
      </w:r>
    </w:p>
    <w:p w14:paraId="4D949ED9"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plan set in this manner should hence frame the reason for a bunch of activities to reinforce the network and its framework. This phase of arranging ought to consider what </w:t>
      </w:r>
      <w:r>
        <w:rPr>
          <w:rFonts w:ascii="Times New Roman" w:eastAsia="Times New Roman" w:hAnsi="Times New Roman" w:cs="Times New Roman"/>
          <w:sz w:val="24"/>
          <w:szCs w:val="24"/>
        </w:rPr>
        <w:t>assets will be utilised, how the activities will be done, and what will be finished (Lee 2020).</w:t>
      </w:r>
    </w:p>
    <w:p w14:paraId="599EC7D1" w14:textId="77777777" w:rsidR="00673FB8" w:rsidRDefault="00333A25">
      <w:pPr>
        <w:pStyle w:val="Heading2"/>
        <w:spacing w:line="360" w:lineRule="auto"/>
        <w:jc w:val="both"/>
        <w:rPr>
          <w:rFonts w:ascii="Times New Roman" w:eastAsia="Times New Roman" w:hAnsi="Times New Roman" w:cs="Times New Roman"/>
          <w:sz w:val="24"/>
          <w:szCs w:val="24"/>
        </w:rPr>
      </w:pPr>
      <w:bookmarkStart w:id="16" w:name="_44sinio" w:colFirst="0" w:colLast="0"/>
      <w:bookmarkEnd w:id="16"/>
      <w:r>
        <w:rPr>
          <w:rFonts w:ascii="Times New Roman" w:eastAsia="Times New Roman" w:hAnsi="Times New Roman" w:cs="Times New Roman"/>
          <w:sz w:val="24"/>
          <w:szCs w:val="24"/>
        </w:rPr>
        <w:t xml:space="preserve">Learning exercises </w:t>
      </w:r>
    </w:p>
    <w:p w14:paraId="3B6486B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critical that network arranging associations effectively screen and assess the adequacy of their arrangements, to know whether their w</w:t>
      </w:r>
      <w:r>
        <w:rPr>
          <w:rFonts w:ascii="Times New Roman" w:eastAsia="Times New Roman" w:hAnsi="Times New Roman" w:cs="Times New Roman"/>
          <w:sz w:val="24"/>
          <w:szCs w:val="24"/>
        </w:rPr>
        <w:t>ork to reinforce networks and to draw in with them in network arranging has had a genuine effect. A hearty assessment system helps in this undertaking and can survey the effect on conditions in the network just as whether the moves that have made spot have</w:t>
      </w:r>
      <w:r>
        <w:rPr>
          <w:rFonts w:ascii="Times New Roman" w:eastAsia="Times New Roman" w:hAnsi="Times New Roman" w:cs="Times New Roman"/>
          <w:sz w:val="24"/>
          <w:szCs w:val="24"/>
        </w:rPr>
        <w:t xml:space="preserve"> prompted that sway. Various evaluating and benchmarking instruments are of an incentive here.</w:t>
      </w:r>
    </w:p>
    <w:p w14:paraId="1A915355" w14:textId="77777777" w:rsidR="00673FB8" w:rsidRDefault="00333A25">
      <w:pPr>
        <w:pStyle w:val="Heading2"/>
        <w:spacing w:line="360" w:lineRule="auto"/>
        <w:jc w:val="both"/>
        <w:rPr>
          <w:rFonts w:ascii="Times New Roman" w:eastAsia="Times New Roman" w:hAnsi="Times New Roman" w:cs="Times New Roman"/>
          <w:sz w:val="24"/>
          <w:szCs w:val="24"/>
        </w:rPr>
      </w:pPr>
      <w:bookmarkStart w:id="17" w:name="_2jxsxqh" w:colFirst="0" w:colLast="0"/>
      <w:bookmarkEnd w:id="17"/>
      <w:r>
        <w:rPr>
          <w:rFonts w:ascii="Times New Roman" w:eastAsia="Times New Roman" w:hAnsi="Times New Roman" w:cs="Times New Roman"/>
          <w:sz w:val="24"/>
          <w:szCs w:val="24"/>
        </w:rPr>
        <w:t>Support for engagement</w:t>
      </w:r>
    </w:p>
    <w:p w14:paraId="54369B7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types of network commitment rely upon admittance to some type of formative help on the off chance that they are to succeed. Neighbourhood work or </w:t>
      </w:r>
      <w:proofErr w:type="spellStart"/>
      <w:r>
        <w:rPr>
          <w:rFonts w:ascii="Times New Roman" w:eastAsia="Times New Roman" w:hAnsi="Times New Roman" w:cs="Times New Roman"/>
          <w:sz w:val="24"/>
          <w:szCs w:val="24"/>
        </w:rPr>
        <w:t>streetwork</w:t>
      </w:r>
      <w:proofErr w:type="spellEnd"/>
      <w:r>
        <w:rPr>
          <w:rFonts w:ascii="Times New Roman" w:eastAsia="Times New Roman" w:hAnsi="Times New Roman" w:cs="Times New Roman"/>
          <w:sz w:val="24"/>
          <w:szCs w:val="24"/>
        </w:rPr>
        <w:t xml:space="preserve"> is expected to recognise and draw in with people and to urge them to take an interest in netwo</w:t>
      </w:r>
      <w:r>
        <w:rPr>
          <w:rFonts w:ascii="Times New Roman" w:eastAsia="Times New Roman" w:hAnsi="Times New Roman" w:cs="Times New Roman"/>
          <w:sz w:val="24"/>
          <w:szCs w:val="24"/>
        </w:rPr>
        <w:t xml:space="preserve">rk exercises, gatherings and associations (Pell et al. 2019). Grown-up learning and network learning abilities </w:t>
      </w:r>
      <w:r>
        <w:rPr>
          <w:rFonts w:ascii="Times New Roman" w:eastAsia="Times New Roman" w:hAnsi="Times New Roman" w:cs="Times New Roman"/>
          <w:sz w:val="24"/>
          <w:szCs w:val="24"/>
        </w:rPr>
        <w:lastRenderedPageBreak/>
        <w:t>are regularly expected to help make an interpretation of dreams for change into functional plans including a few accomplices.</w:t>
      </w:r>
    </w:p>
    <w:p w14:paraId="4DF7689E" w14:textId="77777777" w:rsidR="00673FB8" w:rsidRDefault="00673FB8">
      <w:pPr>
        <w:spacing w:line="360" w:lineRule="auto"/>
        <w:jc w:val="both"/>
        <w:rPr>
          <w:rFonts w:ascii="Times New Roman" w:eastAsia="Times New Roman" w:hAnsi="Times New Roman" w:cs="Times New Roman"/>
          <w:sz w:val="24"/>
          <w:szCs w:val="24"/>
        </w:rPr>
      </w:pPr>
    </w:p>
    <w:p w14:paraId="27755250"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could be critic</w:t>
      </w:r>
      <w:r>
        <w:rPr>
          <w:rFonts w:ascii="Times New Roman" w:eastAsia="Times New Roman" w:hAnsi="Times New Roman" w:cs="Times New Roman"/>
          <w:sz w:val="24"/>
          <w:szCs w:val="24"/>
        </w:rPr>
        <w:t xml:space="preserve">al to consider what procedures community planning authorities are utilizing. Communities may have to adapt to help the advancement of networks that can connect successfully in the process of community planning. The main tasks are: </w:t>
      </w:r>
    </w:p>
    <w:p w14:paraId="5AE38387"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To investigate ways, </w:t>
      </w:r>
      <w:r>
        <w:rPr>
          <w:rFonts w:ascii="Times New Roman" w:eastAsia="Times New Roman" w:hAnsi="Times New Roman" w:cs="Times New Roman"/>
          <w:sz w:val="24"/>
          <w:szCs w:val="24"/>
        </w:rPr>
        <w:t>through community planning, that the community sector could be set on a more feasible and economical monetary balance. This could include thought of manners by which network associations may be 'enrolled' and expected to adjust to certain (arranged and con</w:t>
      </w:r>
      <w:r>
        <w:rPr>
          <w:rFonts w:ascii="Times New Roman" w:eastAsia="Times New Roman" w:hAnsi="Times New Roman" w:cs="Times New Roman"/>
          <w:sz w:val="24"/>
          <w:szCs w:val="24"/>
        </w:rPr>
        <w:t>curred) guidelines, as a trade-off for long haul subsidizing</w:t>
      </w:r>
    </w:p>
    <w:p w14:paraId="6539C249"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To suggest that community planning accomplices consider the commitment to be the community as a time taking process, which ought to remember arranged speculation for networks – especially poor</w:t>
      </w:r>
      <w:r>
        <w:rPr>
          <w:rFonts w:ascii="Times New Roman" w:eastAsia="Times New Roman" w:hAnsi="Times New Roman" w:cs="Times New Roman"/>
          <w:sz w:val="24"/>
          <w:szCs w:val="24"/>
        </w:rPr>
        <w:t>, barred and underestimated communities.</w:t>
      </w:r>
    </w:p>
    <w:p w14:paraId="73DF481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To promote the creation of national community networking opportunities involved in community planning</w:t>
      </w:r>
    </w:p>
    <w:p w14:paraId="57DE08A0"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To consider areas in which the channels of community funding and advice in the form of community planning m</w:t>
      </w:r>
      <w:r>
        <w:rPr>
          <w:rFonts w:ascii="Times New Roman" w:eastAsia="Times New Roman" w:hAnsi="Times New Roman" w:cs="Times New Roman"/>
          <w:sz w:val="24"/>
          <w:szCs w:val="24"/>
        </w:rPr>
        <w:t xml:space="preserve">ay be properly resourced, accountable to the benefiting groups, and made more consistent around the </w:t>
      </w:r>
      <w:proofErr w:type="gramStart"/>
      <w:r>
        <w:rPr>
          <w:rFonts w:ascii="Times New Roman" w:eastAsia="Times New Roman" w:hAnsi="Times New Roman" w:cs="Times New Roman"/>
          <w:sz w:val="24"/>
          <w:szCs w:val="24"/>
        </w:rPr>
        <w:t>board..</w:t>
      </w:r>
      <w:proofErr w:type="gramEnd"/>
    </w:p>
    <w:p w14:paraId="7BFDD3A3" w14:textId="77777777" w:rsidR="00673FB8" w:rsidRDefault="00333A25">
      <w:pPr>
        <w:pStyle w:val="Heading1"/>
      </w:pPr>
      <w:bookmarkStart w:id="18" w:name="_z337ya" w:colFirst="0" w:colLast="0"/>
      <w:bookmarkEnd w:id="18"/>
      <w:r>
        <w:t>Reflection Practice in Community Engagement</w:t>
      </w:r>
    </w:p>
    <w:p w14:paraId="53AD1B89"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significance of reflective practice in community engagement programs at the college level by interfa</w:t>
      </w:r>
      <w:r>
        <w:rPr>
          <w:rFonts w:ascii="Times New Roman" w:eastAsia="Times New Roman" w:hAnsi="Times New Roman" w:cs="Times New Roman"/>
          <w:sz w:val="24"/>
          <w:szCs w:val="24"/>
        </w:rPr>
        <w:t>cing reflective practice in school to the supportiveness and advantages of appearance in the current existences of service learning. For a company, addressing the community is the main way to create a greater business and attract new clients. Maintaining t</w:t>
      </w:r>
      <w:r>
        <w:rPr>
          <w:rFonts w:ascii="Times New Roman" w:eastAsia="Times New Roman" w:hAnsi="Times New Roman" w:cs="Times New Roman"/>
          <w:sz w:val="24"/>
          <w:szCs w:val="24"/>
        </w:rPr>
        <w:t>heir interest, as well as being appealing to prospective new clients, is the aim of most social media campaigns. Reflection is the mainstay of service-learning systems (Thomas-</w:t>
      </w:r>
      <w:proofErr w:type="spellStart"/>
      <w:r>
        <w:rPr>
          <w:rFonts w:ascii="Times New Roman" w:eastAsia="Times New Roman" w:hAnsi="Times New Roman" w:cs="Times New Roman"/>
          <w:sz w:val="24"/>
          <w:szCs w:val="24"/>
        </w:rPr>
        <w:t>Huges</w:t>
      </w:r>
      <w:proofErr w:type="spellEnd"/>
      <w:r>
        <w:rPr>
          <w:rFonts w:ascii="Times New Roman" w:eastAsia="Times New Roman" w:hAnsi="Times New Roman" w:cs="Times New Roman"/>
          <w:sz w:val="24"/>
          <w:szCs w:val="24"/>
        </w:rPr>
        <w:t xml:space="preserve"> 2018). If the reflective practise is to be applied to clinical practice an</w:t>
      </w:r>
      <w:r>
        <w:rPr>
          <w:rFonts w:ascii="Times New Roman" w:eastAsia="Times New Roman" w:hAnsi="Times New Roman" w:cs="Times New Roman"/>
          <w:sz w:val="24"/>
          <w:szCs w:val="24"/>
        </w:rPr>
        <w:t xml:space="preserve">d to life after graduation, over the service-learning era, carefully designed and gradual experience should be included in the reflection on the technical, personal and civic aspects. It is the nature of group service. If the key goal is to get. </w:t>
      </w:r>
      <w:proofErr w:type="gramStart"/>
      <w:r>
        <w:rPr>
          <w:rFonts w:ascii="Times New Roman" w:eastAsia="Times New Roman" w:hAnsi="Times New Roman" w:cs="Times New Roman"/>
          <w:sz w:val="24"/>
          <w:szCs w:val="24"/>
        </w:rPr>
        <w:t>It's</w:t>
      </w:r>
      <w:proofErr w:type="gramEnd"/>
      <w:r>
        <w:rPr>
          <w:rFonts w:ascii="Times New Roman" w:eastAsia="Times New Roman" w:hAnsi="Times New Roman" w:cs="Times New Roman"/>
          <w:sz w:val="24"/>
          <w:szCs w:val="24"/>
        </w:rPr>
        <w:t xml:space="preserve"> about</w:t>
      </w:r>
      <w:r>
        <w:rPr>
          <w:rFonts w:ascii="Times New Roman" w:eastAsia="Times New Roman" w:hAnsi="Times New Roman" w:cs="Times New Roman"/>
          <w:sz w:val="24"/>
          <w:szCs w:val="24"/>
        </w:rPr>
        <w:t xml:space="preserve"> college students interacting with the culture. Collaborating in the development of a more just society, reflection is required. Require critical thinking about the short-and long-term consequences of service. Alumni of these initiatives showed the importa</w:t>
      </w:r>
      <w:r>
        <w:rPr>
          <w:rFonts w:ascii="Times New Roman" w:eastAsia="Times New Roman" w:hAnsi="Times New Roman" w:cs="Times New Roman"/>
          <w:sz w:val="24"/>
          <w:szCs w:val="24"/>
        </w:rPr>
        <w:t xml:space="preserve">nce of meditation of </w:t>
      </w:r>
      <w:r>
        <w:rPr>
          <w:rFonts w:ascii="Times New Roman" w:eastAsia="Times New Roman" w:hAnsi="Times New Roman" w:cs="Times New Roman"/>
          <w:sz w:val="24"/>
          <w:szCs w:val="24"/>
        </w:rPr>
        <w:lastRenderedPageBreak/>
        <w:t>recognizing the "big picture" in order to continue their dedication. They have defined contemplation as an important method for recognizing their position and effect. Choices for customers, voting, financial donations and civic activit</w:t>
      </w:r>
      <w:r>
        <w:rPr>
          <w:rFonts w:ascii="Times New Roman" w:eastAsia="Times New Roman" w:hAnsi="Times New Roman" w:cs="Times New Roman"/>
          <w:sz w:val="24"/>
          <w:szCs w:val="24"/>
        </w:rPr>
        <w:t xml:space="preserve">y all have immediate and potential implications. Encouraging a reflective practice that addresses both short-term and long-term issues is vital for instilling a democratic identity that considers both self and community (Salmon &amp; </w:t>
      </w:r>
      <w:proofErr w:type="spellStart"/>
      <w:r>
        <w:rPr>
          <w:rFonts w:ascii="Times New Roman" w:eastAsia="Times New Roman" w:hAnsi="Times New Roman" w:cs="Times New Roman"/>
          <w:sz w:val="24"/>
          <w:szCs w:val="24"/>
        </w:rPr>
        <w:t>Roop</w:t>
      </w:r>
      <w:proofErr w:type="spellEnd"/>
      <w:r>
        <w:rPr>
          <w:rFonts w:ascii="Times New Roman" w:eastAsia="Times New Roman" w:hAnsi="Times New Roman" w:cs="Times New Roman"/>
          <w:sz w:val="24"/>
          <w:szCs w:val="24"/>
        </w:rPr>
        <w:t xml:space="preserve"> 2019).</w:t>
      </w:r>
    </w:p>
    <w:p w14:paraId="33063268"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user of s</w:t>
      </w:r>
      <w:r>
        <w:rPr>
          <w:rFonts w:ascii="Times New Roman" w:eastAsia="Times New Roman" w:hAnsi="Times New Roman" w:cs="Times New Roman"/>
          <w:sz w:val="24"/>
          <w:szCs w:val="24"/>
        </w:rPr>
        <w:t>ocial media, I have been an active participant of the following different community engagement models; Consultation/public participation model, service development model and learning-led &amp; popular education model. The Community engagement social media stra</w:t>
      </w:r>
      <w:r>
        <w:rPr>
          <w:rFonts w:ascii="Times New Roman" w:eastAsia="Times New Roman" w:hAnsi="Times New Roman" w:cs="Times New Roman"/>
          <w:sz w:val="24"/>
          <w:szCs w:val="24"/>
        </w:rPr>
        <w:t xml:space="preserve">tegy is the recent model that has been very effective in </w:t>
      </w:r>
      <w:proofErr w:type="gramStart"/>
      <w:r>
        <w:rPr>
          <w:rFonts w:ascii="Times New Roman" w:eastAsia="Times New Roman" w:hAnsi="Times New Roman" w:cs="Times New Roman"/>
          <w:sz w:val="24"/>
          <w:szCs w:val="24"/>
        </w:rPr>
        <w:t>identity based</w:t>
      </w:r>
      <w:proofErr w:type="gramEnd"/>
      <w:r>
        <w:rPr>
          <w:rFonts w:ascii="Times New Roman" w:eastAsia="Times New Roman" w:hAnsi="Times New Roman" w:cs="Times New Roman"/>
          <w:sz w:val="24"/>
          <w:szCs w:val="24"/>
        </w:rPr>
        <w:t xml:space="preserve"> model as well as in learning led education model, service development model and consultation/public participation. With the passage of time, I have been using the following seven innov</w:t>
      </w:r>
      <w:r>
        <w:rPr>
          <w:rFonts w:ascii="Times New Roman" w:eastAsia="Times New Roman" w:hAnsi="Times New Roman" w:cs="Times New Roman"/>
          <w:sz w:val="24"/>
          <w:szCs w:val="24"/>
        </w:rPr>
        <w:t>ative approaches to boost social media community engagement.</w:t>
      </w:r>
    </w:p>
    <w:p w14:paraId="0FC89F3E"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Use your images-tell a story.</w:t>
      </w:r>
    </w:p>
    <w:p w14:paraId="1E91D0BD"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Share the success stories of the clients.</w:t>
      </w:r>
    </w:p>
    <w:p w14:paraId="5B019383"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Using your like and sharing functionality to answer your question.</w:t>
      </w:r>
    </w:p>
    <w:p w14:paraId="6684F2E9"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Go for the passions, make them happy, and make them laug</w:t>
      </w:r>
      <w:r>
        <w:rPr>
          <w:rFonts w:ascii="Times New Roman" w:eastAsia="Times New Roman" w:hAnsi="Times New Roman" w:cs="Times New Roman"/>
          <w:color w:val="000000"/>
          <w:sz w:val="24"/>
          <w:szCs w:val="24"/>
        </w:rPr>
        <w:t>h.</w:t>
      </w:r>
    </w:p>
    <w:p w14:paraId="1567CB2F"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Present both sides of your business.</w:t>
      </w:r>
    </w:p>
    <w:p w14:paraId="49EA8B30" w14:textId="77777777" w:rsidR="00673FB8" w:rsidRDefault="00333A25">
      <w:pPr>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Ask the crowd for support.</w:t>
      </w:r>
    </w:p>
    <w:p w14:paraId="45EA845B" w14:textId="77777777" w:rsidR="00673FB8" w:rsidRDefault="00333A25">
      <w:pPr>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Take out a quiz or hold a draw.</w:t>
      </w:r>
    </w:p>
    <w:p w14:paraId="50E481AE" w14:textId="77777777" w:rsidR="00673FB8" w:rsidRDefault="00333A25">
      <w:pPr>
        <w:pStyle w:val="Heading1"/>
      </w:pPr>
      <w:bookmarkStart w:id="19" w:name="_3j2qqm3" w:colFirst="0" w:colLast="0"/>
      <w:bookmarkEnd w:id="19"/>
      <w:r>
        <w:t>Conclusion:</w:t>
      </w:r>
    </w:p>
    <w:p w14:paraId="694FDC41"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purposes behind networks connected with wellbeing advancement and examination. Network commitment must be directed in a way that is conscious of all accomplices and aware of the need for profit by joint effort. It is imperative to get s</w:t>
      </w:r>
      <w:r>
        <w:rPr>
          <w:rFonts w:ascii="Times New Roman" w:eastAsia="Times New Roman" w:hAnsi="Times New Roman" w:cs="Times New Roman"/>
          <w:sz w:val="24"/>
          <w:szCs w:val="24"/>
        </w:rPr>
        <w:t>etting (in the entirety of its multifaceted nature) as it influences medical issues and the advancement of wellbeing arrangements. One should perceive that a network connected with wellbeing improvement is a long haul, developing cycle.</w:t>
      </w:r>
    </w:p>
    <w:p w14:paraId="37C1A6F8" w14:textId="77777777" w:rsidR="00673FB8" w:rsidRDefault="00673FB8">
      <w:pPr>
        <w:spacing w:line="360" w:lineRule="auto"/>
        <w:jc w:val="both"/>
        <w:rPr>
          <w:rFonts w:ascii="Times New Roman" w:eastAsia="Times New Roman" w:hAnsi="Times New Roman" w:cs="Times New Roman"/>
          <w:sz w:val="24"/>
          <w:szCs w:val="24"/>
        </w:rPr>
      </w:pPr>
    </w:p>
    <w:p w14:paraId="1B2F4D84" w14:textId="77777777" w:rsidR="00673FB8" w:rsidRDefault="00673FB8">
      <w:pPr>
        <w:spacing w:line="360" w:lineRule="auto"/>
        <w:jc w:val="both"/>
        <w:rPr>
          <w:rFonts w:ascii="Times New Roman" w:eastAsia="Times New Roman" w:hAnsi="Times New Roman" w:cs="Times New Roman"/>
          <w:sz w:val="24"/>
          <w:szCs w:val="24"/>
        </w:rPr>
      </w:pPr>
    </w:p>
    <w:p w14:paraId="00BD7721" w14:textId="77777777" w:rsidR="00673FB8" w:rsidRDefault="00673FB8">
      <w:pPr>
        <w:spacing w:line="360" w:lineRule="auto"/>
        <w:jc w:val="both"/>
        <w:rPr>
          <w:rFonts w:ascii="Times New Roman" w:eastAsia="Times New Roman" w:hAnsi="Times New Roman" w:cs="Times New Roman"/>
          <w:sz w:val="24"/>
          <w:szCs w:val="24"/>
        </w:rPr>
      </w:pPr>
    </w:p>
    <w:p w14:paraId="7F8FECF9" w14:textId="77777777" w:rsidR="00673FB8" w:rsidRDefault="00673FB8">
      <w:pPr>
        <w:spacing w:line="360" w:lineRule="auto"/>
        <w:jc w:val="both"/>
        <w:rPr>
          <w:rFonts w:ascii="Times New Roman" w:eastAsia="Times New Roman" w:hAnsi="Times New Roman" w:cs="Times New Roman"/>
          <w:sz w:val="24"/>
          <w:szCs w:val="24"/>
        </w:rPr>
      </w:pPr>
    </w:p>
    <w:p w14:paraId="4F83114E" w14:textId="77777777" w:rsidR="00673FB8" w:rsidRDefault="00673FB8">
      <w:pPr>
        <w:spacing w:line="360" w:lineRule="auto"/>
        <w:jc w:val="both"/>
        <w:rPr>
          <w:rFonts w:ascii="Times New Roman" w:eastAsia="Times New Roman" w:hAnsi="Times New Roman" w:cs="Times New Roman"/>
          <w:sz w:val="24"/>
          <w:szCs w:val="24"/>
        </w:rPr>
      </w:pPr>
    </w:p>
    <w:p w14:paraId="723BC4A9" w14:textId="77777777" w:rsidR="00673FB8" w:rsidRDefault="00673FB8">
      <w:pPr>
        <w:spacing w:line="360" w:lineRule="auto"/>
        <w:jc w:val="both"/>
        <w:rPr>
          <w:rFonts w:ascii="Times New Roman" w:eastAsia="Times New Roman" w:hAnsi="Times New Roman" w:cs="Times New Roman"/>
          <w:sz w:val="24"/>
          <w:szCs w:val="24"/>
        </w:rPr>
      </w:pPr>
    </w:p>
    <w:p w14:paraId="79F473BD" w14:textId="77777777" w:rsidR="00673FB8" w:rsidRDefault="00673FB8">
      <w:pPr>
        <w:spacing w:line="360" w:lineRule="auto"/>
        <w:jc w:val="both"/>
        <w:rPr>
          <w:rFonts w:ascii="Times New Roman" w:eastAsia="Times New Roman" w:hAnsi="Times New Roman" w:cs="Times New Roman"/>
          <w:sz w:val="24"/>
          <w:szCs w:val="24"/>
        </w:rPr>
      </w:pPr>
    </w:p>
    <w:p w14:paraId="32090CAD" w14:textId="77777777" w:rsidR="00673FB8" w:rsidRDefault="00673FB8">
      <w:pPr>
        <w:spacing w:line="360" w:lineRule="auto"/>
        <w:jc w:val="both"/>
        <w:rPr>
          <w:rFonts w:ascii="Times New Roman" w:eastAsia="Times New Roman" w:hAnsi="Times New Roman" w:cs="Times New Roman"/>
          <w:sz w:val="24"/>
          <w:szCs w:val="24"/>
        </w:rPr>
      </w:pPr>
    </w:p>
    <w:p w14:paraId="20381BCC" w14:textId="77777777" w:rsidR="00673FB8" w:rsidRDefault="00673FB8">
      <w:pPr>
        <w:spacing w:line="360" w:lineRule="auto"/>
        <w:jc w:val="both"/>
        <w:rPr>
          <w:rFonts w:ascii="Times New Roman" w:eastAsia="Times New Roman" w:hAnsi="Times New Roman" w:cs="Times New Roman"/>
          <w:sz w:val="24"/>
          <w:szCs w:val="24"/>
        </w:rPr>
      </w:pPr>
    </w:p>
    <w:p w14:paraId="238F1782" w14:textId="77777777" w:rsidR="00673FB8" w:rsidRDefault="00673FB8">
      <w:pPr>
        <w:spacing w:line="360" w:lineRule="auto"/>
        <w:jc w:val="both"/>
        <w:rPr>
          <w:rFonts w:ascii="Times New Roman" w:eastAsia="Times New Roman" w:hAnsi="Times New Roman" w:cs="Times New Roman"/>
          <w:sz w:val="24"/>
          <w:szCs w:val="24"/>
        </w:rPr>
      </w:pPr>
    </w:p>
    <w:p w14:paraId="4385AB1F" w14:textId="77777777" w:rsidR="00673FB8" w:rsidRDefault="00673FB8">
      <w:pPr>
        <w:spacing w:line="360" w:lineRule="auto"/>
        <w:jc w:val="both"/>
        <w:rPr>
          <w:rFonts w:ascii="Times New Roman" w:eastAsia="Times New Roman" w:hAnsi="Times New Roman" w:cs="Times New Roman"/>
          <w:sz w:val="24"/>
          <w:szCs w:val="24"/>
        </w:rPr>
      </w:pPr>
    </w:p>
    <w:p w14:paraId="7A029661" w14:textId="77777777" w:rsidR="00673FB8" w:rsidRDefault="00673FB8">
      <w:pPr>
        <w:spacing w:line="360" w:lineRule="auto"/>
        <w:jc w:val="both"/>
        <w:rPr>
          <w:rFonts w:ascii="Times New Roman" w:eastAsia="Times New Roman" w:hAnsi="Times New Roman" w:cs="Times New Roman"/>
          <w:sz w:val="24"/>
          <w:szCs w:val="24"/>
        </w:rPr>
      </w:pPr>
    </w:p>
    <w:p w14:paraId="50500A70" w14:textId="77777777" w:rsidR="00673FB8" w:rsidRDefault="00673FB8">
      <w:pPr>
        <w:spacing w:line="360" w:lineRule="auto"/>
        <w:jc w:val="both"/>
        <w:rPr>
          <w:rFonts w:ascii="Times New Roman" w:eastAsia="Times New Roman" w:hAnsi="Times New Roman" w:cs="Times New Roman"/>
          <w:sz w:val="24"/>
          <w:szCs w:val="24"/>
        </w:rPr>
      </w:pPr>
    </w:p>
    <w:p w14:paraId="29AD46A0" w14:textId="77777777" w:rsidR="00673FB8" w:rsidRDefault="00673FB8">
      <w:pPr>
        <w:spacing w:line="360" w:lineRule="auto"/>
        <w:jc w:val="both"/>
        <w:rPr>
          <w:rFonts w:ascii="Times New Roman" w:eastAsia="Times New Roman" w:hAnsi="Times New Roman" w:cs="Times New Roman"/>
          <w:sz w:val="24"/>
          <w:szCs w:val="24"/>
        </w:rPr>
      </w:pPr>
    </w:p>
    <w:p w14:paraId="777B3D17" w14:textId="77777777" w:rsidR="00673FB8" w:rsidRDefault="00673FB8">
      <w:pPr>
        <w:spacing w:line="360" w:lineRule="auto"/>
        <w:jc w:val="both"/>
        <w:rPr>
          <w:rFonts w:ascii="Times New Roman" w:eastAsia="Times New Roman" w:hAnsi="Times New Roman" w:cs="Times New Roman"/>
          <w:sz w:val="24"/>
          <w:szCs w:val="24"/>
        </w:rPr>
      </w:pPr>
    </w:p>
    <w:p w14:paraId="4DE39ACF" w14:textId="77777777" w:rsidR="00673FB8" w:rsidRDefault="00673FB8">
      <w:pPr>
        <w:spacing w:line="360" w:lineRule="auto"/>
        <w:jc w:val="both"/>
        <w:rPr>
          <w:rFonts w:ascii="Times New Roman" w:eastAsia="Times New Roman" w:hAnsi="Times New Roman" w:cs="Times New Roman"/>
          <w:sz w:val="24"/>
          <w:szCs w:val="24"/>
        </w:rPr>
      </w:pPr>
    </w:p>
    <w:p w14:paraId="2FB6CFFE" w14:textId="77777777" w:rsidR="00673FB8" w:rsidRDefault="00673FB8">
      <w:pPr>
        <w:spacing w:line="360" w:lineRule="auto"/>
        <w:jc w:val="both"/>
        <w:rPr>
          <w:rFonts w:ascii="Times New Roman" w:eastAsia="Times New Roman" w:hAnsi="Times New Roman" w:cs="Times New Roman"/>
          <w:sz w:val="24"/>
          <w:szCs w:val="24"/>
        </w:rPr>
      </w:pPr>
    </w:p>
    <w:p w14:paraId="1356001E" w14:textId="77777777" w:rsidR="00673FB8" w:rsidRDefault="00673FB8">
      <w:pPr>
        <w:spacing w:line="360" w:lineRule="auto"/>
        <w:jc w:val="both"/>
        <w:rPr>
          <w:rFonts w:ascii="Times New Roman" w:eastAsia="Times New Roman" w:hAnsi="Times New Roman" w:cs="Times New Roman"/>
          <w:sz w:val="24"/>
          <w:szCs w:val="24"/>
        </w:rPr>
      </w:pPr>
    </w:p>
    <w:p w14:paraId="654F4541" w14:textId="77777777" w:rsidR="00673FB8" w:rsidRDefault="00673FB8">
      <w:pPr>
        <w:spacing w:line="360" w:lineRule="auto"/>
        <w:jc w:val="both"/>
        <w:rPr>
          <w:rFonts w:ascii="Times New Roman" w:eastAsia="Times New Roman" w:hAnsi="Times New Roman" w:cs="Times New Roman"/>
          <w:sz w:val="24"/>
          <w:szCs w:val="24"/>
        </w:rPr>
      </w:pPr>
    </w:p>
    <w:p w14:paraId="2D20BDF5" w14:textId="77777777" w:rsidR="00673FB8" w:rsidRDefault="00673FB8">
      <w:pPr>
        <w:spacing w:line="360" w:lineRule="auto"/>
        <w:jc w:val="both"/>
        <w:rPr>
          <w:rFonts w:ascii="Times New Roman" w:eastAsia="Times New Roman" w:hAnsi="Times New Roman" w:cs="Times New Roman"/>
          <w:sz w:val="24"/>
          <w:szCs w:val="24"/>
        </w:rPr>
      </w:pPr>
    </w:p>
    <w:p w14:paraId="5C2436B2" w14:textId="77777777" w:rsidR="00673FB8" w:rsidRDefault="00673FB8">
      <w:pPr>
        <w:spacing w:line="360" w:lineRule="auto"/>
        <w:jc w:val="both"/>
        <w:rPr>
          <w:rFonts w:ascii="Times New Roman" w:eastAsia="Times New Roman" w:hAnsi="Times New Roman" w:cs="Times New Roman"/>
          <w:sz w:val="24"/>
          <w:szCs w:val="24"/>
        </w:rPr>
      </w:pPr>
    </w:p>
    <w:p w14:paraId="74532A92" w14:textId="77777777" w:rsidR="00673FB8" w:rsidRDefault="00333A25">
      <w:pPr>
        <w:spacing w:line="360" w:lineRule="auto"/>
        <w:jc w:val="both"/>
        <w:rPr>
          <w:rFonts w:ascii="Times New Roman" w:eastAsia="Times New Roman" w:hAnsi="Times New Roman" w:cs="Times New Roman"/>
          <w:sz w:val="24"/>
          <w:szCs w:val="24"/>
        </w:rPr>
      </w:pPr>
      <w:bookmarkStart w:id="20" w:name="_1y810tw" w:colFirst="0" w:colLast="0"/>
      <w:bookmarkEnd w:id="20"/>
      <w:r>
        <w:rPr>
          <w:color w:val="2E75B5"/>
          <w:sz w:val="32"/>
          <w:szCs w:val="32"/>
        </w:rPr>
        <w:t>References</w:t>
      </w:r>
      <w:r>
        <w:rPr>
          <w:rFonts w:ascii="Times New Roman" w:eastAsia="Times New Roman" w:hAnsi="Times New Roman" w:cs="Times New Roman"/>
          <w:sz w:val="24"/>
          <w:szCs w:val="24"/>
        </w:rPr>
        <w:t>:</w:t>
      </w:r>
    </w:p>
    <w:p w14:paraId="35951010" w14:textId="77777777" w:rsidR="00673FB8" w:rsidRDefault="00333A2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World Health Organization, 2020. </w:t>
      </w:r>
      <w:r>
        <w:rPr>
          <w:rFonts w:ascii="Times New Roman" w:eastAsia="Times New Roman" w:hAnsi="Times New Roman" w:cs="Times New Roman"/>
          <w:i/>
          <w:color w:val="222222"/>
          <w:sz w:val="24"/>
          <w:szCs w:val="24"/>
          <w:highlight w:val="white"/>
        </w:rPr>
        <w:t>Risk communication and community engagement readiness and response to coronavirus disease (COVID-19): interim guidance, 19 March 2020</w:t>
      </w:r>
      <w:r>
        <w:rPr>
          <w:rFonts w:ascii="Times New Roman" w:eastAsia="Times New Roman" w:hAnsi="Times New Roman" w:cs="Times New Roman"/>
          <w:color w:val="222222"/>
          <w:sz w:val="24"/>
          <w:szCs w:val="24"/>
          <w:highlight w:val="white"/>
        </w:rPr>
        <w:t> (No. WHO/2019-nCoV/RCCE/2020.2). World Health Organization.</w:t>
      </w:r>
    </w:p>
    <w:p w14:paraId="3295F461" w14:textId="77777777" w:rsidR="00673FB8" w:rsidRDefault="00333A25">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 Napoli, I., </w:t>
      </w:r>
      <w:r>
        <w:rPr>
          <w:rFonts w:ascii="Times New Roman" w:eastAsia="Times New Roman" w:hAnsi="Times New Roman" w:cs="Times New Roman"/>
          <w:color w:val="222222"/>
          <w:sz w:val="24"/>
          <w:szCs w:val="24"/>
          <w:highlight w:val="white"/>
        </w:rPr>
        <w:t>Dolce, P. and Arcidiacono, C., 2019. Community trust: A social indicator related to community Engagement. </w:t>
      </w:r>
      <w:r>
        <w:rPr>
          <w:rFonts w:ascii="Times New Roman" w:eastAsia="Times New Roman" w:hAnsi="Times New Roman" w:cs="Times New Roman"/>
          <w:i/>
          <w:color w:val="222222"/>
          <w:sz w:val="24"/>
          <w:szCs w:val="24"/>
          <w:highlight w:val="white"/>
        </w:rPr>
        <w:t>Social Indicators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145</w:t>
      </w:r>
      <w:r>
        <w:rPr>
          <w:rFonts w:ascii="Times New Roman" w:eastAsia="Times New Roman" w:hAnsi="Times New Roman" w:cs="Times New Roman"/>
          <w:color w:val="222222"/>
          <w:sz w:val="24"/>
          <w:szCs w:val="24"/>
          <w:highlight w:val="white"/>
        </w:rPr>
        <w:t>(2), pp.551-579.</w:t>
      </w:r>
    </w:p>
    <w:p w14:paraId="3DCCFA6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McMullen, J.M., George, M., Ingman, B.C., Pulling Kuhn, A., Graham, D.J. and Carson, R.L., 2020. A sys</w:t>
      </w:r>
      <w:r>
        <w:rPr>
          <w:rFonts w:ascii="Times New Roman" w:eastAsia="Times New Roman" w:hAnsi="Times New Roman" w:cs="Times New Roman"/>
          <w:sz w:val="24"/>
          <w:szCs w:val="24"/>
        </w:rPr>
        <w:t>tematic review of community engagement outcomes research in school</w:t>
      </w:r>
      <w:r>
        <w:rPr>
          <w:rFonts w:ascii="Cambria Math" w:eastAsia="Cambria Math" w:hAnsi="Cambria Math" w:cs="Cambria Math"/>
          <w:sz w:val="24"/>
          <w:szCs w:val="24"/>
        </w:rPr>
        <w:t>‐</w:t>
      </w:r>
      <w:r>
        <w:rPr>
          <w:rFonts w:ascii="Times New Roman" w:eastAsia="Times New Roman" w:hAnsi="Times New Roman" w:cs="Times New Roman"/>
          <w:sz w:val="24"/>
          <w:szCs w:val="24"/>
        </w:rPr>
        <w:t>based health interventions. Journal of School Health, 90(12), pp.985-994.</w:t>
      </w:r>
    </w:p>
    <w:p w14:paraId="7BAF91C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C.W., 2020. Who Is Community Engagement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The Endless Loop of Democratic Transparency. American </w:t>
      </w:r>
      <w:proofErr w:type="spellStart"/>
      <w:r>
        <w:rPr>
          <w:rFonts w:ascii="Times New Roman" w:eastAsia="Times New Roman" w:hAnsi="Times New Roman" w:cs="Times New Roman"/>
          <w:sz w:val="24"/>
          <w:szCs w:val="24"/>
        </w:rPr>
        <w:t>Behavioral</w:t>
      </w:r>
      <w:proofErr w:type="spellEnd"/>
      <w:r>
        <w:rPr>
          <w:rFonts w:ascii="Times New Roman" w:eastAsia="Times New Roman" w:hAnsi="Times New Roman" w:cs="Times New Roman"/>
          <w:sz w:val="24"/>
          <w:szCs w:val="24"/>
        </w:rPr>
        <w:t xml:space="preserve"> Scientist, 64(11), pp.1565-1587.</w:t>
      </w:r>
    </w:p>
    <w:p w14:paraId="1978F80F"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Pell, C.L., Adhikari, B., </w:t>
      </w:r>
      <w:proofErr w:type="spellStart"/>
      <w:r>
        <w:rPr>
          <w:rFonts w:ascii="Times New Roman" w:eastAsia="Times New Roman" w:hAnsi="Times New Roman" w:cs="Times New Roman"/>
          <w:sz w:val="24"/>
          <w:szCs w:val="24"/>
        </w:rPr>
        <w:t>Myo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Thwin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Kajeechiwa</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Nosten</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Nosten</w:t>
      </w:r>
      <w:proofErr w:type="spellEnd"/>
      <w:r>
        <w:rPr>
          <w:rFonts w:ascii="Times New Roman" w:eastAsia="Times New Roman" w:hAnsi="Times New Roman" w:cs="Times New Roman"/>
          <w:sz w:val="24"/>
          <w:szCs w:val="24"/>
        </w:rPr>
        <w:t xml:space="preserve">, F.H., </w:t>
      </w:r>
      <w:proofErr w:type="spellStart"/>
      <w:r>
        <w:rPr>
          <w:rFonts w:ascii="Times New Roman" w:eastAsia="Times New Roman" w:hAnsi="Times New Roman" w:cs="Times New Roman"/>
          <w:sz w:val="24"/>
          <w:szCs w:val="24"/>
        </w:rPr>
        <w:t>Sahan</w:t>
      </w:r>
      <w:proofErr w:type="spellEnd"/>
      <w:r>
        <w:rPr>
          <w:rFonts w:ascii="Times New Roman" w:eastAsia="Times New Roman" w:hAnsi="Times New Roman" w:cs="Times New Roman"/>
          <w:sz w:val="24"/>
          <w:szCs w:val="24"/>
        </w:rPr>
        <w:t xml:space="preserve">, K.M., </w:t>
      </w:r>
      <w:proofErr w:type="spellStart"/>
      <w:r>
        <w:rPr>
          <w:rFonts w:ascii="Times New Roman" w:eastAsia="Times New Roman" w:hAnsi="Times New Roman" w:cs="Times New Roman"/>
          <w:sz w:val="24"/>
          <w:szCs w:val="24"/>
        </w:rPr>
        <w:t>Smithuis</w:t>
      </w:r>
      <w:proofErr w:type="spellEnd"/>
      <w:r>
        <w:rPr>
          <w:rFonts w:ascii="Times New Roman" w:eastAsia="Times New Roman" w:hAnsi="Times New Roman" w:cs="Times New Roman"/>
          <w:sz w:val="24"/>
          <w:szCs w:val="24"/>
        </w:rPr>
        <w:t>, F.M., Nguyen, T.N., Hien, T.T. and Tripura, R., 2019. Community engagement, social context and coverage of mass anti</w:t>
      </w:r>
      <w:r>
        <w:rPr>
          <w:rFonts w:ascii="Times New Roman" w:eastAsia="Times New Roman" w:hAnsi="Times New Roman" w:cs="Times New Roman"/>
          <w:sz w:val="24"/>
          <w:szCs w:val="24"/>
        </w:rPr>
        <w:t xml:space="preserve">-malarial administration: Comparative findings from multi-site research in the Greater Mekong sub-Region. </w:t>
      </w:r>
      <w:proofErr w:type="spellStart"/>
      <w:r>
        <w:rPr>
          <w:rFonts w:ascii="Times New Roman" w:eastAsia="Times New Roman" w:hAnsi="Times New Roman" w:cs="Times New Roman"/>
          <w:sz w:val="24"/>
          <w:szCs w:val="24"/>
        </w:rPr>
        <w:t>PLoS</w:t>
      </w:r>
      <w:proofErr w:type="spellEnd"/>
      <w:r>
        <w:rPr>
          <w:rFonts w:ascii="Times New Roman" w:eastAsia="Times New Roman" w:hAnsi="Times New Roman" w:cs="Times New Roman"/>
          <w:sz w:val="24"/>
          <w:szCs w:val="24"/>
        </w:rPr>
        <w:t xml:space="preserve"> One, 14(3), p.e0214280.</w:t>
      </w:r>
    </w:p>
    <w:p w14:paraId="50D10CB9"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McGrath, M., Reynolds, J., </w:t>
      </w:r>
      <w:proofErr w:type="spellStart"/>
      <w:r>
        <w:rPr>
          <w:rFonts w:ascii="Times New Roman" w:eastAsia="Times New Roman" w:hAnsi="Times New Roman" w:cs="Times New Roman"/>
          <w:sz w:val="24"/>
          <w:szCs w:val="24"/>
        </w:rPr>
        <w:t>Smolar</w:t>
      </w:r>
      <w:proofErr w:type="spellEnd"/>
      <w:r>
        <w:rPr>
          <w:rFonts w:ascii="Times New Roman" w:eastAsia="Times New Roman" w:hAnsi="Times New Roman" w:cs="Times New Roman"/>
          <w:sz w:val="24"/>
          <w:szCs w:val="24"/>
        </w:rPr>
        <w:t xml:space="preserve">, M., Hare, S., Ogden, M., </w:t>
      </w:r>
      <w:proofErr w:type="spellStart"/>
      <w:r>
        <w:rPr>
          <w:rFonts w:ascii="Times New Roman" w:eastAsia="Times New Roman" w:hAnsi="Times New Roman" w:cs="Times New Roman"/>
          <w:sz w:val="24"/>
          <w:szCs w:val="24"/>
        </w:rPr>
        <w:t>Popay</w:t>
      </w:r>
      <w:proofErr w:type="spellEnd"/>
      <w:r>
        <w:rPr>
          <w:rFonts w:ascii="Times New Roman" w:eastAsia="Times New Roman" w:hAnsi="Times New Roman" w:cs="Times New Roman"/>
          <w:sz w:val="24"/>
          <w:szCs w:val="24"/>
        </w:rPr>
        <w:t>, J., Lock, K., Cook, P. and Egan, M., 2019. Identifying</w:t>
      </w:r>
      <w:r>
        <w:rPr>
          <w:rFonts w:ascii="Times New Roman" w:eastAsia="Times New Roman" w:hAnsi="Times New Roman" w:cs="Times New Roman"/>
          <w:sz w:val="24"/>
          <w:szCs w:val="24"/>
        </w:rPr>
        <w:t xml:space="preserve"> opportunities for engaging the ‘</w:t>
      </w:r>
      <w:proofErr w:type="spellStart"/>
      <w:r>
        <w:rPr>
          <w:rFonts w:ascii="Times New Roman" w:eastAsia="Times New Roman" w:hAnsi="Times New Roman" w:cs="Times New Roman"/>
          <w:sz w:val="24"/>
          <w:szCs w:val="24"/>
        </w:rPr>
        <w:t>community’in</w:t>
      </w:r>
      <w:proofErr w:type="spellEnd"/>
      <w:r>
        <w:rPr>
          <w:rFonts w:ascii="Times New Roman" w:eastAsia="Times New Roman" w:hAnsi="Times New Roman" w:cs="Times New Roman"/>
          <w:sz w:val="24"/>
          <w:szCs w:val="24"/>
        </w:rPr>
        <w:t xml:space="preserve"> local alcohol decision-making: a literature review and synthesis. International Journal of Drug Policy, 74, pp.193-204.</w:t>
      </w:r>
    </w:p>
    <w:p w14:paraId="7EE1F4AA"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Salmon, R.A. and </w:t>
      </w:r>
      <w:proofErr w:type="spellStart"/>
      <w:r>
        <w:rPr>
          <w:rFonts w:ascii="Times New Roman" w:eastAsia="Times New Roman" w:hAnsi="Times New Roman" w:cs="Times New Roman"/>
          <w:sz w:val="24"/>
          <w:szCs w:val="24"/>
        </w:rPr>
        <w:t>Roop</w:t>
      </w:r>
      <w:proofErr w:type="spellEnd"/>
      <w:r>
        <w:rPr>
          <w:rFonts w:ascii="Times New Roman" w:eastAsia="Times New Roman" w:hAnsi="Times New Roman" w:cs="Times New Roman"/>
          <w:sz w:val="24"/>
          <w:szCs w:val="24"/>
        </w:rPr>
        <w:t>, H.A., 2019. Bridging the gap between science communication practice</w:t>
      </w:r>
      <w:r>
        <w:rPr>
          <w:rFonts w:ascii="Times New Roman" w:eastAsia="Times New Roman" w:hAnsi="Times New Roman" w:cs="Times New Roman"/>
          <w:sz w:val="24"/>
          <w:szCs w:val="24"/>
        </w:rPr>
        <w:t xml:space="preserve"> and theory: Reflecting on a decade of practitioner experience using polar outreach case studies to develop a new framework for public engagement design. Polar Record, 55(4), pp.297-310.</w:t>
      </w:r>
    </w:p>
    <w:p w14:paraId="3D740755" w14:textId="77777777" w:rsidR="00673FB8" w:rsidRDefault="0033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Thomas-Hughes, H., 2018. Ethical ‘mess’ in co-produced research: refl</w:t>
      </w:r>
      <w:r>
        <w:rPr>
          <w:rFonts w:ascii="Times New Roman" w:eastAsia="Times New Roman" w:hAnsi="Times New Roman" w:cs="Times New Roman"/>
          <w:color w:val="222222"/>
          <w:sz w:val="24"/>
          <w:szCs w:val="24"/>
          <w:highlight w:val="white"/>
        </w:rPr>
        <w:t>ections from a UK-based case study. </w:t>
      </w:r>
      <w:r>
        <w:rPr>
          <w:rFonts w:ascii="Times New Roman" w:eastAsia="Times New Roman" w:hAnsi="Times New Roman" w:cs="Times New Roman"/>
          <w:i/>
          <w:color w:val="222222"/>
          <w:sz w:val="24"/>
          <w:szCs w:val="24"/>
          <w:highlight w:val="white"/>
        </w:rPr>
        <w:t>International journal of social research methodology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(2), pp.231-242.</w:t>
      </w:r>
    </w:p>
    <w:sectPr w:rsidR="00673FB8">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C695A"/>
    <w:multiLevelType w:val="multilevel"/>
    <w:tmpl w:val="C3842E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0240ACE"/>
    <w:multiLevelType w:val="multilevel"/>
    <w:tmpl w:val="7706A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3A0367"/>
    <w:multiLevelType w:val="multilevel"/>
    <w:tmpl w:val="4BA466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FB8"/>
    <w:rsid w:val="00333A25"/>
    <w:rsid w:val="00673FB8"/>
    <w:rsid w:val="00FB2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24B7"/>
  <w15:docId w15:val="{6EDB771D-6226-4A68-A13F-E1DF589E3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2343</Words>
  <Characters>13360</Characters>
  <Application>Microsoft Office Word</Application>
  <DocSecurity>0</DocSecurity>
  <Lines>111</Lines>
  <Paragraphs>31</Paragraphs>
  <ScaleCrop>false</ScaleCrop>
  <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Kristina Spasova (2014059)</cp:lastModifiedBy>
  <cp:revision>2</cp:revision>
  <dcterms:created xsi:type="dcterms:W3CDTF">2020-12-17T06:40:00Z</dcterms:created>
  <dcterms:modified xsi:type="dcterms:W3CDTF">2020-12-17T06:40:00Z</dcterms:modified>
</cp:coreProperties>
</file>