
<file path=[Content_Types].xml><?xml version="1.0" encoding="utf-8"?>
<Types xmlns="http://schemas.openxmlformats.org/package/2006/content-types">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2BA0" w:rsidRDefault="00FC2BA0" w:rsidP="00FC2BA0">
      <w:pPr>
        <w:spacing w:line="360" w:lineRule="auto"/>
        <w:jc w:val="both"/>
        <w:rPr>
          <w:rFonts w:ascii="Arial" w:hAnsi="Arial" w:cs="Arial"/>
          <w:sz w:val="22"/>
          <w:szCs w:val="22"/>
        </w:rPr>
      </w:pPr>
    </w:p>
    <w:p w:rsidR="00FC2BA0" w:rsidRDefault="00FC2BA0" w:rsidP="00FC2BA0">
      <w:pPr>
        <w:pStyle w:val="AssignHeader"/>
      </w:pPr>
    </w:p>
    <w:p w:rsidR="00FC2BA0" w:rsidRPr="00DF121B" w:rsidRDefault="00FC2BA0" w:rsidP="00FC2BA0">
      <w:pPr>
        <w:pStyle w:val="AssignHeader"/>
      </w:pPr>
      <w:r w:rsidRPr="00DF121B">
        <w:t>A critical evaluation and the identification of next teaching and learning steps focusing</w:t>
      </w:r>
    </w:p>
    <w:p w:rsidR="00FC2BA0" w:rsidRPr="00DF121B" w:rsidRDefault="00FC2BA0" w:rsidP="00FC2BA0">
      <w:pPr>
        <w:pStyle w:val="AssignHeader"/>
      </w:pPr>
      <w:r w:rsidRPr="00DF121B">
        <w:t>on a case study of an individual learner or a group</w:t>
      </w:r>
    </w:p>
    <w:p w:rsidR="00FC2BA0" w:rsidRPr="00DF121B" w:rsidRDefault="00FC2BA0" w:rsidP="00FC2BA0">
      <w:pPr>
        <w:pStyle w:val="AssignHeader"/>
      </w:pPr>
      <w:r w:rsidRPr="00DF121B">
        <w:t>of learners, based on an observed critical incident.</w:t>
      </w:r>
    </w:p>
    <w:p w:rsidR="00FC2BA0" w:rsidRPr="00DF121B" w:rsidRDefault="00FC2BA0" w:rsidP="00FC2BA0">
      <w:pPr>
        <w:pStyle w:val="AssignSubHeader"/>
      </w:pPr>
    </w:p>
    <w:p w:rsidR="00FC2BA0" w:rsidRPr="00DF121B" w:rsidRDefault="00FC2BA0" w:rsidP="00FC2BA0">
      <w:pPr>
        <w:pStyle w:val="AssignBody"/>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4222F0">
      <w:pPr>
        <w:pStyle w:val="AssignSubHeader"/>
        <w:jc w:val="both"/>
      </w:pPr>
      <w:r w:rsidRPr="00DF121B">
        <w:lastRenderedPageBreak/>
        <w:t>Introduction</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What has been asked here is to focus on a critical incident spotted during a class observation, not necessarily focusing on competency. It must be asked, what exactly is a critical incident? It is not necessarily school-based, but a significant turning point or change in a person’s life, institution, or social phenomenon (Tripp, </w:t>
      </w:r>
      <w:r w:rsidR="004222F0" w:rsidRPr="00DF121B">
        <w:rPr>
          <w:rFonts w:ascii="Arial" w:hAnsi="Arial" w:cs="Arial"/>
          <w:sz w:val="22"/>
          <w:szCs w:val="22"/>
        </w:rPr>
        <w:t xml:space="preserve">J. </w:t>
      </w:r>
      <w:r w:rsidRPr="00DF121B">
        <w:rPr>
          <w:rFonts w:ascii="Arial" w:hAnsi="Arial" w:cs="Arial"/>
          <w:sz w:val="22"/>
          <w:szCs w:val="22"/>
        </w:rPr>
        <w:t>2006 p.24). It is also important to highlight that a critical incident could be anything – not just a negative event. In a school context, the incident could involve more able and talented (MAT) students (Welsh Government), the way students respond to a task, their perception of rules and the way they follow them. As well, critical incidents can include behavioural issues and bad class management. What will be demonstrated in this shown in this essay is a critical which involves a group of teenagers using mobile phones during a French lesson. The study of the critical incidents in general is fundamentally helpful for self-analysis, also known as reflective practice in teaching (Tripp). But, why is this self-reflection beneficial for teachers? Perhaps because it allows the opportunity to identify any weaknesses in their own strategy, or to enhance their ability to recognise critical incidents and deal with them better according to the new curriculum written by Donaldson.</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AssignSubHeader"/>
        <w:jc w:val="both"/>
      </w:pPr>
      <w:r w:rsidRPr="00DF121B">
        <w:t>Observation</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The observation took place in a further education college in South Wales that teaches over 4,000 students full-time and 8,000 part time scholars with an overall success rate constantly above the national average. These results helped the college to be certified as “good” in their last inspection.</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The college provides a range of almost 50 different A-level subjects, including foreign languages, such as French and Spanish. (Estyn re</w:t>
      </w:r>
      <w:bookmarkStart w:id="0" w:name="_GoBack"/>
      <w:bookmarkEnd w:id="0"/>
      <w:r w:rsidRPr="00DF121B">
        <w:rPr>
          <w:rFonts w:ascii="Arial" w:hAnsi="Arial" w:cs="Arial"/>
          <w:sz w:val="22"/>
          <w:szCs w:val="22"/>
        </w:rPr>
        <w:t>port, 2018).</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This college, however, has slightly different focal points than Donaldson’s four purposes due to the higher level of education taught at the college. Yet, the intentions of the college are similar to the Professor’s ideas, for example: taking care of the students and placing them at the centre of everything, quality, impact and excellence. (</w:t>
      </w:r>
      <w:r w:rsidR="004222F0" w:rsidRPr="00DF121B">
        <w:rPr>
          <w:rFonts w:ascii="Arial" w:hAnsi="Arial" w:cs="Arial"/>
          <w:sz w:val="22"/>
          <w:szCs w:val="22"/>
        </w:rPr>
        <w:t xml:space="preserve">School X </w:t>
      </w:r>
      <w:r w:rsidRPr="00DF121B">
        <w:rPr>
          <w:rFonts w:ascii="Arial" w:hAnsi="Arial" w:cs="Arial"/>
          <w:sz w:val="22"/>
          <w:szCs w:val="22"/>
        </w:rPr>
        <w:t xml:space="preserve">Strategic plan, 2016-2020). </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Despite these differences, a critical incident has been observed and analysed following Donaldson’s theory because to do so is not in contrast with the school’s directions.</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 xml:space="preserve">The specific environment observed, is a small French class of nine students in their final year. The atmosphere is calm and relaxed, and the class is engaged through reading out loud and translating. All of a sudden student X picks up their phone (probably to translate) and gets distracted. Now the student next to X, notices the </w:t>
      </w:r>
      <w:r w:rsidR="00DF121B" w:rsidRPr="00DF121B">
        <w:rPr>
          <w:rFonts w:ascii="Arial" w:hAnsi="Arial" w:cs="Arial"/>
          <w:sz w:val="22"/>
          <w:szCs w:val="22"/>
        </w:rPr>
        <w:t>behaviour</w:t>
      </w:r>
      <w:r w:rsidRPr="00DF121B">
        <w:rPr>
          <w:rFonts w:ascii="Arial" w:hAnsi="Arial" w:cs="Arial"/>
          <w:sz w:val="22"/>
          <w:szCs w:val="22"/>
        </w:rPr>
        <w:t xml:space="preserve"> and begins to do the same</w:t>
      </w:r>
      <w:r w:rsidR="00DC3B31">
        <w:rPr>
          <w:rFonts w:ascii="Arial" w:hAnsi="Arial" w:cs="Arial"/>
          <w:sz w:val="22"/>
          <w:szCs w:val="22"/>
        </w:rPr>
        <w:t xml:space="preserve"> </w:t>
      </w:r>
      <w:r w:rsidRPr="00B15A3E">
        <w:rPr>
          <w:rFonts w:ascii="Arial" w:hAnsi="Arial" w:cs="Arial"/>
          <w:sz w:val="22"/>
          <w:szCs w:val="22"/>
        </w:rPr>
        <w:t>(</w:t>
      </w:r>
      <w:r w:rsidR="00DC3B31">
        <w:rPr>
          <w:rFonts w:ascii="Arial" w:hAnsi="Arial" w:cs="Arial"/>
          <w:sz w:val="22"/>
          <w:szCs w:val="22"/>
        </w:rPr>
        <w:fldChar w:fldCharType="begin"/>
      </w:r>
      <w:r w:rsidR="00DC3B31">
        <w:rPr>
          <w:rFonts w:ascii="Arial" w:hAnsi="Arial" w:cs="Arial"/>
          <w:sz w:val="22"/>
          <w:szCs w:val="22"/>
        </w:rPr>
        <w:instrText xml:space="preserve"> PAGEREF Sociogram \h </w:instrText>
      </w:r>
      <w:r w:rsidR="00DC3B31">
        <w:rPr>
          <w:rFonts w:ascii="Arial" w:hAnsi="Arial" w:cs="Arial"/>
          <w:sz w:val="22"/>
          <w:szCs w:val="22"/>
        </w:rPr>
      </w:r>
      <w:r w:rsidR="00DC3B31">
        <w:rPr>
          <w:rFonts w:ascii="Arial" w:hAnsi="Arial" w:cs="Arial"/>
          <w:sz w:val="22"/>
          <w:szCs w:val="22"/>
        </w:rPr>
        <w:fldChar w:fldCharType="separate"/>
      </w:r>
      <w:r w:rsidR="00DC3B31">
        <w:rPr>
          <w:rFonts w:ascii="Arial" w:hAnsi="Arial" w:cs="Arial"/>
          <w:noProof/>
          <w:sz w:val="22"/>
          <w:szCs w:val="22"/>
        </w:rPr>
        <w:t>18</w:t>
      </w:r>
      <w:r w:rsidR="00DC3B31">
        <w:rPr>
          <w:rFonts w:ascii="Arial" w:hAnsi="Arial" w:cs="Arial"/>
          <w:sz w:val="22"/>
          <w:szCs w:val="22"/>
        </w:rPr>
        <w:fldChar w:fldCharType="end"/>
      </w:r>
      <w:r w:rsidRPr="00DF121B">
        <w:rPr>
          <w:rFonts w:ascii="Arial" w:hAnsi="Arial" w:cs="Arial"/>
          <w:sz w:val="22"/>
          <w:szCs w:val="22"/>
        </w:rPr>
        <w:t xml:space="preserve">). There are no behaviour </w:t>
      </w:r>
      <w:r w:rsidRPr="00DF121B">
        <w:rPr>
          <w:rFonts w:ascii="Arial" w:hAnsi="Arial" w:cs="Arial"/>
          <w:sz w:val="22"/>
          <w:szCs w:val="22"/>
        </w:rPr>
        <w:lastRenderedPageBreak/>
        <w:t>issues, and the student’s interest on the subject is evident. However, as with their peers, the students’ mobile phones are on the table next to them for the majority of the class. In this situation the phones could be beneficial because it allows for easier research of vocabulary. During this study, there be specific references to members of the class as students X, Y, or Z in order to ensure anonymity. (Bera,</w:t>
      </w:r>
      <w:r w:rsidR="004222F0" w:rsidRPr="00DF121B">
        <w:rPr>
          <w:rFonts w:ascii="Arial" w:hAnsi="Arial" w:cs="Arial"/>
          <w:sz w:val="22"/>
          <w:szCs w:val="22"/>
        </w:rPr>
        <w:t xml:space="preserve"> </w:t>
      </w:r>
      <w:r w:rsidR="00DF121B" w:rsidRPr="00DF121B">
        <w:rPr>
          <w:rFonts w:ascii="Arial" w:hAnsi="Arial" w:cs="Arial"/>
          <w:sz w:val="22"/>
          <w:szCs w:val="22"/>
        </w:rPr>
        <w:t>2018 p.21</w:t>
      </w:r>
      <w:r w:rsidRPr="00DF121B">
        <w:rPr>
          <w:rFonts w:ascii="Arial" w:hAnsi="Arial" w:cs="Arial"/>
          <w:sz w:val="22"/>
          <w:szCs w:val="22"/>
        </w:rPr>
        <w:t>)</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jc w:val="both"/>
        <w:rPr>
          <w:rFonts w:ascii="Arial" w:hAnsi="Arial" w:cs="Arial"/>
          <w:sz w:val="22"/>
          <w:szCs w:val="22"/>
        </w:rPr>
      </w:pPr>
    </w:p>
    <w:p w:rsidR="00FC2BA0" w:rsidRPr="00DF121B" w:rsidRDefault="00FC2BA0" w:rsidP="004222F0">
      <w:pPr>
        <w:pStyle w:val="AssignSubHeader"/>
        <w:jc w:val="both"/>
      </w:pPr>
      <w:r w:rsidRPr="00DF121B">
        <w:t>Methodology</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Firstly, it is important to highlight the meaning of a ‘case study’. Different academics have given their definition to this practice, for instance Creswell (2013) defines it as when a “researcher explores in depth a program, an event, an activity, a process, or one or more individuals” (p.15).</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 case study is part of another specific technique used for observations such as: the “qualitative method”, which according to Williams C. (2007, p.67) is based on inductive reasoning. This differs from deductive reasoning which is more linked to the “quantitative method”, where the researcher is less involved, and the studies are based on existing literature.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The method adopted for this case study follows the dynamic of a non-participant observer sat in the corner of the class, with the aim to better analyse the environment of the classroom and reflect on the critical incident through theory and literature (Cotton,</w:t>
      </w:r>
      <w:r w:rsidR="004222F0" w:rsidRPr="00DF121B">
        <w:rPr>
          <w:rFonts w:ascii="Arial" w:hAnsi="Arial" w:cs="Arial"/>
          <w:sz w:val="22"/>
          <w:szCs w:val="22"/>
        </w:rPr>
        <w:t xml:space="preserve"> DRE.</w:t>
      </w:r>
      <w:r w:rsidRPr="00DF121B">
        <w:rPr>
          <w:rFonts w:ascii="Arial" w:hAnsi="Arial" w:cs="Arial"/>
          <w:sz w:val="22"/>
          <w:szCs w:val="22"/>
        </w:rPr>
        <w:t xml:space="preserve"> 2010, p.463). It is possible to then clarify, that both methods, deductive and inductive have been used, leading to a mixed method approach which according to Johnson and Onwuegbuzie (2004), could be a valid alternative to the single choice of one of the two methods.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Reflecting on the nature of the social interaction between the group a sociogram was used as part of the observation of the incident. This is a diagrammatic technique that can be adopted during an observation, and according to Banjerjee is “a visual representation of interpersonal relationships within a group”.  To begin with, it is necessary to explain what an observation is. According to Stanford </w:t>
      </w:r>
      <w:r w:rsidR="00DF121B" w:rsidRPr="00DF121B">
        <w:rPr>
          <w:rFonts w:ascii="Arial" w:hAnsi="Arial" w:cs="Arial"/>
          <w:sz w:val="22"/>
          <w:szCs w:val="22"/>
        </w:rPr>
        <w:t>Encyclopaedia</w:t>
      </w:r>
      <w:r w:rsidRPr="00DF121B">
        <w:rPr>
          <w:rFonts w:ascii="Arial" w:hAnsi="Arial" w:cs="Arial"/>
          <w:sz w:val="22"/>
          <w:szCs w:val="22"/>
        </w:rPr>
        <w:t xml:space="preserve"> of Philosophy the observation method is: </w:t>
      </w:r>
    </w:p>
    <w:p w:rsidR="00FC2BA0" w:rsidRPr="00DF121B" w:rsidRDefault="00FC2BA0" w:rsidP="004222F0">
      <w:pPr>
        <w:spacing w:line="360" w:lineRule="auto"/>
        <w:ind w:left="720"/>
        <w:jc w:val="both"/>
        <w:rPr>
          <w:rFonts w:ascii="Arial" w:hAnsi="Arial" w:cs="Arial"/>
          <w:sz w:val="22"/>
          <w:szCs w:val="22"/>
        </w:rPr>
      </w:pPr>
      <w:r w:rsidRPr="00DF121B">
        <w:rPr>
          <w:rFonts w:ascii="Arial" w:hAnsi="Arial" w:cs="Arial"/>
          <w:sz w:val="22"/>
          <w:szCs w:val="22"/>
        </w:rPr>
        <w:t xml:space="preserve">subjective study which allows the researcher to focus on one specific event and speculate on it through the use of theory, the use of it makes the observation a method that can be called “scientific” because proved.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The value of this observation method is that it allows the investigator to scrutinize the subjects of the studies in their own environment without being disturbed. It is a method that avoids the bias and at the same time leaves the freedom to the researcher to adopt different roles during the process, deciding whether to get involved or not (like this specific case) (Baker, L., 2006).</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terms of methodology this research is based on the critical approach, part of the analysis takes its cue from the use of the “four lenses” directly addressed to teachers who wants to improve their performance in the classroom.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lastRenderedPageBreak/>
        <w:t>Brookfield suggests that in order to become a better teacher, it is important to accept diverse opinions and other viewpoints, for example from students’ eyes, colleagues’ perception, personal experience and theory. In this particular case, the critical analysis takes into account the colleagues’ perception and the theory (Brookfield, 1995).</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Furthermore, there are other theories related to the observation of a critical incident. Tripp, for instance, brings a different point of view from Brookfield’s lenses, but at the same time improves part of his theory, specifically what concerns personal evaluation which could be related to the “personal experience” lens. In fact, Tripp’s four approaches to the critical incidents are all related to the self-recognition and the self-evaluation to better understand the reasons that triggered the critical incident and at the same time extend the observation to the analysis of the teacher’s behaviour. The four main points are: thinking strategies, dilemma identification, the “why” challenge (inspired by the Socrates’ theory) and the personal theory analysis which all lead the teachers to a deep reconstruction of what they have done and how to improve it.  (Tripp, pp. 44-53)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Nevertheless, the ones used are not the only tools accessible for a successful observation.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It is possible, in fact, to use written records, notebooks and record sheets, which in this case have been used as well as the sociogram. Time and event samples are another useful resource for an effective observation which can be a general glance over entire class or a focus on a child who shows a particular behaviour. Another observation method could be reinforced by the provision of photos, videos or either recordings. (</w:t>
      </w:r>
      <w:r w:rsidR="004222F0" w:rsidRPr="00DF121B">
        <w:rPr>
          <w:rFonts w:ascii="Arial" w:hAnsi="Arial" w:cs="Arial"/>
          <w:sz w:val="22"/>
          <w:szCs w:val="22"/>
        </w:rPr>
        <w:t>Jennings</w:t>
      </w:r>
      <w:r w:rsidR="004222F0" w:rsidRPr="00DF121B">
        <w:rPr>
          <w:rFonts w:ascii="Arial" w:hAnsi="Arial" w:cs="Arial"/>
          <w:sz w:val="22"/>
          <w:szCs w:val="22"/>
        </w:rPr>
        <w:t xml:space="preserve"> et al. </w:t>
      </w:r>
      <w:r w:rsidR="004222F0" w:rsidRPr="00DF121B">
        <w:rPr>
          <w:rFonts w:ascii="Arial" w:hAnsi="Arial" w:cs="Arial"/>
          <w:sz w:val="22"/>
          <w:szCs w:val="22"/>
        </w:rPr>
        <w:t>2019</w:t>
      </w:r>
      <w:r w:rsidRPr="00DF121B">
        <w:rPr>
          <w:rFonts w:ascii="Arial" w:hAnsi="Arial" w:cs="Arial"/>
          <w:sz w:val="22"/>
          <w:szCs w:val="22"/>
        </w:rPr>
        <w:t>). These techniques can be divided into four groups as well: the diagrammatic, the sampling, the written and the checklist.</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b/>
          <w:bCs/>
          <w:sz w:val="22"/>
          <w:szCs w:val="22"/>
        </w:rPr>
      </w:pPr>
    </w:p>
    <w:p w:rsidR="00FC2BA0" w:rsidRPr="00DF121B" w:rsidRDefault="00FC2BA0" w:rsidP="004222F0">
      <w:pPr>
        <w:spacing w:line="360" w:lineRule="auto"/>
        <w:jc w:val="both"/>
        <w:rPr>
          <w:rFonts w:ascii="Arial" w:hAnsi="Arial" w:cs="Arial"/>
          <w:b/>
          <w:bCs/>
          <w:i/>
          <w:iCs/>
          <w:sz w:val="28"/>
          <w:szCs w:val="28"/>
        </w:rPr>
      </w:pPr>
      <w:r w:rsidRPr="00DF121B">
        <w:rPr>
          <w:rFonts w:ascii="Arial" w:hAnsi="Arial" w:cs="Arial"/>
          <w:b/>
          <w:bCs/>
          <w:i/>
          <w:iCs/>
          <w:sz w:val="28"/>
          <w:szCs w:val="28"/>
        </w:rPr>
        <w:t>FOUR PURPOSES</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As has been previously stated, this particular case takes place in a college, which means the new curriculum is not completely involved. Nevertheless, Donaldson’s statements are broad enough to reach the further education as well. Reading the policies of the college made it easy to understand how the Donaldson’s purposes could match with the school’s purposes.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The college provided data explaining the level of involvement required from the students, the engagement between students and teachers, as well as the way subjects should be taught.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the first case there is a clear connection between two of the new curriculum statements which has the aim to create enterprising, creative contributors and ethical informed citizens as well.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Precisely, there is a document about the students’ participation in school life, with the overarching goal of developing a learner involvement culture, encouraging them to engage in representative groups in order to improve their experience at the college. It also aims to involve learners in understanding and achieving their individual educational goals (</w:t>
      </w:r>
      <w:r w:rsidR="004222F0" w:rsidRPr="00DF121B">
        <w:rPr>
          <w:rFonts w:ascii="Arial" w:hAnsi="Arial" w:cs="Arial"/>
          <w:sz w:val="22"/>
          <w:szCs w:val="22"/>
        </w:rPr>
        <w:t xml:space="preserve">School X </w:t>
      </w:r>
      <w:r w:rsidRPr="00DF121B">
        <w:rPr>
          <w:rFonts w:ascii="Arial" w:hAnsi="Arial" w:cs="Arial"/>
          <w:sz w:val="22"/>
          <w:szCs w:val="22"/>
        </w:rPr>
        <w:t>learner involvement framework).</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lastRenderedPageBreak/>
        <w:t>Regarding the critical incident, consideration will not only be taken for similar points previously quoted, but also those that refer to this specific case study.</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Here we have student X picking up their phone apparently for translation purposes but ends up on a social network site and is distracted. Student Y seated beside X, starts doing the same as well as student Z sat in front of the pair. This chain reaction not only distracted the students from the lesson but gave them the opportunity to speak and disrupt the entire class. A sociogram was created which clearly noted the areas of distraction.</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According to Donaldson and the Welsh government, cross curricular activities is important as it is fundamental in developing the learner’s </w:t>
      </w:r>
      <w:r w:rsidR="007A1DA2" w:rsidRPr="00DF121B">
        <w:rPr>
          <w:rFonts w:ascii="Arial" w:hAnsi="Arial" w:cs="Arial"/>
          <w:sz w:val="22"/>
          <w:szCs w:val="22"/>
        </w:rPr>
        <w:t>abilities, especially</w:t>
      </w:r>
      <w:r w:rsidRPr="00DF121B">
        <w:rPr>
          <w:rFonts w:ascii="Arial" w:hAnsi="Arial" w:cs="Arial"/>
          <w:sz w:val="22"/>
          <w:szCs w:val="22"/>
        </w:rPr>
        <w:t xml:space="preserve"> in the three principal subjects: literacy, numeracy and digital competences (Education in wales: our mission, p.23). In this particular context the digital competences are well exploited, the teacher uses the interactive board to show different activities and to make the lesson more interactive and interesting. At the same time, the students are permitted to have and use their mobile phone during the class. In further education, it is not unusual to see students using their phones, in this particular case as well, the phone is particularly allowed because is considered useful for research and aids with the translation, without losing too much time. Nevertheless, it is fundamental to understand when technology can help the student to be happy, confident and healthy, but also when it disrupts the process of learning. Analysing this critical incident there are different points to take into consideration. The first point, which is linked to one of the four purposes helps to answer the question: “are these teenagers healthy and confident individuals?”. The goal of these purposes is to allow pupils within the age range of 3-16 years, to grow and learn in a stimulating environment and prepare them to become critical young adults ready for life outside of school (Smartphone &amp; Digital Detox at Michaela</w:t>
      </w:r>
      <w:r w:rsidR="004222F0" w:rsidRPr="00DF121B">
        <w:rPr>
          <w:rFonts w:ascii="Arial" w:hAnsi="Arial" w:cs="Arial"/>
          <w:sz w:val="22"/>
          <w:szCs w:val="22"/>
        </w:rPr>
        <w:t>, 2018</w:t>
      </w:r>
      <w:r w:rsidRPr="00DF121B">
        <w:rPr>
          <w:rFonts w:ascii="Arial" w:hAnsi="Arial" w:cs="Arial"/>
          <w:sz w:val="22"/>
          <w:szCs w:val="22"/>
        </w:rPr>
        <w:t>). This does not mean that students in further education are not included, they are still in education and further even, they require stronger principles so as to prepare for University life or a job.  Concerning the statement “creating healthy and confident individuals” in successful futures, it is explained how this should represent a typical student who participates in sport, who is active and, nowadays, it could be extended to those who take care of their mental health. It is a common idea that mobile phones and social media could possibly endanger the health of pupils. Furthermore, issues may not always be physical, they could also include problems with sight or insomnia (Smartphone &amp; Digital Detox at Michaela</w:t>
      </w:r>
      <w:r w:rsidR="004222F0" w:rsidRPr="00DF121B">
        <w:rPr>
          <w:rFonts w:ascii="Arial" w:hAnsi="Arial" w:cs="Arial"/>
          <w:sz w:val="22"/>
          <w:szCs w:val="22"/>
        </w:rPr>
        <w:t>, 2018</w:t>
      </w:r>
      <w:r w:rsidRPr="00DF121B">
        <w:rPr>
          <w:rFonts w:ascii="Arial" w:hAnsi="Arial" w:cs="Arial"/>
          <w:sz w:val="22"/>
          <w:szCs w:val="22"/>
        </w:rPr>
        <w:t xml:space="preserve">). Yet, more worrying is the spread of online bullying, mental illnesses, lack of concentration and self-esteem. Nonetheless, the critical incident shows two sides of the coin.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fact, as shown the critical incident doesn’t involve only one student, but three. If we suppose that all of them were checking the meaning of a word from the text, the use of this tool allowed them to bond and collaborate to find the right solution, as well as a better understanding of the text. The use of mobile phones made them automatically enterprising and creative contributors, able to think imaginatively to “reframe and solve problems, identify and grasp opportunities and express ideas and emotions through media” (education in </w:t>
      </w:r>
      <w:r w:rsidR="004222F0" w:rsidRPr="00DF121B">
        <w:rPr>
          <w:rFonts w:ascii="Arial" w:hAnsi="Arial" w:cs="Arial"/>
          <w:sz w:val="22"/>
          <w:szCs w:val="22"/>
        </w:rPr>
        <w:t>W</w:t>
      </w:r>
      <w:r w:rsidRPr="00DF121B">
        <w:rPr>
          <w:rFonts w:ascii="Arial" w:hAnsi="Arial" w:cs="Arial"/>
          <w:sz w:val="22"/>
          <w:szCs w:val="22"/>
        </w:rPr>
        <w:t xml:space="preserve">ales: our mission, p.15) – something that aligns with </w:t>
      </w:r>
      <w:r w:rsidRPr="00DF121B">
        <w:rPr>
          <w:rFonts w:ascii="Arial" w:hAnsi="Arial" w:cs="Arial"/>
          <w:sz w:val="22"/>
          <w:szCs w:val="22"/>
        </w:rPr>
        <w:lastRenderedPageBreak/>
        <w:t>Donaldson’s study. Moreover, one of the school’s principal aims is to “encourage a significant focus on technology in supported experiments” (</w:t>
      </w:r>
      <w:r w:rsidR="004222F0" w:rsidRPr="00DF121B">
        <w:rPr>
          <w:rFonts w:ascii="Arial" w:hAnsi="Arial" w:cs="Arial"/>
          <w:sz w:val="22"/>
          <w:szCs w:val="22"/>
        </w:rPr>
        <w:t xml:space="preserve">School X </w:t>
      </w:r>
      <w:r w:rsidRPr="00DF121B">
        <w:rPr>
          <w:rFonts w:ascii="Arial" w:hAnsi="Arial" w:cs="Arial"/>
          <w:sz w:val="22"/>
          <w:szCs w:val="22"/>
        </w:rPr>
        <w:t xml:space="preserve">Teaching and learning strategy) and support the students to use the online platform to always be updated on their assignments and homework. This means that the use of at least a mobile phone is required to keep up with the college’s rhythm. Wiserd (Wales Institute of Social and Economic Research, Data and Methods) led a survey among adults, students and children about the new curriculum and its main points, such as the four purposes. One result from the adult questionnaire is the desire to see the students develop their abilities in digital competences which automatically lead to a better understanding of the tolerance in schools on the use of mobile phones. Even if it is about a college in this case, the concept is the same and regarding the critical incident it is important to state that according to the different implications of the four purposes, the use of mobile could be considered either positive or negative.   </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pStyle w:val="AssignSubHeader"/>
        <w:jc w:val="both"/>
      </w:pPr>
    </w:p>
    <w:p w:rsidR="00FC2BA0" w:rsidRPr="00DF121B" w:rsidRDefault="00FC2BA0" w:rsidP="004222F0">
      <w:pPr>
        <w:pStyle w:val="AssignSubHeader"/>
        <w:jc w:val="both"/>
      </w:pPr>
      <w:r w:rsidRPr="00DF121B">
        <w:t>Literary review</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There are several journals that discuss the positives and negatives of the use of technology, more specifically about mobiles in the classroom. According to Donaldson (2015), the right use of technology in school should better engage students in the classroom and create a comfortable environment even with their peers. Nonetheless, there is the necessity to be careful concerning their use, which are most often used as a tool for private business. In this specific event, and also according to what was explained by the teacher after the class, phones are allowed, and their use is warmly welcomed. However, there are some restrictions: the use of both google translate and Wikipedia is prohibited. As the teacher is aware of the use of these smart phones, they never sit, but patrol around the room in order to ensure everything is used accordingly. Furthermore, this critical incident has been triggered by the following area: health and well-being; languages, literacy and communication; and Science and technology.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To be clear, in successful futures, Donaldson finds six specific areas for the learning experience such as: expressive arts, health and well-being, humanities, languages literacy and communication, mathematics and numeracy and science and technology (Welsh Government, 2017).</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According to what has been witnessed during the lesson, some of these areas have been automatically excluded because they are not part of the specific environment, on the contrary, two of them constitute the core of the event and one fits only in part. There is in fact, only a reference to the technology area which in this case is not linked to the science field.</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Health and well-being have been already mentioned in the previous paragraphs, here there is the possibility to develop some of the articles that discuss the benefits of the use of technology in schools, more specifically those permitting the use of mobile phones.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education, since the introduction of new technology there has been a strong debate whether its use should be considered acceptable or not during classes. However, it is important to make a </w:t>
      </w:r>
      <w:r w:rsidRPr="00DF121B">
        <w:rPr>
          <w:rFonts w:ascii="Arial" w:hAnsi="Arial" w:cs="Arial"/>
          <w:sz w:val="22"/>
          <w:szCs w:val="22"/>
        </w:rPr>
        <w:lastRenderedPageBreak/>
        <w:t>differentiation between general technology and the use of mobile phones. In fact, many schools have adopted a modern method of teaching using technology. As these methods developed and spread, Davis (1985) produced a model called technology acceptance model (TAM) which explains the reasons why this new phenomenon has been adopted and is nowadays so widely applied. According to his theory, there are three main factors to motivate people to use it: the perceived ease of use - the degree in which an individual believes using a particular system would be free of physical and mental effort, perceived usefulness - the degree in which an individual believes that using a particular system would enhance his or her job performance, and attitude toward using the system. (Chuttur,</w:t>
      </w:r>
      <w:r w:rsidR="004222F0" w:rsidRPr="00DF121B">
        <w:rPr>
          <w:rFonts w:ascii="Arial" w:hAnsi="Arial" w:cs="Arial"/>
          <w:sz w:val="22"/>
          <w:szCs w:val="22"/>
        </w:rPr>
        <w:t xml:space="preserve"> M.,</w:t>
      </w:r>
      <w:r w:rsidRPr="00DF121B">
        <w:rPr>
          <w:rFonts w:ascii="Arial" w:hAnsi="Arial" w:cs="Arial"/>
          <w:sz w:val="22"/>
          <w:szCs w:val="22"/>
        </w:rPr>
        <w:t xml:space="preserve"> 2009). Considering this model, it is possible to see that even unconsciously, these particulars have been taken into consideration and used as a good reason to introduce the use of technology in schools. </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Donaldson explains digital competences and what teachers and pupils should expect from them: for Digital, “involving or relating to the use of computer technology or characterized by widespread use of computers”. For competence: “the ability to do something successfully or efficiently or </w:t>
      </w:r>
      <w:r w:rsidRPr="00DF121B">
        <w:rPr>
          <w:rFonts w:ascii="Arial" w:hAnsi="Arial" w:cs="Arial"/>
          <w:color w:val="000000" w:themeColor="text1"/>
          <w:sz w:val="22"/>
          <w:szCs w:val="22"/>
        </w:rPr>
        <w:t xml:space="preserve">competence </w:t>
      </w:r>
      <w:hyperlink r:id="rId8" w:tgtFrame="_blank" w:history="1">
        <w:r w:rsidRPr="00DF121B">
          <w:rPr>
            <w:rFonts w:ascii="Arial" w:eastAsia="Times New Roman" w:hAnsi="Arial" w:cs="Arial"/>
            <w:color w:val="000000" w:themeColor="text1"/>
            <w:sz w:val="22"/>
            <w:szCs w:val="22"/>
            <w:lang w:eastAsia="en-GB"/>
          </w:rPr>
          <w:t>indicates sufficiency of knowledge and skills that enable someone to act in a wide variety of situations.</w:t>
        </w:r>
      </w:hyperlink>
      <w:r w:rsidRPr="00DF121B">
        <w:rPr>
          <w:rFonts w:ascii="Arial" w:eastAsia="Times New Roman" w:hAnsi="Arial" w:cs="Arial"/>
          <w:color w:val="000000" w:themeColor="text1"/>
          <w:sz w:val="22"/>
          <w:szCs w:val="22"/>
          <w:shd w:val="clear" w:color="auto" w:fill="FFFFFF"/>
          <w:lang w:eastAsia="en-GB"/>
        </w:rPr>
        <w:t>" (Donaldson, 201</w:t>
      </w:r>
      <w:r w:rsidR="004222F0" w:rsidRPr="00DF121B">
        <w:rPr>
          <w:rFonts w:ascii="Arial" w:eastAsia="Times New Roman" w:hAnsi="Arial" w:cs="Arial"/>
          <w:color w:val="000000" w:themeColor="text1"/>
          <w:sz w:val="22"/>
          <w:szCs w:val="22"/>
          <w:shd w:val="clear" w:color="auto" w:fill="FFFFFF"/>
          <w:lang w:eastAsia="en-GB"/>
        </w:rPr>
        <w:t>5</w:t>
      </w:r>
      <w:r w:rsidRPr="00DF121B">
        <w:rPr>
          <w:rFonts w:ascii="Arial" w:eastAsia="Times New Roman" w:hAnsi="Arial" w:cs="Arial"/>
          <w:color w:val="000000" w:themeColor="text1"/>
          <w:sz w:val="22"/>
          <w:szCs w:val="22"/>
          <w:shd w:val="clear" w:color="auto" w:fill="FFFFFF"/>
          <w:lang w:eastAsia="en-GB"/>
        </w:rPr>
        <w:t>)</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 Nevertheless, the Michaela comprehensive </w:t>
      </w:r>
      <w:r w:rsidR="007A1DA2" w:rsidRPr="00DF121B">
        <w:rPr>
          <w:rFonts w:ascii="Arial" w:hAnsi="Arial" w:cs="Arial"/>
          <w:sz w:val="22"/>
          <w:szCs w:val="22"/>
          <w:lang w:val="en-GB"/>
        </w:rPr>
        <w:t>school,</w:t>
      </w:r>
      <w:r w:rsidRPr="00DF121B">
        <w:rPr>
          <w:rFonts w:ascii="Arial" w:hAnsi="Arial" w:cs="Arial"/>
          <w:sz w:val="22"/>
          <w:szCs w:val="22"/>
          <w:lang w:val="en-GB"/>
        </w:rPr>
        <w:t xml:space="preserve"> which is frequently discussed, provides the opportunity for the students, in particular those studying A-levels, to give up their mobile for six-months to be more focused on their studies. According to their ethos and policy the idea of being connected 24/7 could affect the results and ruin the students’ career (Smartphones &amp; digital Detox at Michaela). This point of view is easily reconnectable to the health and well-being of the student who requires a life as stress-free as possible, without useless anxiety that is stirred up due to being constantly online. Also, the use of social networks could affect their mental health as it could create a distorted perception of their bodies, applying to both boys and girls. Nevertheless, other types of technology are accepted and used by the school staff.</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 Mobile phones are not considered a tool to develop particular abilities or a stimulating object for the scholars.  (Smartphones &amp; digital Detox at Michaela) In support of the Michaela school policy is an article about the ban of mobile phones in England. According to their research the results are astonishing: from 2001 to 2012 the ban reached 98% of the schools observed, and has benefited especially well pupils who were low-achieving or from a low-income background - “the impact of banning phones for these pupils is equivalent to an additional hour a week in school or to increasing the school year by five days”. (Beland</w:t>
      </w:r>
      <w:r w:rsidR="004222F0" w:rsidRPr="00DF121B">
        <w:rPr>
          <w:rFonts w:ascii="Arial" w:hAnsi="Arial" w:cs="Arial"/>
          <w:sz w:val="22"/>
          <w:szCs w:val="22"/>
          <w:lang w:val="en-GB"/>
        </w:rPr>
        <w:t xml:space="preserve"> and </w:t>
      </w:r>
      <w:r w:rsidRPr="00DF121B">
        <w:rPr>
          <w:rFonts w:ascii="Arial" w:hAnsi="Arial" w:cs="Arial"/>
          <w:sz w:val="22"/>
          <w:szCs w:val="22"/>
          <w:lang w:val="en-GB"/>
        </w:rPr>
        <w:t>Murphy</w:t>
      </w:r>
      <w:r w:rsidR="004222F0" w:rsidRPr="00DF121B">
        <w:rPr>
          <w:rFonts w:ascii="Arial" w:hAnsi="Arial" w:cs="Arial"/>
          <w:sz w:val="22"/>
          <w:szCs w:val="22"/>
          <w:lang w:val="en-GB"/>
        </w:rPr>
        <w:t xml:space="preserve">, </w:t>
      </w:r>
      <w:r w:rsidRPr="00DF121B">
        <w:rPr>
          <w:rFonts w:ascii="Arial" w:hAnsi="Arial" w:cs="Arial"/>
          <w:sz w:val="22"/>
          <w:szCs w:val="22"/>
          <w:lang w:val="en-GB"/>
        </w:rPr>
        <w:t xml:space="preserve">2015). The ban also revealed how beneficial the absence of a phone for children with additional learning needs can be, but surprisingly the article continues to assert that this study has been extended to all secondary students between fourteen to eighteen years of age, and that the variance between allowing the use of mobile phone and the ban </w:t>
      </w:r>
      <w:r w:rsidRPr="00DF121B">
        <w:rPr>
          <w:rFonts w:ascii="Arial" w:hAnsi="Arial" w:cs="Arial"/>
          <w:sz w:val="22"/>
          <w:szCs w:val="22"/>
          <w:lang w:val="en-GB"/>
        </w:rPr>
        <w:lastRenderedPageBreak/>
        <w:t>didn’t actually make any difference especially between high achievers (</w:t>
      </w:r>
      <w:r w:rsidR="004222F0" w:rsidRPr="00DF121B">
        <w:rPr>
          <w:rFonts w:ascii="Arial" w:hAnsi="Arial" w:cs="Arial"/>
          <w:sz w:val="22"/>
          <w:szCs w:val="22"/>
          <w:lang w:val="en-GB"/>
        </w:rPr>
        <w:t>Beland and Murphy, 2015</w:t>
      </w:r>
      <w:r w:rsidRPr="00DF121B">
        <w:rPr>
          <w:rFonts w:ascii="Arial" w:hAnsi="Arial" w:cs="Arial"/>
          <w:sz w:val="22"/>
          <w:szCs w:val="22"/>
          <w:lang w:val="en-GB"/>
        </w:rPr>
        <w:t>). Another survey-based article, amongst American students in this case, shows from a student’s point of view on the use of mobile phones at school. The two professors, Kevin Thomas and Marco A. Munoz, highlight the evolution of this piece of technology seen at first as a menace and an object to keep away from the scholar institutions. Nowadays though, the mobile phone can perform most tasks required in a person’s daily routine. Also, in the modern educational system mobile phones were positioned to influence teaching and learning “in a way personal computer never did” (Kevin</w:t>
      </w:r>
      <w:r w:rsidR="004222F0" w:rsidRPr="00DF121B">
        <w:rPr>
          <w:rFonts w:ascii="Arial" w:hAnsi="Arial" w:cs="Arial"/>
          <w:sz w:val="22"/>
          <w:szCs w:val="22"/>
          <w:lang w:val="en-GB"/>
        </w:rPr>
        <w:t xml:space="preserve"> and </w:t>
      </w:r>
      <w:r w:rsidRPr="00DF121B">
        <w:rPr>
          <w:rFonts w:ascii="Arial" w:hAnsi="Arial" w:cs="Arial"/>
          <w:sz w:val="22"/>
          <w:szCs w:val="22"/>
          <w:lang w:val="en-GB"/>
        </w:rPr>
        <w:t>Munoz</w:t>
      </w:r>
      <w:r w:rsidR="004222F0" w:rsidRPr="00DF121B">
        <w:rPr>
          <w:rFonts w:ascii="Arial" w:hAnsi="Arial" w:cs="Arial"/>
          <w:sz w:val="22"/>
          <w:szCs w:val="22"/>
          <w:lang w:val="en-GB"/>
        </w:rPr>
        <w:t xml:space="preserve">, </w:t>
      </w:r>
      <w:r w:rsidRPr="00DF121B">
        <w:rPr>
          <w:rFonts w:ascii="Arial" w:hAnsi="Arial" w:cs="Arial"/>
          <w:sz w:val="22"/>
          <w:szCs w:val="22"/>
          <w:lang w:val="en-GB"/>
        </w:rPr>
        <w:t>2016</w:t>
      </w:r>
      <w:r w:rsidR="004222F0" w:rsidRPr="00DF121B">
        <w:rPr>
          <w:rFonts w:ascii="Arial" w:hAnsi="Arial" w:cs="Arial"/>
          <w:sz w:val="22"/>
          <w:szCs w:val="22"/>
          <w:lang w:val="en-GB"/>
        </w:rPr>
        <w:t>. P. 19</w:t>
      </w:r>
      <w:r w:rsidRPr="00DF121B">
        <w:rPr>
          <w:rFonts w:ascii="Arial" w:hAnsi="Arial" w:cs="Arial"/>
          <w:sz w:val="22"/>
          <w:szCs w:val="22"/>
          <w:lang w:val="en-GB"/>
        </w:rPr>
        <w:t xml:space="preserve">). Consequently, the massive use of these devices in school by the students and the same staff who cannot get enough, has caused a new word and culture to develop. The culture of “M-learning” (p.21) allows the teacher to share content that can be opened and read anywhere at any time. This brings schools and learning to a different level and makes it more practical and approachable for everyone. At the same time the issues reported by this article are the same as previously analysed and which triggered the critical incident. Allowing M-learning or adopting the BYOD policy (bring your own device) (p.20) is a sort of silent permission to the students to text in class, raising the likelihood to hear mobiles ringing during a lesson, distracting the audience and reducing the concentration of every student. Concerning the health, literacy and communication areas, different problems have been considered in this article such as cyberbullying, cheating and sexting. These three new phenomena heavily affect pupils of new generations, the so-called millennials, and are considered a sort of </w:t>
      </w:r>
      <w:r w:rsidRPr="00DF121B">
        <w:rPr>
          <w:rFonts w:ascii="Arial" w:hAnsi="Arial" w:cs="Arial"/>
          <w:i/>
          <w:iCs/>
          <w:sz w:val="22"/>
          <w:szCs w:val="22"/>
          <w:lang w:val="en-GB"/>
        </w:rPr>
        <w:t>pass par tout</w:t>
      </w:r>
      <w:r w:rsidRPr="00DF121B">
        <w:rPr>
          <w:rFonts w:ascii="Arial" w:hAnsi="Arial" w:cs="Arial"/>
          <w:sz w:val="22"/>
          <w:szCs w:val="22"/>
          <w:lang w:val="en-GB"/>
        </w:rPr>
        <w:t xml:space="preserve"> for mental illnesses that in this period seem more common than ever. Nevertheless, these are not the only concerns to come from this article. Introducing mobile phones developed a new way of communication, “texting”, which in turn developed a new way of writing, a faster way which involves abbreviations, predictive-texting and laziness. This is a massive problem for the literacy field. Also, according to students themselves, cheating can badly affect exam results and does not help to develop critical thinking. (p.23)   </w:t>
      </w:r>
    </w:p>
    <w:p w:rsidR="00FC2BA0" w:rsidRPr="00DF121B" w:rsidRDefault="00FC2BA0" w:rsidP="004222F0">
      <w:pPr>
        <w:pStyle w:val="AssignSubHeader"/>
        <w:jc w:val="both"/>
      </w:pPr>
    </w:p>
    <w:p w:rsidR="00FC2BA0" w:rsidRPr="00DF121B" w:rsidRDefault="00FC2BA0" w:rsidP="004222F0">
      <w:pPr>
        <w:pStyle w:val="AssignSubHeader"/>
        <w:jc w:val="both"/>
      </w:pPr>
      <w:r w:rsidRPr="00DF121B">
        <w:t>R</w:t>
      </w:r>
      <w:r w:rsidRPr="00DF121B">
        <w:t>eflection</w:t>
      </w:r>
      <w:r w:rsidRPr="00DF121B">
        <w:t xml:space="preserve"> and </w:t>
      </w:r>
      <w:r w:rsidRPr="00DF121B">
        <w:t xml:space="preserve">evaluation </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This critical incident has been hard to spot and to choose as the context is different from a normal school. The use of mobile phones is allowed and most of the time is welcomed in class because it is considered useful for developing some concepts and helping students learn languages like in this specific case. According to my observation and after a discussion with the teacher is clear how this piece of technology is considered more advantageous than a problem. Most students respect the boundaries, especially in the French class observed. The students’ motivation is clear, and only a few times they have been distracted by the mobiles. I would say that in this precise incident the teacher has a fundamental role, as a supervisor and a moderator. The lecturer is aware of the different benefits a phone can provide. Aware of that, their presence and use </w:t>
      </w:r>
      <w:r w:rsidR="00DF121B" w:rsidRPr="00DF121B">
        <w:rPr>
          <w:rFonts w:ascii="Arial" w:hAnsi="Arial" w:cs="Arial"/>
          <w:sz w:val="22"/>
          <w:szCs w:val="22"/>
          <w:lang w:val="en-GB"/>
        </w:rPr>
        <w:t>are</w:t>
      </w:r>
      <w:r w:rsidRPr="00DF121B">
        <w:rPr>
          <w:rFonts w:ascii="Arial" w:hAnsi="Arial" w:cs="Arial"/>
          <w:sz w:val="22"/>
          <w:szCs w:val="22"/>
          <w:lang w:val="en-GB"/>
        </w:rPr>
        <w:t xml:space="preserve"> allowed in class, </w:t>
      </w:r>
      <w:r w:rsidRPr="00DF121B">
        <w:rPr>
          <w:rFonts w:ascii="Arial" w:hAnsi="Arial" w:cs="Arial"/>
          <w:sz w:val="22"/>
          <w:szCs w:val="22"/>
          <w:lang w:val="en-GB"/>
        </w:rPr>
        <w:lastRenderedPageBreak/>
        <w:t xml:space="preserve">as a consequence of this permission the teacher is required to stand constantly and check that the class is actually using the devices for the translation provided. Nevertheless, the incident takes place because it has been built an environment of trust which is quite relaxed as well which may have in my opinion permit the student to relax and lessens the fear of any consequences they could face. A relevant part of the case is that the teacher is probably aware of what is going on, nevertheless decides to keep going with his reading task ignoring their distraction. In my opinion, this shows how the teacher knows his students and how he knows that that little distraction is not going to affect their work, or maybe it has been ignored as to not further distract the rest of the class. There is another article about this and more specifically about the use of mobile phones by EFL students. A research was conducted amongst 84 tertiary EFL students who have given their ideas about the use of mobile phones and its utility in a language class. They stated that the use of mobile phones to research unknown words allows them save time and is considered “convenient” (Hsin-Hui </w:t>
      </w:r>
      <w:r w:rsidR="004222F0" w:rsidRPr="00DF121B">
        <w:rPr>
          <w:rFonts w:ascii="Arial" w:hAnsi="Arial" w:cs="Arial"/>
          <w:sz w:val="22"/>
          <w:szCs w:val="22"/>
          <w:lang w:val="en-GB"/>
        </w:rPr>
        <w:t>et al.</w:t>
      </w:r>
      <w:r w:rsidRPr="00DF121B">
        <w:rPr>
          <w:rFonts w:ascii="Arial" w:hAnsi="Arial" w:cs="Arial"/>
          <w:sz w:val="22"/>
          <w:szCs w:val="22"/>
          <w:lang w:val="en-GB"/>
        </w:rPr>
        <w:t>2014). These researchers have followed the same criteria showed by the TAM model and have been able to consider the different intentions of the students. The majority of them have already specified that using the mobile phone as a device to look up new words is certainly going to be a future intention. The M-learning in this survey is highly approved by the students and the results they gave through their replies. At the same time is important to consider that the students interviewed were Taiwanese learning English, the culture and the class management could be different and could also result as ineffective in UK schools. Nevertheless, according to another study lead by Thomas and Munoz, students respond positively to the statements “I support the use of mobile phones in the classroom” and “I think mobile phones support students learning”. In their survey the students admitted that the use of mobile phone was not only necessary as a support for a foreign language, but useful and practical as a calculator, clock/timer, calendar and for internet access (p.26). Furthermore, they were asked of any potential barriers to using mobile phones in the classroom, with 50% of them highlighting the ringing tone of the devices being a problem. Any other barrier such as texts, cheating and cyberbullying has been considered as secondary or less worrying than the noise of the mobile ringing during the class. (Thomas</w:t>
      </w:r>
      <w:r w:rsidR="004222F0" w:rsidRPr="00DF121B">
        <w:rPr>
          <w:rFonts w:ascii="Arial" w:hAnsi="Arial" w:cs="Arial"/>
          <w:sz w:val="22"/>
          <w:szCs w:val="22"/>
          <w:lang w:val="en-GB"/>
        </w:rPr>
        <w:t xml:space="preserve"> and </w:t>
      </w:r>
      <w:r w:rsidRPr="00DF121B">
        <w:rPr>
          <w:rFonts w:ascii="Arial" w:hAnsi="Arial" w:cs="Arial"/>
          <w:sz w:val="22"/>
          <w:szCs w:val="22"/>
          <w:lang w:val="en-GB"/>
        </w:rPr>
        <w:t>Munoz, p. 27)</w:t>
      </w:r>
    </w:p>
    <w:p w:rsidR="00FC2BA0" w:rsidRPr="00DF121B" w:rsidRDefault="00FC2BA0" w:rsidP="004222F0">
      <w:pPr>
        <w:pStyle w:val="NormalWeb"/>
        <w:spacing w:line="360" w:lineRule="auto"/>
        <w:jc w:val="both"/>
        <w:rPr>
          <w:rFonts w:ascii="Arial" w:hAnsi="Arial" w:cs="Arial"/>
          <w:b/>
          <w:bCs/>
          <w:i/>
          <w:iCs/>
          <w:sz w:val="28"/>
          <w:szCs w:val="28"/>
          <w:lang w:val="en-GB"/>
        </w:rPr>
      </w:pPr>
    </w:p>
    <w:p w:rsidR="00FC2BA0" w:rsidRPr="00DF121B" w:rsidRDefault="00FC2BA0" w:rsidP="004222F0">
      <w:pPr>
        <w:pStyle w:val="NormalWeb"/>
        <w:spacing w:line="360" w:lineRule="auto"/>
        <w:jc w:val="both"/>
        <w:rPr>
          <w:rFonts w:ascii="Arial" w:hAnsi="Arial" w:cs="Arial"/>
          <w:b/>
          <w:bCs/>
          <w:i/>
          <w:iCs/>
          <w:sz w:val="28"/>
          <w:szCs w:val="28"/>
          <w:lang w:val="en-GB"/>
        </w:rPr>
      </w:pPr>
      <w:r w:rsidRPr="00DF121B">
        <w:rPr>
          <w:rFonts w:ascii="Arial" w:hAnsi="Arial" w:cs="Arial"/>
          <w:b/>
          <w:bCs/>
          <w:i/>
          <w:iCs/>
          <w:sz w:val="28"/>
          <w:szCs w:val="28"/>
          <w:lang w:val="en-GB"/>
        </w:rPr>
        <w:t>CONCLUSION</w:t>
      </w:r>
    </w:p>
    <w:p w:rsidR="00FC2BA0" w:rsidRPr="00DF121B" w:rsidRDefault="00FC2BA0" w:rsidP="004222F0">
      <w:pPr>
        <w:pStyle w:val="NormalWeb"/>
        <w:spacing w:line="360" w:lineRule="auto"/>
        <w:jc w:val="both"/>
        <w:rPr>
          <w:rFonts w:ascii="Arial" w:hAnsi="Arial" w:cs="Arial"/>
          <w:b/>
          <w:bCs/>
          <w:i/>
          <w:iCs/>
          <w:sz w:val="28"/>
          <w:szCs w:val="28"/>
          <w:lang w:val="en-GB"/>
        </w:rPr>
      </w:pPr>
      <w:r w:rsidRPr="00DF121B">
        <w:rPr>
          <w:rFonts w:ascii="Arial" w:hAnsi="Arial" w:cs="Arial"/>
          <w:sz w:val="22"/>
          <w:szCs w:val="22"/>
          <w:lang w:val="en-GB"/>
        </w:rPr>
        <w:t xml:space="preserve">In conclusion I think is safe to say that the technology itself like computers, interactive boards and iPad, have been largely accepted by all schools in the UK. On the contrary what is still contradictory is the use and the introduction of mobile phones. In general, their use in schools involving pupils from 3 to 16 years are banned and the use of them is even considered dangerous and damaging for during this particular period of growth. According to the readings and the different sources used in this essay, it is possible to state that in further education between the ages 16-18, mobile phones do </w:t>
      </w:r>
      <w:r w:rsidRPr="00DF121B">
        <w:rPr>
          <w:rFonts w:ascii="Arial" w:hAnsi="Arial" w:cs="Arial"/>
          <w:sz w:val="22"/>
          <w:szCs w:val="22"/>
          <w:lang w:val="en-GB"/>
        </w:rPr>
        <w:lastRenderedPageBreak/>
        <w:t>not have an impact. However, the presence of these devices can help students with tasks and in languages to rapidly develop a larger vocabulary in the target language. In this specific case, where society is dealing and adapting to the use of the technology, the school is doing the same and mobiles are a part of this new revolution.  All that is left to do is to take care and instruct the reflective practitioners which, thankfully to the new curriculum, will have the right tools to deal with this problem. The reflective practitioner is a new identity capable of discerning different situations, dealing with any inconveniences and accepting the change as a “reflective practice is the ability to reflect on an action so as to engage in a process of continuous learning” (Mathew</w:t>
      </w:r>
      <w:r w:rsidR="004222F0" w:rsidRPr="00DF121B">
        <w:rPr>
          <w:rFonts w:ascii="Arial" w:hAnsi="Arial" w:cs="Arial"/>
          <w:sz w:val="22"/>
          <w:szCs w:val="22"/>
          <w:lang w:val="en-GB"/>
        </w:rPr>
        <w:t xml:space="preserve"> et al. </w:t>
      </w:r>
      <w:r w:rsidRPr="00DF121B">
        <w:rPr>
          <w:rFonts w:ascii="Arial" w:hAnsi="Arial" w:cs="Arial"/>
          <w:sz w:val="22"/>
          <w:szCs w:val="22"/>
          <w:lang w:val="en-GB"/>
        </w:rPr>
        <w:t xml:space="preserve">2017).  Also, the new professional standards for teaching and leadership will figure fundamentally in taking care of students and their different minds.  </w:t>
      </w:r>
      <w:r w:rsidR="00CA15F2">
        <w:rPr>
          <w:rFonts w:ascii="Arial" w:hAnsi="Arial" w:cs="Arial"/>
          <w:sz w:val="22"/>
          <w:szCs w:val="22"/>
          <w:lang w:val="en-GB"/>
        </w:rPr>
        <w:t>It is possible to notice with the use of the ARC model that it is becoming easier for teachers to improve their own methods of teaching, and also to realise themselves how the environment in the classroom is working. This better helps students in need, and also those who require more material because they work at a faster or higher standard than the rest of the class (</w:t>
      </w:r>
      <w:r w:rsidR="00CA15F2">
        <w:rPr>
          <w:rFonts w:ascii="Arial" w:hAnsi="Arial" w:cs="Arial"/>
          <w:sz w:val="22"/>
          <w:szCs w:val="22"/>
          <w:lang w:val="en-GB"/>
        </w:rPr>
        <w:fldChar w:fldCharType="begin"/>
      </w:r>
      <w:r w:rsidR="00CA15F2">
        <w:rPr>
          <w:rFonts w:ascii="Arial" w:hAnsi="Arial" w:cs="Arial"/>
          <w:sz w:val="22"/>
          <w:szCs w:val="22"/>
          <w:lang w:val="en-GB"/>
        </w:rPr>
        <w:instrText xml:space="preserve"> PAGEREF ARC \h </w:instrText>
      </w:r>
      <w:r w:rsidR="00CA15F2">
        <w:rPr>
          <w:rFonts w:ascii="Arial" w:hAnsi="Arial" w:cs="Arial"/>
          <w:sz w:val="22"/>
          <w:szCs w:val="22"/>
          <w:lang w:val="en-GB"/>
        </w:rPr>
      </w:r>
      <w:r w:rsidR="00CA15F2">
        <w:rPr>
          <w:rFonts w:ascii="Arial" w:hAnsi="Arial" w:cs="Arial"/>
          <w:sz w:val="22"/>
          <w:szCs w:val="22"/>
          <w:lang w:val="en-GB"/>
        </w:rPr>
        <w:fldChar w:fldCharType="separate"/>
      </w:r>
      <w:r w:rsidR="00CA15F2">
        <w:rPr>
          <w:rFonts w:ascii="Arial" w:hAnsi="Arial" w:cs="Arial"/>
          <w:noProof/>
          <w:sz w:val="22"/>
          <w:szCs w:val="22"/>
          <w:lang w:val="en-GB"/>
        </w:rPr>
        <w:t>22</w:t>
      </w:r>
      <w:r w:rsidR="00CA15F2">
        <w:rPr>
          <w:rFonts w:ascii="Arial" w:hAnsi="Arial" w:cs="Arial"/>
          <w:sz w:val="22"/>
          <w:szCs w:val="22"/>
          <w:lang w:val="en-GB"/>
        </w:rPr>
        <w:fldChar w:fldCharType="end"/>
      </w:r>
      <w:r w:rsidR="00CA15F2">
        <w:rPr>
          <w:rFonts w:ascii="Arial" w:hAnsi="Arial" w:cs="Arial"/>
          <w:sz w:val="22"/>
          <w:szCs w:val="22"/>
          <w:lang w:val="en-GB"/>
        </w:rPr>
        <w:t>).</w:t>
      </w:r>
    </w:p>
    <w:p w:rsidR="0040509F" w:rsidRPr="00DF121B" w:rsidRDefault="0040509F"/>
    <w:p w:rsidR="004222F0" w:rsidRPr="00DF121B" w:rsidRDefault="004222F0"/>
    <w:p w:rsidR="004222F0" w:rsidRPr="00DF121B" w:rsidRDefault="004222F0"/>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4222F0" w:rsidRPr="00DF121B" w:rsidRDefault="004222F0" w:rsidP="00145A6B">
      <w:pPr>
        <w:rPr>
          <w:rFonts w:ascii="Arial" w:hAnsi="Arial" w:cs="Arial"/>
          <w:b/>
          <w:bCs/>
          <w:i/>
          <w:iCs/>
          <w:sz w:val="28"/>
          <w:szCs w:val="28"/>
        </w:rPr>
      </w:pPr>
      <w:r w:rsidRPr="00DF121B">
        <w:rPr>
          <w:rFonts w:ascii="Arial" w:hAnsi="Arial" w:cs="Arial"/>
          <w:b/>
          <w:bCs/>
          <w:i/>
          <w:iCs/>
          <w:sz w:val="28"/>
          <w:szCs w:val="28"/>
        </w:rPr>
        <w:lastRenderedPageBreak/>
        <w:t xml:space="preserve">SOURCES: </w:t>
      </w:r>
    </w:p>
    <w:p w:rsidR="004222F0" w:rsidRPr="00DF121B" w:rsidRDefault="004222F0" w:rsidP="004222F0">
      <w:pPr>
        <w:spacing w:line="360" w:lineRule="auto"/>
        <w:rPr>
          <w:rFonts w:ascii="Arial" w:eastAsia="Times New Roman" w:hAnsi="Arial" w:cs="Arial"/>
          <w:sz w:val="22"/>
          <w:szCs w:val="22"/>
          <w:shd w:val="clear" w:color="auto" w:fill="FFFFFF"/>
          <w:lang w:eastAsia="en-GB"/>
        </w:rPr>
      </w:pPr>
    </w:p>
    <w:p w:rsidR="008D2F9F" w:rsidRPr="00DF121B" w:rsidRDefault="008D2F9F" w:rsidP="008D2F9F">
      <w:pPr>
        <w:pStyle w:val="ListParagraph"/>
        <w:numPr>
          <w:ilvl w:val="0"/>
          <w:numId w:val="1"/>
        </w:numPr>
        <w:autoSpaceDE w:val="0"/>
        <w:autoSpaceDN w:val="0"/>
        <w:adjustRightInd w:val="0"/>
        <w:spacing w:line="360" w:lineRule="auto"/>
        <w:jc w:val="both"/>
        <w:rPr>
          <w:rFonts w:ascii="Arial" w:hAnsi="Arial" w:cs="Arial"/>
          <w:sz w:val="22"/>
          <w:szCs w:val="22"/>
        </w:rPr>
      </w:pPr>
      <w:r w:rsidRPr="00DF121B">
        <w:rPr>
          <w:rFonts w:ascii="Arial" w:hAnsi="Arial" w:cs="Arial"/>
          <w:sz w:val="22"/>
          <w:szCs w:val="22"/>
        </w:rPr>
        <w:t xml:space="preserve">Baker, L. (2006). </w:t>
      </w:r>
      <w:r w:rsidRPr="00DF121B">
        <w:rPr>
          <w:rFonts w:ascii="Arial" w:hAnsi="Arial" w:cs="Arial"/>
          <w:i/>
          <w:iCs/>
          <w:sz w:val="22"/>
          <w:szCs w:val="22"/>
        </w:rPr>
        <w:t xml:space="preserve">Observation: A complex research method. </w:t>
      </w:r>
      <w:r w:rsidRPr="00DF121B">
        <w:rPr>
          <w:rFonts w:ascii="Arial" w:hAnsi="Arial" w:cs="Arial"/>
          <w:sz w:val="22"/>
          <w:szCs w:val="22"/>
        </w:rPr>
        <w:t xml:space="preserve">Johns Hopkins University Press, Volume 55, pp. 171-189.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Banjerjee, R. Available at: </w:t>
      </w:r>
      <w:hyperlink r:id="rId9" w:history="1">
        <w:r w:rsidRPr="00DF121B">
          <w:rPr>
            <w:rStyle w:val="Hyperlink"/>
            <w:rFonts w:ascii="Arial" w:eastAsia="Times New Roman" w:hAnsi="Arial" w:cs="Arial"/>
            <w:sz w:val="22"/>
            <w:szCs w:val="22"/>
            <w:shd w:val="clear" w:color="auto" w:fill="FFFFFF"/>
            <w:lang w:eastAsia="en-GB"/>
          </w:rPr>
          <w:t>http://users.sussex.</w:t>
        </w:r>
        <w:r w:rsidRPr="00DF121B">
          <w:rPr>
            <w:rStyle w:val="Hyperlink"/>
            <w:rFonts w:ascii="Arial" w:eastAsia="Times New Roman" w:hAnsi="Arial" w:cs="Arial"/>
            <w:sz w:val="22"/>
            <w:szCs w:val="22"/>
            <w:shd w:val="clear" w:color="auto" w:fill="FFFFFF"/>
            <w:lang w:eastAsia="en-GB"/>
          </w:rPr>
          <w:t>a</w:t>
        </w:r>
        <w:r w:rsidRPr="00DF121B">
          <w:rPr>
            <w:rStyle w:val="Hyperlink"/>
            <w:rFonts w:ascii="Arial" w:eastAsia="Times New Roman" w:hAnsi="Arial" w:cs="Arial"/>
            <w:sz w:val="22"/>
            <w:szCs w:val="22"/>
            <w:shd w:val="clear" w:color="auto" w:fill="FFFFFF"/>
            <w:lang w:eastAsia="en-GB"/>
          </w:rPr>
          <w:t>c.uk/~robinb/socio.html</w:t>
        </w:r>
      </w:hyperlink>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hAnsi="Arial" w:cs="Arial"/>
          <w:sz w:val="22"/>
          <w:szCs w:val="22"/>
        </w:rPr>
        <w:t xml:space="preserve">BBC London (2019). </w:t>
      </w:r>
      <w:r w:rsidRPr="00DF121B">
        <w:rPr>
          <w:rFonts w:ascii="Arial" w:hAnsi="Arial" w:cs="Arial"/>
          <w:i/>
          <w:iCs/>
          <w:sz w:val="22"/>
          <w:szCs w:val="22"/>
        </w:rPr>
        <w:t xml:space="preserve">Smartphones &amp; Digital Detox at Michaela. </w:t>
      </w:r>
      <w:r w:rsidRPr="00DF121B">
        <w:rPr>
          <w:rFonts w:ascii="Arial" w:hAnsi="Arial" w:cs="Arial"/>
          <w:sz w:val="22"/>
          <w:szCs w:val="22"/>
        </w:rPr>
        <w:t xml:space="preserve">[YouTube video]. Available at: </w:t>
      </w:r>
      <w:hyperlink r:id="rId10" w:history="1">
        <w:r w:rsidRPr="00DF121B">
          <w:rPr>
            <w:rStyle w:val="Hyperlink"/>
            <w:rFonts w:ascii="Arial" w:hAnsi="Arial" w:cs="Arial"/>
            <w:sz w:val="22"/>
            <w:szCs w:val="22"/>
          </w:rPr>
          <w:t>https://www.youtube.com/watch?v=dSQhUhhe1Co</w:t>
        </w:r>
      </w:hyperlink>
      <w:r w:rsidRPr="00DF121B">
        <w:rPr>
          <w:rFonts w:ascii="Arial" w:hAnsi="Arial" w:cs="Arial"/>
          <w:sz w:val="22"/>
          <w:szCs w:val="22"/>
        </w:rPr>
        <w:t xml:space="preserve"> [Accessed 6 October 2019].</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Beland, LP., Murphy, R. (2015). </w:t>
      </w:r>
      <w:r w:rsidRPr="00DF121B">
        <w:rPr>
          <w:rFonts w:ascii="Arial" w:eastAsia="Times New Roman" w:hAnsi="Arial" w:cs="Arial"/>
          <w:i/>
          <w:iCs/>
          <w:color w:val="000000"/>
          <w:sz w:val="22"/>
          <w:szCs w:val="22"/>
          <w:lang w:eastAsia="en-GB"/>
        </w:rPr>
        <w:t>III Communication: Technology, Distraction &amp; Student performance</w:t>
      </w:r>
      <w:r w:rsidRPr="00DF121B">
        <w:rPr>
          <w:rFonts w:ascii="Arial" w:eastAsia="Times New Roman" w:hAnsi="Arial" w:cs="Arial"/>
          <w:color w:val="000000"/>
          <w:sz w:val="22"/>
          <w:szCs w:val="22"/>
          <w:lang w:eastAsia="en-GB"/>
        </w:rPr>
        <w:t xml:space="preserve">. CEP discussion paper No 1350. Centre for economic performance. Available at: </w:t>
      </w:r>
      <w:r w:rsidRPr="00DF121B">
        <w:rPr>
          <w:rFonts w:ascii="Arial" w:eastAsia="Times New Roman" w:hAnsi="Arial" w:cs="Arial"/>
          <w:color w:val="000000"/>
          <w:sz w:val="22"/>
          <w:szCs w:val="22"/>
          <w:lang w:eastAsia="en-GB"/>
        </w:rPr>
        <w:fldChar w:fldCharType="begin"/>
      </w:r>
      <w:r w:rsidRPr="00DF121B">
        <w:rPr>
          <w:rFonts w:ascii="Arial" w:eastAsia="Times New Roman" w:hAnsi="Arial" w:cs="Arial"/>
          <w:color w:val="000000"/>
          <w:sz w:val="22"/>
          <w:szCs w:val="22"/>
          <w:lang w:eastAsia="en-GB"/>
        </w:rPr>
        <w:instrText xml:space="preserve"> HYPERLINK "https://cep.lse.ac.uk/pubs/download/dp1350.pdf" </w:instrText>
      </w:r>
      <w:r w:rsidRPr="00DF121B">
        <w:rPr>
          <w:rFonts w:ascii="Arial" w:eastAsia="Times New Roman" w:hAnsi="Arial" w:cs="Arial"/>
          <w:color w:val="000000"/>
          <w:sz w:val="22"/>
          <w:szCs w:val="22"/>
          <w:lang w:eastAsia="en-GB"/>
        </w:rPr>
        <w:fldChar w:fldCharType="separate"/>
      </w:r>
      <w:r w:rsidRPr="00DF121B">
        <w:rPr>
          <w:rStyle w:val="Hyperlink"/>
          <w:rFonts w:ascii="Arial" w:eastAsia="Times New Roman" w:hAnsi="Arial" w:cs="Arial"/>
          <w:sz w:val="22"/>
          <w:szCs w:val="22"/>
          <w:lang w:eastAsia="en-GB"/>
        </w:rPr>
        <w:t>https://cep.lse.ac.uk/pubs/download/dp1350.pdf</w:t>
      </w:r>
      <w:r w:rsidRPr="00DF121B">
        <w:rPr>
          <w:rFonts w:ascii="Arial" w:eastAsia="Times New Roman" w:hAnsi="Arial" w:cs="Arial"/>
          <w:color w:val="000000"/>
          <w:sz w:val="22"/>
          <w:szCs w:val="22"/>
          <w:lang w:eastAsia="en-GB"/>
        </w:rPr>
        <w:fldChar w:fldCharType="end"/>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 10 October 2019). </w:t>
      </w:r>
    </w:p>
    <w:p w:rsidR="008D2F9F" w:rsidRPr="00DF121B" w:rsidRDefault="008D2F9F" w:rsidP="008D2F9F">
      <w:pPr>
        <w:pStyle w:val="ListParagraph"/>
        <w:numPr>
          <w:ilvl w:val="0"/>
          <w:numId w:val="1"/>
        </w:numPr>
        <w:autoSpaceDE w:val="0"/>
        <w:autoSpaceDN w:val="0"/>
        <w:adjustRightInd w:val="0"/>
        <w:spacing w:line="360" w:lineRule="auto"/>
        <w:jc w:val="both"/>
        <w:rPr>
          <w:rFonts w:ascii="Arial" w:hAnsi="Arial" w:cs="Arial"/>
          <w:sz w:val="22"/>
          <w:szCs w:val="22"/>
        </w:rPr>
      </w:pPr>
      <w:r w:rsidRPr="00DF121B">
        <w:rPr>
          <w:rFonts w:ascii="Arial" w:hAnsi="Arial" w:cs="Arial"/>
          <w:sz w:val="22"/>
          <w:szCs w:val="22"/>
        </w:rPr>
        <w:t xml:space="preserve">Bogen, J. (2017). </w:t>
      </w:r>
      <w:r w:rsidRPr="00DF121B">
        <w:rPr>
          <w:rFonts w:ascii="Arial" w:hAnsi="Arial" w:cs="Arial"/>
          <w:i/>
          <w:iCs/>
          <w:sz w:val="22"/>
          <w:szCs w:val="22"/>
        </w:rPr>
        <w:t>Theory and Observation in Science</w:t>
      </w:r>
      <w:r w:rsidRPr="00DF121B">
        <w:rPr>
          <w:rFonts w:ascii="Arial" w:hAnsi="Arial" w:cs="Arial"/>
          <w:sz w:val="22"/>
          <w:szCs w:val="22"/>
        </w:rPr>
        <w:t xml:space="preserve">. The Stanford </w:t>
      </w:r>
      <w:r w:rsidR="00DF121B" w:rsidRPr="00DF121B">
        <w:rPr>
          <w:rFonts w:ascii="Arial" w:hAnsi="Arial" w:cs="Arial"/>
          <w:sz w:val="22"/>
          <w:szCs w:val="22"/>
        </w:rPr>
        <w:t>Encyclopaedia</w:t>
      </w:r>
      <w:r w:rsidRPr="00DF121B">
        <w:rPr>
          <w:rFonts w:ascii="Arial" w:hAnsi="Arial" w:cs="Arial"/>
          <w:sz w:val="22"/>
          <w:szCs w:val="22"/>
        </w:rPr>
        <w:t xml:space="preserve"> of Edward N. Zalta (ed.). available at: </w:t>
      </w:r>
    </w:p>
    <w:p w:rsidR="008D2F9F" w:rsidRPr="00DF121B" w:rsidRDefault="008D2F9F" w:rsidP="008D2F9F">
      <w:pPr>
        <w:pStyle w:val="ListParagraph"/>
        <w:autoSpaceDE w:val="0"/>
        <w:autoSpaceDN w:val="0"/>
        <w:adjustRightInd w:val="0"/>
        <w:spacing w:line="360" w:lineRule="auto"/>
        <w:jc w:val="both"/>
        <w:rPr>
          <w:rFonts w:ascii="Arial" w:hAnsi="Arial" w:cs="Arial"/>
          <w:sz w:val="22"/>
          <w:szCs w:val="22"/>
        </w:rPr>
      </w:pPr>
      <w:hyperlink r:id="rId11" w:history="1">
        <w:r w:rsidRPr="00DF121B">
          <w:rPr>
            <w:rStyle w:val="Hyperlink"/>
            <w:rFonts w:ascii="Arial" w:hAnsi="Arial" w:cs="Arial"/>
            <w:sz w:val="22"/>
            <w:szCs w:val="22"/>
          </w:rPr>
          <w:t>https://plato.stanford.edu/archives/sum2017/entries/science-theory-observation/</w:t>
        </w:r>
      </w:hyperlink>
      <w:r w:rsidRPr="00DF121B">
        <w:rPr>
          <w:rFonts w:ascii="Arial" w:hAnsi="Arial" w:cs="Arial"/>
          <w:sz w:val="22"/>
          <w:szCs w:val="22"/>
        </w:rPr>
        <w:t>.</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British educational research association, [Bera] (2018). </w:t>
      </w:r>
      <w:r w:rsidRPr="00DF121B">
        <w:rPr>
          <w:rFonts w:ascii="Arial" w:hAnsi="Arial" w:cs="Arial"/>
          <w:i/>
          <w:iCs/>
          <w:sz w:val="22"/>
          <w:szCs w:val="22"/>
        </w:rPr>
        <w:t>Ethical guidelines for Educational Research</w:t>
      </w:r>
      <w:r w:rsidRPr="00DF121B">
        <w:rPr>
          <w:rFonts w:ascii="Arial" w:hAnsi="Arial" w:cs="Arial"/>
          <w:sz w:val="22"/>
          <w:szCs w:val="22"/>
        </w:rPr>
        <w:t xml:space="preserve">. SAGE.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Brookfield, SD. (1995). </w:t>
      </w:r>
      <w:r w:rsidRPr="00DF121B">
        <w:rPr>
          <w:rFonts w:ascii="Arial" w:eastAsia="Times New Roman" w:hAnsi="Arial" w:cs="Arial"/>
          <w:i/>
          <w:iCs/>
          <w:sz w:val="22"/>
          <w:szCs w:val="22"/>
          <w:shd w:val="clear" w:color="auto" w:fill="FFFFFF"/>
          <w:lang w:eastAsia="en-GB"/>
        </w:rPr>
        <w:t xml:space="preserve">Becoming a critically reflective teacher. </w:t>
      </w:r>
      <w:r w:rsidRPr="00DF121B">
        <w:rPr>
          <w:rFonts w:ascii="Arial" w:eastAsia="Times New Roman" w:hAnsi="Arial" w:cs="Arial"/>
          <w:sz w:val="22"/>
          <w:szCs w:val="22"/>
          <w:shd w:val="clear" w:color="auto" w:fill="FFFFFF"/>
          <w:lang w:eastAsia="en-GB"/>
        </w:rPr>
        <w:t xml:space="preserve">San Francisco: Jossey-Bass. </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Chung, HH., Chen, SC., Kuo, MH. (2014). </w:t>
      </w:r>
      <w:r w:rsidRPr="00DF121B">
        <w:rPr>
          <w:rFonts w:ascii="Arial" w:eastAsia="Times New Roman" w:hAnsi="Arial" w:cs="Arial"/>
          <w:i/>
          <w:iCs/>
          <w:color w:val="000000"/>
          <w:sz w:val="22"/>
          <w:szCs w:val="22"/>
          <w:lang w:eastAsia="en-GB"/>
        </w:rPr>
        <w:t xml:space="preserve">A study of EFL college students’ acceptance of mobile learning. </w:t>
      </w:r>
      <w:r w:rsidRPr="00DF121B">
        <w:rPr>
          <w:rFonts w:ascii="Arial" w:eastAsia="Times New Roman" w:hAnsi="Arial" w:cs="Arial"/>
          <w:color w:val="000000"/>
          <w:sz w:val="22"/>
          <w:szCs w:val="22"/>
          <w:lang w:eastAsia="en-GB"/>
        </w:rPr>
        <w:t xml:space="preserve">Procedia Social and </w:t>
      </w:r>
      <w:r w:rsidR="00DF121B" w:rsidRPr="00DF121B">
        <w:rPr>
          <w:rFonts w:ascii="Arial" w:eastAsia="Times New Roman" w:hAnsi="Arial" w:cs="Arial"/>
          <w:color w:val="000000"/>
          <w:sz w:val="22"/>
          <w:szCs w:val="22"/>
          <w:lang w:eastAsia="en-GB"/>
        </w:rPr>
        <w:t>Behavioural</w:t>
      </w:r>
      <w:r w:rsidRPr="00DF121B">
        <w:rPr>
          <w:rFonts w:ascii="Arial" w:eastAsia="Times New Roman" w:hAnsi="Arial" w:cs="Arial"/>
          <w:color w:val="000000"/>
          <w:sz w:val="22"/>
          <w:szCs w:val="22"/>
          <w:lang w:eastAsia="en-GB"/>
        </w:rPr>
        <w:t xml:space="preserve"> Sciences, IETIC. Available at: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hyperlink r:id="rId12" w:history="1">
        <w:r w:rsidRPr="00DF121B">
          <w:rPr>
            <w:rStyle w:val="Hyperlink"/>
            <w:rFonts w:ascii="Arial" w:eastAsia="Times New Roman" w:hAnsi="Arial" w:cs="Arial"/>
            <w:sz w:val="22"/>
            <w:szCs w:val="22"/>
            <w:lang w:eastAsia="en-GB"/>
          </w:rPr>
          <w:t>https://reader.elsevier.com/reader/sd/pii/S1877042815005169?token=44DE246CFC2DEFDCB700CF9BC8C2AF4107F1894B65AFD17D9B577436806AEC59E3652D7C060E0F47F66DFD435D29943A</w:t>
        </w:r>
      </w:hyperlink>
      <w:r w:rsidRPr="00DF121B">
        <w:rPr>
          <w:rFonts w:ascii="Arial" w:eastAsia="Times New Roman" w:hAnsi="Arial" w:cs="Arial"/>
          <w:color w:val="000000"/>
          <w:sz w:val="22"/>
          <w:szCs w:val="22"/>
          <w:lang w:eastAsia="en-GB"/>
        </w:rPr>
        <w:t xml:space="preserve">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 10 October 2019). </w:t>
      </w:r>
    </w:p>
    <w:p w:rsidR="008D2F9F" w:rsidRPr="00DF121B" w:rsidRDefault="008D2F9F" w:rsidP="008D2F9F">
      <w:pPr>
        <w:pStyle w:val="ListParagraph"/>
        <w:numPr>
          <w:ilvl w:val="0"/>
          <w:numId w:val="1"/>
        </w:numPr>
        <w:spacing w:line="360" w:lineRule="auto"/>
        <w:jc w:val="both"/>
        <w:rPr>
          <w:rFonts w:ascii="Arial" w:eastAsia="Times New Roman" w:hAnsi="Arial" w:cs="Arial"/>
          <w:i/>
          <w:iCs/>
          <w:color w:val="000000"/>
          <w:sz w:val="22"/>
          <w:szCs w:val="22"/>
          <w:lang w:eastAsia="en-GB"/>
        </w:rPr>
      </w:pPr>
      <w:r w:rsidRPr="00DF121B">
        <w:rPr>
          <w:rFonts w:ascii="Arial" w:eastAsia="Times New Roman" w:hAnsi="Arial" w:cs="Arial"/>
          <w:color w:val="000000"/>
          <w:sz w:val="22"/>
          <w:szCs w:val="22"/>
          <w:lang w:eastAsia="en-GB"/>
        </w:rPr>
        <w:t xml:space="preserve">Chuttur M.Y. (2009). </w:t>
      </w:r>
      <w:r w:rsidRPr="00DF121B">
        <w:rPr>
          <w:rFonts w:ascii="Arial" w:eastAsia="Times New Roman" w:hAnsi="Arial" w:cs="Arial"/>
          <w:i/>
          <w:iCs/>
          <w:color w:val="000000"/>
          <w:sz w:val="22"/>
          <w:szCs w:val="22"/>
          <w:lang w:eastAsia="en-GB"/>
        </w:rPr>
        <w:t>Overview of the Technology Acceptance Model: Origins,</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i/>
          <w:iCs/>
          <w:color w:val="000000"/>
          <w:sz w:val="22"/>
          <w:szCs w:val="22"/>
          <w:lang w:eastAsia="en-GB"/>
        </w:rPr>
        <w:t>Developments and Future Directions</w:t>
      </w:r>
      <w:r w:rsidRPr="00DF121B">
        <w:rPr>
          <w:rFonts w:ascii="Arial" w:eastAsia="Times New Roman" w:hAnsi="Arial" w:cs="Arial"/>
          <w:color w:val="000000"/>
          <w:sz w:val="22"/>
          <w:szCs w:val="22"/>
          <w:lang w:eastAsia="en-GB"/>
        </w:rPr>
        <w:t>. Indiana University, USA. Sprouts: Working Papers</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on Information Systems, 9(37). Available at: </w:t>
      </w:r>
    </w:p>
    <w:p w:rsidR="008D2F9F" w:rsidRPr="00DF121B" w:rsidRDefault="008D2F9F" w:rsidP="008D2F9F">
      <w:pPr>
        <w:spacing w:line="360" w:lineRule="auto"/>
        <w:ind w:left="360"/>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       </w:t>
      </w:r>
      <w:hyperlink r:id="rId13" w:history="1">
        <w:r w:rsidRPr="00DF121B">
          <w:rPr>
            <w:rStyle w:val="Hyperlink"/>
            <w:rFonts w:ascii="Arial" w:eastAsia="Times New Roman" w:hAnsi="Arial" w:cs="Arial"/>
            <w:sz w:val="22"/>
            <w:szCs w:val="22"/>
            <w:lang w:eastAsia="en-GB"/>
          </w:rPr>
          <w:t>http://sprouts.aisnet.org/9-37</w:t>
        </w:r>
      </w:hyperlink>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sz w:val="22"/>
          <w:szCs w:val="22"/>
          <w:lang w:eastAsia="en-GB"/>
        </w:rPr>
        <w:t xml:space="preserve">Cohen, L., Manion, L., &amp; Morrison, K. (2018). </w:t>
      </w:r>
      <w:r w:rsidRPr="00DF121B">
        <w:rPr>
          <w:rFonts w:ascii="Arial" w:eastAsia="Times New Roman" w:hAnsi="Arial" w:cs="Arial"/>
          <w:i/>
          <w:iCs/>
          <w:sz w:val="22"/>
          <w:szCs w:val="22"/>
          <w:lang w:eastAsia="en-GB"/>
        </w:rPr>
        <w:t>Research Methods in Education</w:t>
      </w:r>
      <w:r w:rsidRPr="00DF121B">
        <w:rPr>
          <w:rFonts w:ascii="Arial" w:eastAsia="Times New Roman" w:hAnsi="Arial" w:cs="Arial"/>
          <w:sz w:val="22"/>
          <w:szCs w:val="22"/>
          <w:lang w:eastAsia="en-GB"/>
        </w:rPr>
        <w:t xml:space="preserve">. London: Routledge.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Cotton, DRE., Stokes, A., Cotton, PA. (2010). </w:t>
      </w:r>
      <w:r w:rsidRPr="00DF121B">
        <w:rPr>
          <w:rFonts w:ascii="Arial" w:eastAsia="Times New Roman" w:hAnsi="Arial" w:cs="Arial"/>
          <w:i/>
          <w:iCs/>
          <w:sz w:val="22"/>
          <w:szCs w:val="22"/>
          <w:shd w:val="clear" w:color="auto" w:fill="FFFFFF"/>
          <w:lang w:eastAsia="en-GB"/>
        </w:rPr>
        <w:t xml:space="preserve">Using observational methods to research the student experience. </w:t>
      </w:r>
      <w:r w:rsidRPr="00DF121B">
        <w:rPr>
          <w:rFonts w:ascii="Arial" w:eastAsia="Times New Roman" w:hAnsi="Arial" w:cs="Arial"/>
          <w:sz w:val="22"/>
          <w:szCs w:val="22"/>
          <w:shd w:val="clear" w:color="auto" w:fill="FFFFFF"/>
          <w:lang w:eastAsia="en-GB"/>
        </w:rPr>
        <w:t>Journal of Geography in higher Education, Volume 34, pp. 463-473. Tailor &amp; Francis Group.</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Creswell, J. (2013). </w:t>
      </w:r>
      <w:r w:rsidRPr="00DF121B">
        <w:rPr>
          <w:rFonts w:ascii="Arial" w:hAnsi="Arial" w:cs="Arial"/>
          <w:i/>
          <w:iCs/>
          <w:sz w:val="22"/>
          <w:szCs w:val="22"/>
        </w:rPr>
        <w:t>Research design_ qualitative, quantitative, and mixed methods approaches</w:t>
      </w:r>
      <w:r w:rsidRPr="00DF121B">
        <w:rPr>
          <w:rFonts w:ascii="Arial" w:hAnsi="Arial" w:cs="Arial"/>
          <w:sz w:val="22"/>
          <w:szCs w:val="22"/>
        </w:rPr>
        <w:t xml:space="preserve">. SAGE </w:t>
      </w:r>
      <w:r w:rsidR="00DF121B" w:rsidRPr="00DF121B">
        <w:rPr>
          <w:rFonts w:ascii="Arial" w:hAnsi="Arial" w:cs="Arial"/>
          <w:sz w:val="22"/>
          <w:szCs w:val="22"/>
        </w:rPr>
        <w:t>Publications</w:t>
      </w:r>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rPr>
          <w:rFonts w:ascii="Arial" w:eastAsia="Times New Roman" w:hAnsi="Arial" w:cs="Arial"/>
          <w:sz w:val="22"/>
          <w:szCs w:val="22"/>
          <w:lang w:eastAsia="en-GB"/>
        </w:rPr>
      </w:pPr>
      <w:r w:rsidRPr="00DF121B">
        <w:rPr>
          <w:rFonts w:ascii="Arial" w:eastAsia="Times New Roman" w:hAnsi="Arial" w:cs="Arial"/>
          <w:sz w:val="22"/>
          <w:szCs w:val="22"/>
          <w:lang w:eastAsia="en-GB"/>
        </w:rPr>
        <w:t xml:space="preserve">Davis, F.D., Bagozzi, R.P., Warshaw, P.R. (1989). User acceptance of computer technology: a comparison of two theoretical models. Management Science, Volume 8 (35). ABI/INFORM Global. </w:t>
      </w:r>
    </w:p>
    <w:p w:rsidR="008D2F9F" w:rsidRPr="00DF121B" w:rsidRDefault="008D2F9F" w:rsidP="008D2F9F">
      <w:pPr>
        <w:pStyle w:val="ListParagraph"/>
        <w:numPr>
          <w:ilvl w:val="0"/>
          <w:numId w:val="1"/>
        </w:numPr>
        <w:spacing w:line="360" w:lineRule="auto"/>
        <w:rPr>
          <w:rFonts w:ascii="Arial" w:hAnsi="Arial" w:cs="Arial"/>
          <w:i/>
          <w:iCs/>
          <w:sz w:val="22"/>
          <w:szCs w:val="22"/>
        </w:rPr>
      </w:pPr>
      <w:r w:rsidRPr="00DF121B">
        <w:rPr>
          <w:rFonts w:ascii="Arial" w:hAnsi="Arial" w:cs="Arial"/>
          <w:sz w:val="22"/>
          <w:szCs w:val="22"/>
        </w:rPr>
        <w:t xml:space="preserve">Donaldson, G. (2015). </w:t>
      </w:r>
      <w:r w:rsidRPr="00DF121B">
        <w:rPr>
          <w:rFonts w:ascii="Arial" w:hAnsi="Arial" w:cs="Arial"/>
          <w:i/>
          <w:iCs/>
          <w:sz w:val="22"/>
          <w:szCs w:val="22"/>
        </w:rPr>
        <w:t>Successful Futures.</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lastRenderedPageBreak/>
        <w:t xml:space="preserve">Estyn [2018]. Report for school X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Johnson, B. R., Onwuegbuzie, A.J. (2004). </w:t>
      </w:r>
      <w:r w:rsidRPr="00DF121B">
        <w:rPr>
          <w:rFonts w:ascii="Arial" w:eastAsia="Times New Roman" w:hAnsi="Arial" w:cs="Arial"/>
          <w:i/>
          <w:iCs/>
          <w:sz w:val="22"/>
          <w:szCs w:val="22"/>
          <w:shd w:val="clear" w:color="auto" w:fill="FFFFFF"/>
          <w:lang w:eastAsia="en-GB"/>
        </w:rPr>
        <w:t xml:space="preserve">Mixed Methods Research: a research paradigm whose time has come. </w:t>
      </w:r>
      <w:r w:rsidRPr="00DF121B">
        <w:rPr>
          <w:rFonts w:ascii="Arial" w:eastAsia="Times New Roman" w:hAnsi="Arial" w:cs="Arial"/>
          <w:sz w:val="22"/>
          <w:szCs w:val="22"/>
          <w:shd w:val="clear" w:color="auto" w:fill="FFFFFF"/>
          <w:lang w:eastAsia="en-GB"/>
        </w:rPr>
        <w:t>Educational Researcher, Volume 33, pp. 14-26. The H.W. Wilson Company.</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Jennings. C. Rider, N. Davis, S. (2019). </w:t>
      </w:r>
      <w:r w:rsidRPr="00DF121B">
        <w:rPr>
          <w:rFonts w:ascii="Arial" w:hAnsi="Arial" w:cs="Arial"/>
          <w:i/>
          <w:iCs/>
          <w:sz w:val="22"/>
          <w:szCs w:val="22"/>
        </w:rPr>
        <w:t>What do you see? Observation.</w:t>
      </w:r>
      <w:r w:rsidRPr="00DF121B">
        <w:rPr>
          <w:rFonts w:ascii="Arial" w:hAnsi="Arial" w:cs="Arial"/>
          <w:sz w:val="22"/>
          <w:szCs w:val="22"/>
        </w:rPr>
        <w:t xml:space="preserve"> [</w:t>
      </w:r>
      <w:r w:rsidR="00DF121B" w:rsidRPr="00DF121B">
        <w:rPr>
          <w:rFonts w:ascii="Arial" w:hAnsi="Arial" w:cs="Arial"/>
          <w:sz w:val="22"/>
          <w:szCs w:val="22"/>
        </w:rPr>
        <w:t>PowerPoint</w:t>
      </w:r>
      <w:r w:rsidRPr="00DF121B">
        <w:rPr>
          <w:rFonts w:ascii="Arial" w:hAnsi="Arial" w:cs="Arial"/>
          <w:sz w:val="22"/>
          <w:szCs w:val="22"/>
        </w:rPr>
        <w:t xml:space="preserve"> </w:t>
      </w:r>
    </w:p>
    <w:p w:rsidR="008D2F9F" w:rsidRPr="00DF121B" w:rsidRDefault="008D2F9F" w:rsidP="008D2F9F">
      <w:pPr>
        <w:pStyle w:val="ListParagraph"/>
        <w:spacing w:line="360" w:lineRule="auto"/>
        <w:rPr>
          <w:rFonts w:ascii="Arial" w:hAnsi="Arial" w:cs="Arial"/>
          <w:sz w:val="22"/>
          <w:szCs w:val="22"/>
        </w:rPr>
      </w:pPr>
      <w:r w:rsidRPr="00DF121B">
        <w:rPr>
          <w:rFonts w:ascii="Arial" w:hAnsi="Arial" w:cs="Arial"/>
          <w:sz w:val="22"/>
          <w:szCs w:val="22"/>
        </w:rPr>
        <w:t xml:space="preserve">presentation]. </w:t>
      </w:r>
      <w:r w:rsidRPr="00DF121B">
        <w:rPr>
          <w:rFonts w:ascii="Arial" w:hAnsi="Arial" w:cs="Arial"/>
          <w:i/>
          <w:iCs/>
          <w:sz w:val="22"/>
          <w:szCs w:val="22"/>
        </w:rPr>
        <w:t>ECAD6007/C: Who am I teaching?</w:t>
      </w:r>
      <w:r w:rsidRPr="00DF121B">
        <w:rPr>
          <w:rFonts w:ascii="Arial" w:hAnsi="Arial" w:cs="Arial"/>
          <w:sz w:val="22"/>
          <w:szCs w:val="22"/>
        </w:rPr>
        <w:t xml:space="preserve"> Available at: </w:t>
      </w:r>
      <w:hyperlink r:id="rId14" w:history="1">
        <w:r w:rsidRPr="00DF121B">
          <w:rPr>
            <w:rStyle w:val="Hyperlink"/>
            <w:rFonts w:ascii="Arial" w:hAnsi="Arial" w:cs="Arial"/>
            <w:sz w:val="22"/>
            <w:szCs w:val="22"/>
          </w:rPr>
          <w:t>https://moodle.uwtsd.ac.uk</w:t>
        </w:r>
      </w:hyperlink>
      <w:r w:rsidRPr="00DF121B">
        <w:rPr>
          <w:rFonts w:ascii="Arial" w:hAnsi="Arial" w:cs="Arial"/>
          <w:sz w:val="22"/>
          <w:szCs w:val="22"/>
        </w:rPr>
        <w:t xml:space="preserve"> (Accessed: October 3</w:t>
      </w:r>
      <w:r w:rsidR="00DF121B" w:rsidRPr="00DF121B">
        <w:rPr>
          <w:rFonts w:ascii="Arial" w:hAnsi="Arial" w:cs="Arial"/>
          <w:sz w:val="22"/>
          <w:szCs w:val="22"/>
          <w:vertAlign w:val="superscript"/>
        </w:rPr>
        <w:t>rd, 2019</w:t>
      </w:r>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hAnsi="Arial" w:cs="Arial"/>
          <w:sz w:val="22"/>
          <w:szCs w:val="22"/>
        </w:rPr>
        <w:t>Mathew, P., Mathew P., Peechattu, P.J. (2017</w:t>
      </w:r>
      <w:r w:rsidRPr="00DF121B">
        <w:rPr>
          <w:rFonts w:ascii="Arial" w:eastAsia="Times New Roman" w:hAnsi="Arial" w:cs="Arial"/>
          <w:color w:val="000000"/>
          <w:sz w:val="22"/>
          <w:szCs w:val="22"/>
          <w:lang w:eastAsia="en-GB"/>
        </w:rPr>
        <w:t xml:space="preserve">). </w:t>
      </w:r>
      <w:r w:rsidRPr="00DF121B">
        <w:rPr>
          <w:rFonts w:ascii="Arial" w:eastAsia="Times New Roman" w:hAnsi="Arial" w:cs="Arial"/>
          <w:i/>
          <w:iCs/>
          <w:color w:val="000000"/>
          <w:sz w:val="22"/>
          <w:szCs w:val="22"/>
          <w:lang w:eastAsia="en-GB"/>
        </w:rPr>
        <w:t xml:space="preserve">Reflective practices: a means to teacher development. </w:t>
      </w:r>
      <w:r w:rsidRPr="00DF121B">
        <w:rPr>
          <w:rFonts w:ascii="Arial" w:eastAsia="Times New Roman" w:hAnsi="Arial" w:cs="Arial"/>
          <w:color w:val="000000"/>
          <w:sz w:val="22"/>
          <w:szCs w:val="22"/>
          <w:lang w:eastAsia="en-GB"/>
        </w:rPr>
        <w:t>Asia Pacific Journal of Contemporary Education and Communication Technology. Volume 3. Available at:</w:t>
      </w:r>
      <w:r w:rsidRPr="00DF121B">
        <w:rPr>
          <w:rFonts w:ascii="Arial" w:eastAsia="Times New Roman" w:hAnsi="Arial" w:cs="Arial"/>
          <w:color w:val="000000"/>
          <w:sz w:val="22"/>
          <w:szCs w:val="22"/>
          <w:lang w:eastAsia="en-GB"/>
        </w:rPr>
        <w:t xml:space="preserve"> </w:t>
      </w:r>
      <w:hyperlink r:id="rId15" w:history="1">
        <w:r w:rsidRPr="00DF121B">
          <w:rPr>
            <w:rStyle w:val="Hyperlink"/>
            <w:rFonts w:ascii="Arial" w:eastAsia="Times New Roman" w:hAnsi="Arial" w:cs="Arial"/>
            <w:sz w:val="22"/>
            <w:szCs w:val="22"/>
            <w:lang w:eastAsia="en-GB"/>
          </w:rPr>
          <w:t>https://apiar.org.au/wp-content/uploads/2017/02/13_APJCECT_Feb_BRR798_EDU-126-131.pdf</w:t>
        </w:r>
      </w:hyperlink>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School X learner involvement framework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School X Strategic plan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School X Teaching and learning strategy</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Thomas, K., Munoz, M.A. (2016). </w:t>
      </w:r>
      <w:r w:rsidRPr="00DF121B">
        <w:rPr>
          <w:rFonts w:ascii="Arial" w:eastAsia="Times New Roman" w:hAnsi="Arial" w:cs="Arial"/>
          <w:i/>
          <w:iCs/>
          <w:color w:val="000000"/>
          <w:sz w:val="22"/>
          <w:szCs w:val="22"/>
          <w:lang w:eastAsia="en-GB"/>
        </w:rPr>
        <w:t>Hold the phone! High school students’ perception of mobile phone integration in the classroom.</w:t>
      </w:r>
      <w:r w:rsidRPr="00DF121B">
        <w:rPr>
          <w:rFonts w:ascii="Arial" w:eastAsia="Times New Roman" w:hAnsi="Arial" w:cs="Arial"/>
          <w:color w:val="000000"/>
          <w:sz w:val="22"/>
          <w:szCs w:val="22"/>
          <w:lang w:eastAsia="en-GB"/>
        </w:rPr>
        <w:t xml:space="preserve"> American Secondary Education; Bowling Green. Volume 44. Available at:</w:t>
      </w:r>
      <w:r w:rsidRPr="00DF121B">
        <w:rPr>
          <w:rFonts w:ascii="Arial" w:eastAsia="Times New Roman" w:hAnsi="Arial" w:cs="Arial"/>
          <w:color w:val="000000"/>
          <w:sz w:val="22"/>
          <w:szCs w:val="22"/>
          <w:lang w:eastAsia="en-GB"/>
        </w:rPr>
        <w:t xml:space="preserve"> </w:t>
      </w:r>
      <w:hyperlink r:id="rId16" w:history="1">
        <w:r w:rsidRPr="00DF121B">
          <w:rPr>
            <w:rStyle w:val="Hyperlink"/>
            <w:rFonts w:ascii="Arial" w:eastAsia="Times New Roman" w:hAnsi="Arial" w:cs="Arial"/>
            <w:sz w:val="22"/>
            <w:szCs w:val="22"/>
            <w:lang w:eastAsia="en-GB"/>
          </w:rPr>
          <w:t>https://search-proquest-com.ezproxy.uwtsd.ac.uk/docview/1812537943/fulltextPDF/B8FBE99602294631PQ/1?accountid=130472</w:t>
        </w:r>
      </w:hyperlink>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(Accessed:10 October 2019).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Tripp, J. (2006). </w:t>
      </w:r>
      <w:r w:rsidRPr="00DF121B">
        <w:rPr>
          <w:rFonts w:ascii="Arial" w:hAnsi="Arial" w:cs="Arial"/>
          <w:i/>
          <w:iCs/>
          <w:sz w:val="22"/>
          <w:szCs w:val="22"/>
        </w:rPr>
        <w:t xml:space="preserve">Critical incidents in teaching - Developing professional judgment. </w:t>
      </w:r>
      <w:r w:rsidRPr="00DF121B">
        <w:rPr>
          <w:rFonts w:ascii="Arial" w:hAnsi="Arial" w:cs="Arial"/>
          <w:sz w:val="22"/>
          <w:szCs w:val="22"/>
        </w:rPr>
        <w:t>Oxon:</w:t>
      </w:r>
      <w:r w:rsidRPr="00DF121B">
        <w:rPr>
          <w:rFonts w:ascii="Arial" w:hAnsi="Arial" w:cs="Arial"/>
          <w:i/>
          <w:iCs/>
          <w:sz w:val="22"/>
          <w:szCs w:val="22"/>
        </w:rPr>
        <w:t xml:space="preserve"> </w:t>
      </w:r>
      <w:r w:rsidRPr="00DF121B">
        <w:rPr>
          <w:rFonts w:ascii="Arial" w:hAnsi="Arial" w:cs="Arial"/>
          <w:sz w:val="22"/>
          <w:szCs w:val="22"/>
        </w:rPr>
        <w:t xml:space="preserve">Routledge </w:t>
      </w:r>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t xml:space="preserve">Welsh Government. Available at: </w:t>
      </w:r>
      <w:hyperlink r:id="rId17" w:history="1">
        <w:r w:rsidRPr="00DF121B">
          <w:rPr>
            <w:rStyle w:val="Hyperlink"/>
            <w:rFonts w:ascii="Arial" w:hAnsi="Arial" w:cs="Arial"/>
            <w:sz w:val="22"/>
            <w:szCs w:val="22"/>
          </w:rPr>
          <w:t>https://gov.wales/sites/default/files/publications/2018-03/education-in-wales-our-national-mission.pdf</w:t>
        </w:r>
      </w:hyperlink>
      <w:r w:rsidRPr="00DF121B">
        <w:rPr>
          <w:rFonts w:ascii="Arial" w:hAnsi="Arial" w:cs="Arial"/>
          <w:sz w:val="22"/>
          <w:szCs w:val="22"/>
        </w:rPr>
        <w:t xml:space="preserve">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(Accessed: 11 October 2019).</w:t>
      </w:r>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t xml:space="preserve">Welsh Government. (2019). </w:t>
      </w:r>
      <w:r w:rsidRPr="00DF121B">
        <w:rPr>
          <w:rFonts w:ascii="Arial" w:hAnsi="Arial" w:cs="Arial"/>
          <w:i/>
          <w:iCs/>
          <w:sz w:val="22"/>
          <w:szCs w:val="22"/>
        </w:rPr>
        <w:t xml:space="preserve">Our National Mission: a transformational Curriculum. Proposals for a new legislative framework. </w:t>
      </w:r>
      <w:r w:rsidRPr="00DF121B">
        <w:rPr>
          <w:rFonts w:ascii="Arial" w:hAnsi="Arial" w:cs="Arial"/>
          <w:sz w:val="22"/>
          <w:szCs w:val="22"/>
        </w:rPr>
        <w:t xml:space="preserve">Available at: </w:t>
      </w:r>
    </w:p>
    <w:p w:rsidR="008D2F9F" w:rsidRPr="00DF121B" w:rsidRDefault="008D2F9F" w:rsidP="008D2F9F">
      <w:pPr>
        <w:pStyle w:val="ListParagraph"/>
        <w:spacing w:line="360" w:lineRule="auto"/>
        <w:rPr>
          <w:rFonts w:ascii="Arial" w:hAnsi="Arial" w:cs="Arial"/>
          <w:sz w:val="22"/>
          <w:szCs w:val="22"/>
        </w:rPr>
      </w:pPr>
      <w:hyperlink r:id="rId18" w:history="1">
        <w:r w:rsidRPr="00DF121B">
          <w:rPr>
            <w:rStyle w:val="Hyperlink"/>
            <w:rFonts w:ascii="Arial" w:hAnsi="Arial" w:cs="Arial"/>
            <w:sz w:val="22"/>
            <w:szCs w:val="22"/>
          </w:rPr>
          <w:t>https://gov.wales/sites/default/files/consultations/2019-01/consultation-document-transformational-curriculum.pdf</w:t>
        </w:r>
      </w:hyperlink>
      <w:r w:rsidRPr="00DF121B">
        <w:rPr>
          <w:rFonts w:ascii="Arial" w:hAnsi="Arial" w:cs="Arial"/>
          <w:sz w:val="22"/>
          <w:szCs w:val="22"/>
        </w:rPr>
        <w:t xml:space="preserve"> (Accessed: 5 October 2019).</w:t>
      </w:r>
    </w:p>
    <w:p w:rsidR="008D2F9F" w:rsidRPr="00DF121B" w:rsidRDefault="008D2F9F" w:rsidP="008D2F9F">
      <w:pPr>
        <w:pStyle w:val="ListParagraph"/>
        <w:numPr>
          <w:ilvl w:val="0"/>
          <w:numId w:val="1"/>
        </w:numPr>
        <w:shd w:val="clear" w:color="auto" w:fill="FFFFFF"/>
        <w:spacing w:before="100" w:beforeAutospacing="1" w:after="100" w:afterAutospacing="1" w:line="360" w:lineRule="auto"/>
        <w:jc w:val="both"/>
        <w:rPr>
          <w:rFonts w:ascii="Arial" w:eastAsia="Times New Roman" w:hAnsi="Arial" w:cs="Arial"/>
          <w:sz w:val="22"/>
          <w:szCs w:val="22"/>
          <w:lang w:eastAsia="en-GB"/>
        </w:rPr>
      </w:pPr>
      <w:r w:rsidRPr="00DF121B">
        <w:rPr>
          <w:rFonts w:ascii="Arial" w:eastAsia="Times New Roman" w:hAnsi="Arial" w:cs="Arial"/>
          <w:color w:val="000000"/>
          <w:sz w:val="22"/>
          <w:szCs w:val="22"/>
          <w:lang w:eastAsia="en-GB"/>
        </w:rPr>
        <w:t xml:space="preserve">Welsh Government (2019). More able and talented workshop 2: identifying MAT </w:t>
      </w:r>
      <w:r w:rsidR="00DF121B" w:rsidRPr="00DF121B">
        <w:rPr>
          <w:rFonts w:ascii="Arial" w:eastAsia="Times New Roman" w:hAnsi="Arial" w:cs="Arial"/>
          <w:color w:val="000000"/>
          <w:sz w:val="22"/>
          <w:szCs w:val="22"/>
          <w:lang w:eastAsia="en-GB"/>
        </w:rPr>
        <w:t>learners [</w:t>
      </w:r>
      <w:r w:rsidRPr="00DF121B">
        <w:rPr>
          <w:rFonts w:ascii="Arial" w:eastAsia="Times New Roman" w:hAnsi="Arial" w:cs="Arial"/>
          <w:color w:val="000000"/>
          <w:sz w:val="22"/>
          <w:szCs w:val="22"/>
          <w:lang w:eastAsia="en-GB"/>
        </w:rPr>
        <w:t xml:space="preserve">online]. Available at: </w:t>
      </w:r>
      <w:hyperlink r:id="rId19" w:history="1">
        <w:r w:rsidRPr="00DF121B">
          <w:rPr>
            <w:rStyle w:val="Hyperlink"/>
            <w:rFonts w:ascii="Arial" w:eastAsia="Times New Roman" w:hAnsi="Arial" w:cs="Arial"/>
            <w:sz w:val="22"/>
            <w:szCs w:val="22"/>
            <w:lang w:eastAsia="en-GB"/>
          </w:rPr>
          <w:t>https://hwb.gov.wales/search?query=mat%20learners&amp;types=resource&amp;types=page&amp;strict=true&amp;popupUri=%2FResource%2F10e2e606-91bd-4201-9a27-4796653e59cc</w:t>
        </w:r>
      </w:hyperlink>
      <w:r w:rsidRPr="00DF121B">
        <w:rPr>
          <w:rFonts w:ascii="Arial" w:eastAsia="Times New Roman" w:hAnsi="Arial" w:cs="Arial"/>
          <w:color w:val="000000"/>
          <w:sz w:val="22"/>
          <w:szCs w:val="22"/>
          <w:lang w:eastAsia="en-GB"/>
        </w:rPr>
        <w:t xml:space="preserve"> [Accessed 17 October 2019]</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Williams, C. (2007). Research Methods. </w:t>
      </w:r>
      <w:r w:rsidRPr="00DF121B">
        <w:rPr>
          <w:rFonts w:ascii="Arial" w:eastAsia="Times New Roman" w:hAnsi="Arial" w:cs="Arial"/>
          <w:i/>
          <w:iCs/>
          <w:sz w:val="22"/>
          <w:szCs w:val="22"/>
          <w:lang w:eastAsia="en-GB"/>
        </w:rPr>
        <w:t>Journal of Business &amp; Economics Research (JBER)</w:t>
      </w:r>
      <w:r w:rsidRPr="00DF121B">
        <w:rPr>
          <w:rFonts w:ascii="Arial" w:eastAsia="Times New Roman" w:hAnsi="Arial" w:cs="Arial"/>
          <w:sz w:val="22"/>
          <w:szCs w:val="22"/>
          <w:shd w:val="clear" w:color="auto" w:fill="FFFFFF"/>
          <w:lang w:eastAsia="en-GB"/>
        </w:rPr>
        <w:t>, </w:t>
      </w:r>
      <w:r w:rsidRPr="00DF121B">
        <w:rPr>
          <w:rFonts w:ascii="Arial" w:eastAsia="Times New Roman" w:hAnsi="Arial" w:cs="Arial"/>
          <w:i/>
          <w:iCs/>
          <w:sz w:val="22"/>
          <w:szCs w:val="22"/>
          <w:lang w:eastAsia="en-GB"/>
        </w:rPr>
        <w:t>5</w:t>
      </w:r>
      <w:r w:rsidRPr="00DF121B">
        <w:rPr>
          <w:rFonts w:ascii="Arial" w:eastAsia="Times New Roman" w:hAnsi="Arial" w:cs="Arial"/>
          <w:sz w:val="22"/>
          <w:szCs w:val="22"/>
          <w:shd w:val="clear" w:color="auto" w:fill="FFFFFF"/>
          <w:lang w:eastAsia="en-GB"/>
        </w:rPr>
        <w:t xml:space="preserve">(3). </w:t>
      </w:r>
      <w:hyperlink r:id="rId20" w:history="1">
        <w:r w:rsidRPr="00DF121B">
          <w:rPr>
            <w:rStyle w:val="Hyperlink"/>
            <w:rFonts w:ascii="Arial" w:eastAsia="Times New Roman" w:hAnsi="Arial" w:cs="Arial"/>
            <w:sz w:val="22"/>
            <w:szCs w:val="22"/>
            <w:shd w:val="clear" w:color="auto" w:fill="FFFFFF"/>
            <w:lang w:eastAsia="en-GB"/>
          </w:rPr>
          <w:t>https://doi.org/10.19030/jber.v5i3.2532</w:t>
        </w:r>
      </w:hyperlink>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lastRenderedPageBreak/>
        <w:t xml:space="preserve">Wiserd (2015). </w:t>
      </w:r>
      <w:r w:rsidRPr="00DF121B">
        <w:rPr>
          <w:rFonts w:ascii="Arial" w:hAnsi="Arial" w:cs="Arial"/>
          <w:i/>
          <w:iCs/>
          <w:sz w:val="22"/>
          <w:szCs w:val="22"/>
        </w:rPr>
        <w:t xml:space="preserve">Successful futures. </w:t>
      </w:r>
      <w:r w:rsidR="00DF121B" w:rsidRPr="00DF121B">
        <w:rPr>
          <w:rFonts w:ascii="Arial" w:hAnsi="Arial" w:cs="Arial"/>
          <w:i/>
          <w:iCs/>
          <w:sz w:val="22"/>
          <w:szCs w:val="22"/>
        </w:rPr>
        <w:t>Independent</w:t>
      </w:r>
      <w:r w:rsidRPr="00DF121B">
        <w:rPr>
          <w:rFonts w:ascii="Arial" w:hAnsi="Arial" w:cs="Arial"/>
          <w:i/>
          <w:iCs/>
          <w:sz w:val="22"/>
          <w:szCs w:val="22"/>
        </w:rPr>
        <w:t xml:space="preserve"> review of curriculum and assessment arrangements in Wales (The Donaldson Review). </w:t>
      </w:r>
      <w:r w:rsidRPr="00DF121B">
        <w:rPr>
          <w:rFonts w:ascii="Arial" w:hAnsi="Arial" w:cs="Arial"/>
          <w:sz w:val="22"/>
          <w:szCs w:val="22"/>
        </w:rPr>
        <w:t xml:space="preserve">Available at: </w:t>
      </w:r>
      <w:hyperlink r:id="rId21" w:history="1">
        <w:r w:rsidRPr="00DF121B">
          <w:rPr>
            <w:rStyle w:val="Hyperlink"/>
            <w:rFonts w:ascii="Arial" w:hAnsi="Arial" w:cs="Arial"/>
            <w:sz w:val="22"/>
            <w:szCs w:val="22"/>
          </w:rPr>
          <w:t>https://</w:t>
        </w:r>
        <w:r w:rsidRPr="00DF121B">
          <w:rPr>
            <w:rFonts w:ascii="Arial" w:hAnsi="Arial" w:cs="Arial"/>
            <w:sz w:val="22"/>
            <w:szCs w:val="22"/>
          </w:rPr>
          <w:t xml:space="preserve"> </w:t>
        </w:r>
        <w:r w:rsidRPr="00DF121B">
          <w:rPr>
            <w:rStyle w:val="Hyperlink"/>
            <w:rFonts w:ascii="Arial" w:hAnsi="Arial" w:cs="Arial"/>
            <w:sz w:val="22"/>
            <w:szCs w:val="22"/>
          </w:rPr>
          <w:t>dera.ioe.ac.uk/22165/5/150225-questionnaire-responses-en.pdf</w:t>
        </w:r>
      </w:hyperlink>
      <w:r w:rsidRPr="00DF121B">
        <w:rPr>
          <w:rFonts w:ascii="Arial" w:hAnsi="Arial" w:cs="Arial"/>
          <w:sz w:val="22"/>
          <w:szCs w:val="22"/>
        </w:rPr>
        <w:t xml:space="preserve"> (Accessed: 7 October 2019).</w:t>
      </w:r>
    </w:p>
    <w:p w:rsidR="008D2F9F" w:rsidRPr="00DF121B" w:rsidRDefault="008D2F9F" w:rsidP="004222F0">
      <w:pPr>
        <w:spacing w:line="360" w:lineRule="auto"/>
        <w:rPr>
          <w:rFonts w:ascii="Arial" w:hAnsi="Arial" w:cs="Arial"/>
          <w:sz w:val="22"/>
          <w:szCs w:val="22"/>
        </w:rPr>
      </w:pPr>
    </w:p>
    <w:p w:rsidR="004222F0" w:rsidRPr="00DF121B" w:rsidRDefault="004222F0" w:rsidP="004222F0">
      <w:pPr>
        <w:spacing w:line="360" w:lineRule="auto"/>
        <w:rPr>
          <w:rFonts w:ascii="Arial" w:eastAsia="Times New Roman" w:hAnsi="Arial" w:cs="Arial"/>
          <w:sz w:val="22"/>
          <w:szCs w:val="22"/>
          <w:lang w:eastAsia="en-GB"/>
        </w:rPr>
      </w:pPr>
    </w:p>
    <w:p w:rsidR="004222F0" w:rsidRPr="00DF121B" w:rsidRDefault="004222F0" w:rsidP="004222F0">
      <w:pPr>
        <w:spacing w:line="360" w:lineRule="auto"/>
        <w:rPr>
          <w:rFonts w:ascii="Arial" w:hAnsi="Arial" w:cs="Arial"/>
          <w:sz w:val="22"/>
          <w:szCs w:val="22"/>
        </w:rPr>
      </w:pPr>
    </w:p>
    <w:p w:rsidR="004222F0" w:rsidRPr="00DF121B" w:rsidRDefault="004222F0" w:rsidP="004222F0">
      <w:pPr>
        <w:spacing w:line="360" w:lineRule="auto"/>
        <w:jc w:val="both"/>
        <w:rPr>
          <w:rFonts w:ascii="Arial" w:eastAsia="Times New Roman" w:hAnsi="Arial" w:cs="Arial"/>
          <w:color w:val="000000"/>
          <w:sz w:val="22"/>
          <w:szCs w:val="22"/>
          <w:lang w:eastAsia="en-GB"/>
        </w:rPr>
      </w:pPr>
    </w:p>
    <w:p w:rsidR="004222F0" w:rsidRPr="00DF121B" w:rsidRDefault="004222F0" w:rsidP="004222F0">
      <w:pPr>
        <w:spacing w:line="360" w:lineRule="auto"/>
        <w:jc w:val="both"/>
        <w:rPr>
          <w:rFonts w:ascii="Arial" w:eastAsia="Times New Roman" w:hAnsi="Arial" w:cs="Arial"/>
          <w:color w:val="000000"/>
          <w:sz w:val="22"/>
          <w:szCs w:val="22"/>
          <w:lang w:eastAsia="en-GB"/>
        </w:rPr>
      </w:pPr>
    </w:p>
    <w:p w:rsidR="00145A6B" w:rsidRPr="00DF121B" w:rsidRDefault="00145A6B" w:rsidP="00145A6B">
      <w:pPr>
        <w:spacing w:line="360" w:lineRule="auto"/>
        <w:rPr>
          <w:rFonts w:ascii="Arial" w:hAnsi="Arial" w:cs="Arial"/>
          <w:sz w:val="22"/>
          <w:szCs w:val="22"/>
        </w:rPr>
      </w:pPr>
    </w:p>
    <w:p w:rsidR="004222F0" w:rsidRPr="00DF121B" w:rsidRDefault="004222F0" w:rsidP="008D2F9F">
      <w:pPr>
        <w:spacing w:line="360" w:lineRule="auto"/>
        <w:jc w:val="both"/>
        <w:rPr>
          <w:rFonts w:ascii="Arial" w:eastAsia="Times New Roman" w:hAnsi="Arial" w:cs="Arial"/>
          <w:color w:val="000000"/>
          <w:sz w:val="22"/>
          <w:szCs w:val="22"/>
          <w:lang w:eastAsia="en-GB"/>
        </w:rPr>
      </w:pPr>
    </w:p>
    <w:p w:rsidR="004222F0" w:rsidRPr="00DF121B" w:rsidRDefault="004222F0" w:rsidP="004222F0">
      <w:pPr>
        <w:pStyle w:val="ListParagraph"/>
        <w:spacing w:line="360" w:lineRule="auto"/>
        <w:jc w:val="both"/>
        <w:rPr>
          <w:rFonts w:ascii="Arial" w:eastAsia="Times New Roman" w:hAnsi="Arial" w:cs="Arial"/>
          <w:color w:val="000000"/>
          <w:sz w:val="22"/>
          <w:szCs w:val="22"/>
          <w:lang w:eastAsia="en-GB"/>
        </w:rPr>
      </w:pPr>
    </w:p>
    <w:p w:rsidR="004222F0" w:rsidRDefault="004222F0">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BSERVATIONS.ti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p>
    <w:p w:rsidR="00B15A3E"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SERVATIONS 1.tif"/>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BSERVATIONS 10.tif"/>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p>
    <w:p w:rsidR="00B15A3E" w:rsidRPr="004222F0"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SERVATIONS 2.tif"/>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Start w:id="1" w:name="Sociogram"/>
      <w:r>
        <w:rPr>
          <w:rFonts w:ascii="Arial" w:hAnsi="Arial" w:cs="Arial"/>
          <w:noProof/>
          <w:sz w:val="22"/>
          <w:szCs w:val="22"/>
          <w:lang w:val="en-US"/>
        </w:rPr>
        <w:lastRenderedPageBreak/>
        <w:drawing>
          <wp:inline distT="0" distB="0" distL="0" distR="0">
            <wp:extent cx="5492750" cy="907351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SERVATIONS 3.tif"/>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End w:id="1"/>
      <w:r>
        <w:rPr>
          <w:rFonts w:ascii="Arial" w:hAnsi="Arial" w:cs="Arial"/>
          <w:noProof/>
          <w:sz w:val="22"/>
          <w:szCs w:val="22"/>
          <w:lang w:val="en-US"/>
        </w:rPr>
        <w:lastRenderedPageBreak/>
        <w:drawing>
          <wp:inline distT="0" distB="0" distL="0" distR="0">
            <wp:extent cx="5492750" cy="907351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SERVATIONS 4.tif"/>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SERVATIONS 6.tif"/>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SERVATIONS 7.tif"/>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Start w:id="2" w:name="ARC"/>
      <w:r>
        <w:rPr>
          <w:rFonts w:ascii="Arial" w:hAnsi="Arial" w:cs="Arial"/>
          <w:noProof/>
          <w:sz w:val="22"/>
          <w:szCs w:val="22"/>
          <w:lang w:val="en-US"/>
        </w:rPr>
        <w:lastRenderedPageBreak/>
        <w:drawing>
          <wp:inline distT="0" distB="0" distL="0" distR="0">
            <wp:extent cx="5492750" cy="907351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SERVATIONS 8.tif"/>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End w:id="2"/>
    </w:p>
    <w:sectPr w:rsidR="00B15A3E" w:rsidRPr="004222F0" w:rsidSect="00FB74B3">
      <w:headerReference w:type="default" r:id="rId31"/>
      <w:footerReference w:type="even" r:id="rId32"/>
      <w:footerReference w:type="default" r:id="rId33"/>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0BD2" w:rsidRDefault="00F50BD2" w:rsidP="00FC2BA0">
      <w:r>
        <w:separator/>
      </w:r>
    </w:p>
  </w:endnote>
  <w:endnote w:type="continuationSeparator" w:id="0">
    <w:p w:rsidR="00F50BD2" w:rsidRDefault="00F50BD2" w:rsidP="00FC2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3607625"/>
      <w:docPartObj>
        <w:docPartGallery w:val="Page Numbers (Bottom of Page)"/>
        <w:docPartUnique/>
      </w:docPartObj>
    </w:sdtPr>
    <w:sdtContent>
      <w:p w:rsidR="00FC2BA0" w:rsidRDefault="00FC2BA0" w:rsidP="00DE2D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C2BA0" w:rsidRDefault="00FC2B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3104548"/>
      <w:docPartObj>
        <w:docPartGallery w:val="Page Numbers (Bottom of Page)"/>
        <w:docPartUnique/>
      </w:docPartObj>
    </w:sdtPr>
    <w:sdtContent>
      <w:p w:rsidR="00FC2BA0" w:rsidRDefault="00FC2BA0" w:rsidP="00DE2D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C2BA0" w:rsidRDefault="00FC2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0BD2" w:rsidRDefault="00F50BD2" w:rsidP="00FC2BA0">
      <w:r>
        <w:separator/>
      </w:r>
    </w:p>
  </w:footnote>
  <w:footnote w:type="continuationSeparator" w:id="0">
    <w:p w:rsidR="00F50BD2" w:rsidRDefault="00F50BD2" w:rsidP="00FC2B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2BA0" w:rsidRDefault="00FC2BA0">
    <w:pPr>
      <w:pStyle w:val="Header"/>
    </w:pPr>
    <w:r>
      <w:t>ECAD6007</w:t>
    </w:r>
    <w:r>
      <w:tab/>
    </w:r>
    <w:r>
      <w:tab/>
      <w:t>1905265</w:t>
    </w:r>
  </w:p>
  <w:p w:rsidR="00FC2BA0" w:rsidRDefault="00FC2B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A9E"/>
    <w:multiLevelType w:val="hybridMultilevel"/>
    <w:tmpl w:val="37AC2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BA0"/>
    <w:rsid w:val="00145A6B"/>
    <w:rsid w:val="00401A97"/>
    <w:rsid w:val="0040509F"/>
    <w:rsid w:val="004222F0"/>
    <w:rsid w:val="00480956"/>
    <w:rsid w:val="006A449A"/>
    <w:rsid w:val="007A1DA2"/>
    <w:rsid w:val="007B7AFC"/>
    <w:rsid w:val="008D2F9F"/>
    <w:rsid w:val="00A05048"/>
    <w:rsid w:val="00A25F4B"/>
    <w:rsid w:val="00B15A3E"/>
    <w:rsid w:val="00CA15F2"/>
    <w:rsid w:val="00CC2518"/>
    <w:rsid w:val="00DC3B31"/>
    <w:rsid w:val="00DF121B"/>
    <w:rsid w:val="00F50BD2"/>
    <w:rsid w:val="00FB74B3"/>
    <w:rsid w:val="00FC2BA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16397"/>
  <w15:chartTrackingRefBased/>
  <w15:docId w15:val="{10170655-7679-D148-8E66-2E3414E2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BA0"/>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BA0"/>
    <w:pPr>
      <w:ind w:left="720"/>
      <w:contextualSpacing/>
    </w:pPr>
  </w:style>
  <w:style w:type="paragraph" w:styleId="NormalWeb">
    <w:name w:val="Normal (Web)"/>
    <w:basedOn w:val="Normal"/>
    <w:uiPriority w:val="99"/>
    <w:unhideWhenUsed/>
    <w:rsid w:val="00FC2BA0"/>
    <w:pPr>
      <w:spacing w:before="100" w:beforeAutospacing="1" w:after="100" w:afterAutospacing="1"/>
    </w:pPr>
    <w:rPr>
      <w:rFonts w:ascii="Times New Roman" w:eastAsia="Times New Roman" w:hAnsi="Times New Roman" w:cs="Times New Roman"/>
      <w:lang w:val="it-IT" w:eastAsia="en-GB"/>
    </w:rPr>
  </w:style>
  <w:style w:type="paragraph" w:styleId="Header">
    <w:name w:val="header"/>
    <w:basedOn w:val="Normal"/>
    <w:link w:val="HeaderChar"/>
    <w:uiPriority w:val="99"/>
    <w:unhideWhenUsed/>
    <w:rsid w:val="00FC2BA0"/>
    <w:pPr>
      <w:tabs>
        <w:tab w:val="center" w:pos="4819"/>
        <w:tab w:val="right" w:pos="9638"/>
      </w:tabs>
    </w:pPr>
  </w:style>
  <w:style w:type="character" w:customStyle="1" w:styleId="HeaderChar">
    <w:name w:val="Header Char"/>
    <w:basedOn w:val="DefaultParagraphFont"/>
    <w:link w:val="Header"/>
    <w:uiPriority w:val="99"/>
    <w:rsid w:val="00FC2BA0"/>
    <w:rPr>
      <w:lang w:val="en-GB"/>
    </w:rPr>
  </w:style>
  <w:style w:type="paragraph" w:styleId="Footer">
    <w:name w:val="footer"/>
    <w:basedOn w:val="Normal"/>
    <w:link w:val="FooterChar"/>
    <w:uiPriority w:val="99"/>
    <w:unhideWhenUsed/>
    <w:rsid w:val="00FC2BA0"/>
    <w:pPr>
      <w:tabs>
        <w:tab w:val="center" w:pos="4819"/>
        <w:tab w:val="right" w:pos="9638"/>
      </w:tabs>
    </w:pPr>
  </w:style>
  <w:style w:type="character" w:customStyle="1" w:styleId="FooterChar">
    <w:name w:val="Footer Char"/>
    <w:basedOn w:val="DefaultParagraphFont"/>
    <w:link w:val="Footer"/>
    <w:uiPriority w:val="99"/>
    <w:rsid w:val="00FC2BA0"/>
    <w:rPr>
      <w:lang w:val="en-GB"/>
    </w:rPr>
  </w:style>
  <w:style w:type="character" w:styleId="PageNumber">
    <w:name w:val="page number"/>
    <w:basedOn w:val="DefaultParagraphFont"/>
    <w:uiPriority w:val="99"/>
    <w:semiHidden/>
    <w:unhideWhenUsed/>
    <w:rsid w:val="00FC2BA0"/>
  </w:style>
  <w:style w:type="paragraph" w:customStyle="1" w:styleId="AssignQuote">
    <w:name w:val="AssignQuote"/>
    <w:basedOn w:val="Normal"/>
    <w:next w:val="AssignBody"/>
    <w:link w:val="AssignQuoteChar"/>
    <w:qFormat/>
    <w:rsid w:val="00FC2BA0"/>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FC2BA0"/>
    <w:pPr>
      <w:ind w:left="0" w:right="0"/>
    </w:pPr>
    <w:rPr>
      <w:i w:val="0"/>
    </w:rPr>
  </w:style>
  <w:style w:type="character" w:customStyle="1" w:styleId="AssignQuoteChar">
    <w:name w:val="AssignQuote Char"/>
    <w:basedOn w:val="DefaultParagraphFont"/>
    <w:link w:val="AssignQuote"/>
    <w:rsid w:val="00FC2BA0"/>
    <w:rPr>
      <w:rFonts w:ascii="Arial" w:hAnsi="Arial"/>
      <w:i/>
      <w:sz w:val="22"/>
      <w:szCs w:val="22"/>
      <w:lang w:val="en-GB"/>
    </w:rPr>
  </w:style>
  <w:style w:type="paragraph" w:customStyle="1" w:styleId="AssignSubHeader">
    <w:name w:val="AssignSubHeader"/>
    <w:basedOn w:val="AssignBody"/>
    <w:next w:val="AssignBody"/>
    <w:link w:val="AssignSubHeaderChar"/>
    <w:qFormat/>
    <w:rsid w:val="00FC2BA0"/>
    <w:rPr>
      <w:b/>
      <w:i/>
      <w:sz w:val="28"/>
    </w:rPr>
  </w:style>
  <w:style w:type="character" w:customStyle="1" w:styleId="AssignBodyChar">
    <w:name w:val="AssignBody Char"/>
    <w:basedOn w:val="AssignQuoteChar"/>
    <w:link w:val="AssignBody"/>
    <w:rsid w:val="00FC2BA0"/>
    <w:rPr>
      <w:rFonts w:ascii="Arial" w:hAnsi="Arial"/>
      <w:i w:val="0"/>
      <w:sz w:val="22"/>
      <w:szCs w:val="22"/>
      <w:lang w:val="en-GB"/>
    </w:rPr>
  </w:style>
  <w:style w:type="paragraph" w:customStyle="1" w:styleId="AssignHeader">
    <w:name w:val="AssignHeader"/>
    <w:basedOn w:val="AssignSubHeader"/>
    <w:next w:val="AssignSubHeader"/>
    <w:link w:val="AssignHeaderChar"/>
    <w:qFormat/>
    <w:rsid w:val="00FC2BA0"/>
    <w:pPr>
      <w:jc w:val="center"/>
    </w:pPr>
    <w:rPr>
      <w:sz w:val="36"/>
      <w:u w:val="single"/>
    </w:rPr>
  </w:style>
  <w:style w:type="character" w:customStyle="1" w:styleId="AssignSubHeaderChar">
    <w:name w:val="AssignSubHeader Char"/>
    <w:basedOn w:val="AssignBodyChar"/>
    <w:link w:val="AssignSubHeader"/>
    <w:rsid w:val="00FC2BA0"/>
    <w:rPr>
      <w:rFonts w:ascii="Arial" w:hAnsi="Arial"/>
      <w:b/>
      <w:i/>
      <w:sz w:val="28"/>
      <w:szCs w:val="22"/>
      <w:lang w:val="en-GB"/>
    </w:rPr>
  </w:style>
  <w:style w:type="character" w:customStyle="1" w:styleId="AssignHeaderChar">
    <w:name w:val="AssignHeader Char"/>
    <w:basedOn w:val="AssignSubHeaderChar"/>
    <w:link w:val="AssignHeader"/>
    <w:rsid w:val="00FC2BA0"/>
    <w:rPr>
      <w:rFonts w:ascii="Arial" w:hAnsi="Arial"/>
      <w:b/>
      <w:i/>
      <w:sz w:val="36"/>
      <w:szCs w:val="22"/>
      <w:u w:val="single"/>
      <w:lang w:val="en-GB"/>
    </w:rPr>
  </w:style>
  <w:style w:type="character" w:styleId="Hyperlink">
    <w:name w:val="Hyperlink"/>
    <w:basedOn w:val="DefaultParagraphFont"/>
    <w:uiPriority w:val="99"/>
    <w:unhideWhenUsed/>
    <w:rsid w:val="004222F0"/>
    <w:rPr>
      <w:color w:val="0000FF"/>
      <w:u w:val="single"/>
    </w:rPr>
  </w:style>
  <w:style w:type="character" w:styleId="FollowedHyperlink">
    <w:name w:val="FollowedHyperlink"/>
    <w:basedOn w:val="DefaultParagraphFont"/>
    <w:uiPriority w:val="99"/>
    <w:semiHidden/>
    <w:unhideWhenUsed/>
    <w:rsid w:val="004222F0"/>
    <w:rPr>
      <w:color w:val="954F72" w:themeColor="followedHyperlink"/>
      <w:u w:val="single"/>
    </w:rPr>
  </w:style>
  <w:style w:type="character" w:styleId="UnresolvedMention">
    <w:name w:val="Unresolved Mention"/>
    <w:basedOn w:val="DefaultParagraphFont"/>
    <w:uiPriority w:val="99"/>
    <w:semiHidden/>
    <w:unhideWhenUsed/>
    <w:rsid w:val="00145A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uts.aisnet.org/9-37" TargetMode="External"/><Relationship Id="rId18" Type="http://schemas.openxmlformats.org/officeDocument/2006/relationships/hyperlink" Target="https://gov.wales/sites/default/files/consultations/2019-01/consultation-document-transformational-curriculum.pdf" TargetMode="External"/><Relationship Id="rId26" Type="http://schemas.openxmlformats.org/officeDocument/2006/relationships/image" Target="media/image5.tif"/><Relationship Id="rId3" Type="http://schemas.openxmlformats.org/officeDocument/2006/relationships/styles" Target="styles.xml"/><Relationship Id="rId21" Type="http://schemas.openxmlformats.org/officeDocument/2006/relationships/hyperlink" Target="https://dera.ioe.ac.uk/22165/5/150225-questionnaire-responses-en.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reader.elsevier.com/reader/sd/pii/S1877042815005169?token=44DE246CFC2DEFDCB700CF9BC8C2AF4107F1894B65AFD17D9B577436806AEC59E3652D7C060E0F47F66DFD435D29943A" TargetMode="External"/><Relationship Id="rId17" Type="http://schemas.openxmlformats.org/officeDocument/2006/relationships/hyperlink" Target="https://gov.wales/sites/default/files/publications/2018-03/education-in-wales-our-national-mission.pdf" TargetMode="External"/><Relationship Id="rId25" Type="http://schemas.openxmlformats.org/officeDocument/2006/relationships/image" Target="media/image4.tif"/><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search-proquest-com.ezproxy.uwtsd.ac.uk/docview/1812537943/fulltextPDF/B8FBE99602294631PQ/1?accountid=130472" TargetMode="External"/><Relationship Id="rId20" Type="http://schemas.openxmlformats.org/officeDocument/2006/relationships/hyperlink" Target="https://doi.org/10.19030/jber.v5i3.2532" TargetMode="External"/><Relationship Id="rId29" Type="http://schemas.openxmlformats.org/officeDocument/2006/relationships/image" Target="media/image8.t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um2017/entries/science-theory-observation/" TargetMode="External"/><Relationship Id="rId24" Type="http://schemas.openxmlformats.org/officeDocument/2006/relationships/image" Target="media/image3.tif"/><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piar.org.au/wp-content/uploads/2017/02/13_APJCECT_Feb_BRR798_EDU-126-131.pdf" TargetMode="External"/><Relationship Id="rId23" Type="http://schemas.openxmlformats.org/officeDocument/2006/relationships/image" Target="media/image2.tif"/><Relationship Id="rId28" Type="http://schemas.openxmlformats.org/officeDocument/2006/relationships/image" Target="media/image7.tif"/><Relationship Id="rId10" Type="http://schemas.openxmlformats.org/officeDocument/2006/relationships/hyperlink" Target="https://www.youtube.com/watch?v=dSQhUhhe1Co" TargetMode="External"/><Relationship Id="rId19" Type="http://schemas.openxmlformats.org/officeDocument/2006/relationships/hyperlink" Target="https://hwb.gov.wales/search?query=mat%20learners&amp;types=resource&amp;types=page&amp;strict=true&amp;popupUri=%2FResource%2F10e2e606-91bd-4201-9a27-4796653e59cc"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users.sussex.ac.uk/~robinb/socio.html" TargetMode="External"/><Relationship Id="rId14" Type="http://schemas.openxmlformats.org/officeDocument/2006/relationships/hyperlink" Target="https://moodle.uwtsd.ac.uk" TargetMode="External"/><Relationship Id="rId22" Type="http://schemas.openxmlformats.org/officeDocument/2006/relationships/image" Target="media/image1.tif"/><Relationship Id="rId27" Type="http://schemas.openxmlformats.org/officeDocument/2006/relationships/image" Target="media/image6.tif"/><Relationship Id="rId30" Type="http://schemas.openxmlformats.org/officeDocument/2006/relationships/image" Target="media/image9.tif"/><Relationship Id="rId35" Type="http://schemas.openxmlformats.org/officeDocument/2006/relationships/theme" Target="theme/theme1.xml"/><Relationship Id="rId8" Type="http://schemas.openxmlformats.org/officeDocument/2006/relationships/hyperlink" Target="http://www.businessdictionary.com/definition/compet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D9784B-47F5-6546-A23E-5DD9BACDA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5549</Words>
  <Characters>27471</Characters>
  <Application>Microsoft Office Word</Application>
  <DocSecurity>0</DocSecurity>
  <Lines>465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rausgiulia28@gmail.com</dc:creator>
  <cp:keywords/>
  <dc:description/>
  <cp:lastModifiedBy>rausgiulia28@gmail.com</cp:lastModifiedBy>
  <cp:revision>2</cp:revision>
  <dcterms:created xsi:type="dcterms:W3CDTF">2019-10-29T20:37:00Z</dcterms:created>
  <dcterms:modified xsi:type="dcterms:W3CDTF">2019-10-29T20:37:00Z</dcterms:modified>
</cp:coreProperties>
</file>