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55663" w14:textId="77777777" w:rsidR="00D71800" w:rsidRDefault="00D71800">
      <w:pPr>
        <w:spacing w:line="360" w:lineRule="auto"/>
        <w:jc w:val="both"/>
        <w:rPr>
          <w:rFonts w:ascii="Arial" w:hAnsi="Arial" w:cs="Arial"/>
        </w:rPr>
      </w:pPr>
    </w:p>
    <w:p w14:paraId="15F55664" w14:textId="77777777" w:rsidR="00D71800" w:rsidRDefault="00D71800">
      <w:pPr>
        <w:spacing w:before="240" w:line="360" w:lineRule="auto"/>
        <w:jc w:val="both"/>
        <w:rPr>
          <w:rFonts w:ascii="Arial" w:hAnsi="Arial" w:cs="Arial"/>
          <w:b/>
        </w:rPr>
      </w:pPr>
    </w:p>
    <w:p w14:paraId="15F55665" w14:textId="77777777" w:rsidR="00D71800" w:rsidRDefault="00D71800">
      <w:pPr>
        <w:spacing w:before="240" w:line="360" w:lineRule="auto"/>
        <w:jc w:val="both"/>
        <w:rPr>
          <w:rFonts w:ascii="Arial" w:hAnsi="Arial" w:cs="Arial"/>
          <w:b/>
        </w:rPr>
      </w:pPr>
    </w:p>
    <w:p w14:paraId="15F55666" w14:textId="77777777" w:rsidR="00D71800" w:rsidRDefault="009F3583">
      <w:pPr>
        <w:spacing w:before="240" w:line="360" w:lineRule="auto"/>
        <w:jc w:val="center"/>
        <w:rPr>
          <w:rFonts w:ascii="Arial" w:hAnsi="Arial" w:cs="Arial"/>
          <w:b/>
        </w:rPr>
      </w:pPr>
      <w:r>
        <w:rPr>
          <w:rFonts w:ascii="Arial" w:hAnsi="Arial" w:cs="Arial"/>
          <w:b/>
        </w:rPr>
        <w:t>Programme: MSc Public Health and Social Care in Practice</w:t>
      </w:r>
    </w:p>
    <w:p w14:paraId="15F55667" w14:textId="77777777" w:rsidR="00D71800" w:rsidRDefault="009F3583">
      <w:pPr>
        <w:spacing w:before="240" w:line="360" w:lineRule="auto"/>
        <w:jc w:val="center"/>
        <w:rPr>
          <w:rFonts w:ascii="Arial" w:hAnsi="Arial" w:cs="Arial"/>
          <w:b/>
        </w:rPr>
      </w:pPr>
      <w:r>
        <w:rPr>
          <w:rFonts w:ascii="Arial" w:hAnsi="Arial" w:cs="Arial"/>
          <w:b/>
        </w:rPr>
        <w:t>Module: Social Epidemiology and Public Health Development</w:t>
      </w:r>
    </w:p>
    <w:p w14:paraId="15F55668" w14:textId="77777777" w:rsidR="00D71800" w:rsidRDefault="009F3583">
      <w:pPr>
        <w:spacing w:before="240" w:line="360" w:lineRule="auto"/>
        <w:jc w:val="center"/>
        <w:rPr>
          <w:rFonts w:ascii="Arial" w:hAnsi="Arial" w:cs="Arial"/>
          <w:b/>
        </w:rPr>
      </w:pPr>
      <w:r>
        <w:rPr>
          <w:rFonts w:ascii="Arial" w:hAnsi="Arial" w:cs="Arial"/>
          <w:b/>
        </w:rPr>
        <w:t>Assignment Title: Component 2 Analytical Report</w:t>
      </w:r>
    </w:p>
    <w:p w14:paraId="15F55669" w14:textId="77777777" w:rsidR="00D71800" w:rsidRDefault="009F3583">
      <w:pPr>
        <w:spacing w:before="240" w:line="360" w:lineRule="auto"/>
        <w:jc w:val="center"/>
      </w:pPr>
      <w:r>
        <w:rPr>
          <w:rFonts w:ascii="Arial" w:hAnsi="Arial" w:cs="Arial"/>
          <w:b/>
        </w:rPr>
        <w:t>Chosen topic: Disability and Health Inequalities</w:t>
      </w:r>
    </w:p>
    <w:p w14:paraId="15F5566A" w14:textId="77777777" w:rsidR="00D71800" w:rsidRDefault="00D71800">
      <w:pPr>
        <w:spacing w:line="360" w:lineRule="auto"/>
        <w:jc w:val="center"/>
        <w:rPr>
          <w:rFonts w:ascii="Arial" w:hAnsi="Arial" w:cs="Arial"/>
          <w:b/>
          <w:bCs/>
        </w:rPr>
      </w:pPr>
    </w:p>
    <w:p w14:paraId="15F5566B" w14:textId="77777777" w:rsidR="00D71800" w:rsidRDefault="00D71800">
      <w:pPr>
        <w:spacing w:line="360" w:lineRule="auto"/>
        <w:jc w:val="center"/>
        <w:rPr>
          <w:rFonts w:ascii="Arial" w:hAnsi="Arial" w:cs="Arial"/>
          <w:b/>
          <w:bCs/>
        </w:rPr>
      </w:pPr>
    </w:p>
    <w:p w14:paraId="15F5566C" w14:textId="77777777" w:rsidR="00D71800" w:rsidRDefault="009F3583">
      <w:pPr>
        <w:spacing w:line="360" w:lineRule="auto"/>
        <w:jc w:val="center"/>
      </w:pPr>
      <w:r>
        <w:rPr>
          <w:rFonts w:ascii="Arial" w:hAnsi="Arial" w:cs="Arial"/>
          <w:b/>
          <w:bCs/>
        </w:rPr>
        <w:t xml:space="preserve">Module Code: </w:t>
      </w:r>
      <w:r>
        <w:rPr>
          <w:rFonts w:ascii="Arial" w:hAnsi="Arial" w:cs="Arial"/>
        </w:rPr>
        <w:t>LCHS7000</w:t>
      </w:r>
    </w:p>
    <w:p w14:paraId="15F5566D" w14:textId="77777777" w:rsidR="00D71800" w:rsidRDefault="009F3583">
      <w:pPr>
        <w:spacing w:line="360" w:lineRule="auto"/>
        <w:jc w:val="center"/>
      </w:pPr>
      <w:r>
        <w:rPr>
          <w:rFonts w:ascii="Arial" w:hAnsi="Arial" w:cs="Arial"/>
          <w:b/>
          <w:bCs/>
        </w:rPr>
        <w:t xml:space="preserve">STUDENT NAME: </w:t>
      </w:r>
      <w:r>
        <w:rPr>
          <w:rFonts w:ascii="Arial" w:hAnsi="Arial" w:cs="Arial"/>
        </w:rPr>
        <w:t xml:space="preserve">Kashish </w:t>
      </w:r>
      <w:proofErr w:type="spellStart"/>
      <w:r>
        <w:rPr>
          <w:rFonts w:ascii="Arial" w:hAnsi="Arial" w:cs="Arial"/>
        </w:rPr>
        <w:t>Sunilbhai</w:t>
      </w:r>
      <w:proofErr w:type="spellEnd"/>
      <w:r>
        <w:rPr>
          <w:rFonts w:ascii="Arial" w:hAnsi="Arial" w:cs="Arial"/>
        </w:rPr>
        <w:t xml:space="preserve"> Ardeshna</w:t>
      </w:r>
    </w:p>
    <w:p w14:paraId="15F5566E" w14:textId="77777777" w:rsidR="00D71800" w:rsidRDefault="009F3583">
      <w:pPr>
        <w:spacing w:line="360" w:lineRule="auto"/>
        <w:jc w:val="center"/>
      </w:pPr>
      <w:r>
        <w:rPr>
          <w:rFonts w:ascii="Arial" w:hAnsi="Arial" w:cs="Arial"/>
          <w:b/>
          <w:bCs/>
        </w:rPr>
        <w:t xml:space="preserve">STUDENT NO.: </w:t>
      </w:r>
      <w:r>
        <w:rPr>
          <w:rFonts w:ascii="Arial" w:hAnsi="Arial" w:cs="Arial"/>
        </w:rPr>
        <w:t>2539014</w:t>
      </w:r>
    </w:p>
    <w:p w14:paraId="15F5566F" w14:textId="77777777" w:rsidR="00D71800" w:rsidRDefault="009F3583">
      <w:pPr>
        <w:spacing w:before="240" w:line="360" w:lineRule="auto"/>
        <w:jc w:val="center"/>
      </w:pPr>
      <w:r>
        <w:rPr>
          <w:rFonts w:ascii="Arial" w:hAnsi="Arial" w:cs="Arial"/>
          <w:b/>
          <w:bCs/>
        </w:rPr>
        <w:t xml:space="preserve">Lecturer Name: </w:t>
      </w:r>
      <w:r>
        <w:rPr>
          <w:rFonts w:ascii="Arial" w:hAnsi="Arial" w:cs="Arial"/>
        </w:rPr>
        <w:t>Muhammad Aliyu</w:t>
      </w:r>
    </w:p>
    <w:p w14:paraId="15F55670" w14:textId="77777777" w:rsidR="00D71800" w:rsidRDefault="00D71800">
      <w:pPr>
        <w:spacing w:before="240" w:line="360" w:lineRule="auto"/>
        <w:jc w:val="both"/>
        <w:rPr>
          <w:rFonts w:ascii="Arial" w:hAnsi="Arial" w:cs="Arial"/>
          <w:b/>
        </w:rPr>
      </w:pPr>
    </w:p>
    <w:p w14:paraId="15F55671" w14:textId="77777777" w:rsidR="00D71800" w:rsidRDefault="00D71800">
      <w:pPr>
        <w:spacing w:before="240" w:line="360" w:lineRule="auto"/>
        <w:jc w:val="both"/>
        <w:rPr>
          <w:rFonts w:ascii="Arial" w:hAnsi="Arial" w:cs="Arial"/>
          <w:b/>
        </w:rPr>
      </w:pPr>
    </w:p>
    <w:p w14:paraId="15F55672" w14:textId="77777777" w:rsidR="00D71800" w:rsidRDefault="00D71800">
      <w:pPr>
        <w:spacing w:before="240" w:line="360" w:lineRule="auto"/>
        <w:jc w:val="both"/>
        <w:rPr>
          <w:rFonts w:ascii="Arial" w:hAnsi="Arial" w:cs="Arial"/>
          <w:b/>
        </w:rPr>
      </w:pPr>
    </w:p>
    <w:p w14:paraId="15F55673" w14:textId="77777777" w:rsidR="00D71800" w:rsidRDefault="00D71800">
      <w:pPr>
        <w:spacing w:before="240" w:line="360" w:lineRule="auto"/>
        <w:jc w:val="both"/>
        <w:rPr>
          <w:rFonts w:ascii="Arial" w:hAnsi="Arial" w:cs="Arial"/>
          <w:b/>
        </w:rPr>
      </w:pPr>
    </w:p>
    <w:p w14:paraId="15F55674" w14:textId="77777777" w:rsidR="00D71800" w:rsidRDefault="00D71800">
      <w:pPr>
        <w:spacing w:before="240" w:line="360" w:lineRule="auto"/>
        <w:jc w:val="both"/>
        <w:rPr>
          <w:rFonts w:ascii="Arial" w:hAnsi="Arial" w:cs="Arial"/>
          <w:b/>
        </w:rPr>
      </w:pPr>
    </w:p>
    <w:p w14:paraId="15F55675" w14:textId="77777777" w:rsidR="00D71800" w:rsidRDefault="00D71800">
      <w:pPr>
        <w:spacing w:before="240" w:line="360" w:lineRule="auto"/>
        <w:jc w:val="both"/>
        <w:rPr>
          <w:rFonts w:ascii="Arial" w:hAnsi="Arial" w:cs="Arial"/>
          <w:b/>
        </w:rPr>
      </w:pPr>
    </w:p>
    <w:p w14:paraId="15F55676" w14:textId="77777777" w:rsidR="00D71800" w:rsidRDefault="00D71800">
      <w:pPr>
        <w:spacing w:before="240" w:line="360" w:lineRule="auto"/>
        <w:jc w:val="both"/>
        <w:rPr>
          <w:rFonts w:ascii="Arial" w:hAnsi="Arial" w:cs="Arial"/>
          <w:b/>
        </w:rPr>
      </w:pPr>
    </w:p>
    <w:p w14:paraId="15F55677" w14:textId="77777777" w:rsidR="00D71800" w:rsidRDefault="00D71800">
      <w:pPr>
        <w:spacing w:before="240" w:line="360" w:lineRule="auto"/>
        <w:jc w:val="both"/>
        <w:rPr>
          <w:rFonts w:ascii="Arial" w:hAnsi="Arial" w:cs="Arial"/>
          <w:b/>
        </w:rPr>
      </w:pPr>
    </w:p>
    <w:p w14:paraId="15F55678" w14:textId="77777777" w:rsidR="00D71800" w:rsidRDefault="00D71800">
      <w:pPr>
        <w:spacing w:before="240" w:line="360" w:lineRule="auto"/>
        <w:jc w:val="both"/>
        <w:rPr>
          <w:rFonts w:ascii="Arial" w:hAnsi="Arial" w:cs="Arial"/>
          <w:b/>
        </w:rPr>
      </w:pPr>
    </w:p>
    <w:p w14:paraId="15F55679" w14:textId="77777777" w:rsidR="00D71800" w:rsidRDefault="00D71800">
      <w:pPr>
        <w:spacing w:before="240" w:line="360" w:lineRule="auto"/>
        <w:jc w:val="both"/>
        <w:rPr>
          <w:rFonts w:ascii="Arial" w:hAnsi="Arial" w:cs="Arial"/>
          <w:b/>
        </w:rPr>
      </w:pPr>
    </w:p>
    <w:p w14:paraId="15F5567A" w14:textId="77777777" w:rsidR="00D71800" w:rsidRDefault="009F3583">
      <w:pPr>
        <w:spacing w:before="240" w:line="360" w:lineRule="auto"/>
        <w:jc w:val="center"/>
        <w:rPr>
          <w:rFonts w:ascii="Arial" w:hAnsi="Arial" w:cs="Arial"/>
          <w:b/>
          <w:u w:val="single"/>
        </w:rPr>
      </w:pPr>
      <w:r>
        <w:rPr>
          <w:rFonts w:ascii="Arial" w:hAnsi="Arial" w:cs="Arial"/>
          <w:b/>
          <w:u w:val="single"/>
        </w:rPr>
        <w:lastRenderedPageBreak/>
        <w:t>TABLE OF CONTENTS:</w:t>
      </w:r>
    </w:p>
    <w:p w14:paraId="15F5567B" w14:textId="77777777" w:rsidR="00D71800" w:rsidRDefault="009F3583">
      <w:pPr>
        <w:spacing w:line="360" w:lineRule="auto"/>
        <w:jc w:val="both"/>
      </w:pPr>
      <w:r>
        <w:rPr>
          <w:rFonts w:ascii="Arial" w:hAnsi="Arial" w:cs="Arial"/>
          <w:b/>
          <w:u w:val="single"/>
        </w:rPr>
        <w:t xml:space="preserve">Task 1: </w:t>
      </w:r>
      <w:r>
        <w:rPr>
          <w:rFonts w:ascii="Arial" w:eastAsia="Arial" w:hAnsi="Arial" w:cs="Arial"/>
          <w:b/>
          <w:bCs/>
          <w:u w:val="single"/>
        </w:rPr>
        <w:t>Social Epidemiological Analysis</w:t>
      </w:r>
      <w:r>
        <w:rPr>
          <w:rFonts w:ascii="Arial" w:eastAsia="Arial" w:hAnsi="Arial" w:cs="Arial"/>
          <w:b/>
          <w:bCs/>
        </w:rPr>
        <w:t xml:space="preserve"> </w:t>
      </w:r>
      <w:r>
        <w:rPr>
          <w:rFonts w:ascii="Arial" w:eastAsia="Arial" w:hAnsi="Arial" w:cs="Arial"/>
        </w:rPr>
        <w:t xml:space="preserve"> </w:t>
      </w:r>
    </w:p>
    <w:p w14:paraId="15F5567C" w14:textId="77777777" w:rsidR="00D71800" w:rsidRDefault="009F3583">
      <w:pPr>
        <w:pStyle w:val="ListParagraph"/>
        <w:numPr>
          <w:ilvl w:val="0"/>
          <w:numId w:val="1"/>
        </w:numPr>
        <w:spacing w:before="240" w:line="360" w:lineRule="auto"/>
      </w:pPr>
      <w:r>
        <w:rPr>
          <w:rFonts w:ascii="Arial" w:hAnsi="Arial" w:cs="Arial"/>
          <w:b/>
        </w:rPr>
        <w:t>Introduction</w:t>
      </w:r>
    </w:p>
    <w:p w14:paraId="15F5567D" w14:textId="77777777" w:rsidR="00D71800" w:rsidRDefault="009F3583">
      <w:pPr>
        <w:pStyle w:val="ListParagraph"/>
        <w:numPr>
          <w:ilvl w:val="0"/>
          <w:numId w:val="1"/>
        </w:numPr>
        <w:spacing w:before="240" w:line="360" w:lineRule="auto"/>
        <w:jc w:val="both"/>
      </w:pPr>
      <w:r>
        <w:rPr>
          <w:rFonts w:ascii="Arial" w:eastAsia="Arial" w:hAnsi="Arial" w:cs="Arial"/>
          <w:b/>
          <w:bCs/>
        </w:rPr>
        <w:t>Contextual background and underlying factors</w:t>
      </w:r>
    </w:p>
    <w:p w14:paraId="15F5567E" w14:textId="77777777" w:rsidR="00D71800" w:rsidRDefault="009F3583">
      <w:pPr>
        <w:spacing w:before="240" w:line="360" w:lineRule="auto"/>
        <w:ind w:firstLine="643"/>
        <w:jc w:val="both"/>
        <w:rPr>
          <w:rFonts w:ascii="Arial" w:eastAsia="Arial" w:hAnsi="Arial" w:cs="Arial"/>
          <w:b/>
          <w:bCs/>
        </w:rPr>
      </w:pPr>
      <w:r>
        <w:rPr>
          <w:rFonts w:ascii="Arial" w:eastAsia="Arial" w:hAnsi="Arial" w:cs="Arial"/>
          <w:b/>
          <w:bCs/>
        </w:rPr>
        <w:t>2.1 Higher Rates of Dementia</w:t>
      </w:r>
    </w:p>
    <w:p w14:paraId="15F5567F" w14:textId="77777777" w:rsidR="00D71800" w:rsidRDefault="009F3583">
      <w:pPr>
        <w:spacing w:before="240" w:line="360" w:lineRule="auto"/>
        <w:jc w:val="both"/>
      </w:pPr>
      <w:r>
        <w:rPr>
          <w:rFonts w:ascii="Arial" w:eastAsia="Arial" w:hAnsi="Arial" w:cs="Arial"/>
          <w:b/>
          <w:bCs/>
        </w:rPr>
        <w:t xml:space="preserve">          2.2 </w:t>
      </w:r>
      <w:r>
        <w:rPr>
          <w:rFonts w:ascii="Arial" w:eastAsia="Arial" w:hAnsi="Arial" w:cs="Arial"/>
          <w:b/>
          <w:bCs/>
          <w:lang w:val="en-IN"/>
        </w:rPr>
        <w:t xml:space="preserve">Low </w:t>
      </w:r>
      <w:r>
        <w:rPr>
          <w:rFonts w:ascii="Arial" w:eastAsia="Arial" w:hAnsi="Arial" w:cs="Arial"/>
          <w:b/>
          <w:bCs/>
          <w:lang w:val="en-IN"/>
        </w:rPr>
        <w:t xml:space="preserve">Rates of Access to Healthcare </w:t>
      </w:r>
    </w:p>
    <w:p w14:paraId="15F55680"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          2.3 Higher Mortality Rates Among Older People </w:t>
      </w:r>
    </w:p>
    <w:p w14:paraId="15F55681"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          2.4 Social Isolation and Loneliness</w:t>
      </w:r>
    </w:p>
    <w:p w14:paraId="15F55682"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         2.5 Poverty and Financial Insecurity </w:t>
      </w:r>
    </w:p>
    <w:p w14:paraId="15F55683" w14:textId="77777777" w:rsidR="00D71800" w:rsidRDefault="009F3583">
      <w:pPr>
        <w:spacing w:before="240" w:line="360" w:lineRule="auto"/>
        <w:jc w:val="both"/>
      </w:pPr>
      <w:r>
        <w:rPr>
          <w:rFonts w:ascii="Arial" w:eastAsia="Arial" w:hAnsi="Arial" w:cs="Arial"/>
          <w:b/>
          <w:bCs/>
          <w:lang w:val="en-IN"/>
        </w:rPr>
        <w:t xml:space="preserve">         2.6 Poor and Unsuitable Housing</w:t>
      </w:r>
      <w:r>
        <w:rPr>
          <w:rFonts w:ascii="Arial" w:eastAsia="Arial" w:hAnsi="Arial" w:cs="Arial"/>
          <w:b/>
          <w:bCs/>
        </w:rPr>
        <w:t xml:space="preserve"> </w:t>
      </w:r>
    </w:p>
    <w:p w14:paraId="15F55684" w14:textId="77777777" w:rsidR="00D71800" w:rsidRDefault="009F3583">
      <w:pPr>
        <w:pStyle w:val="ListParagraph"/>
        <w:numPr>
          <w:ilvl w:val="0"/>
          <w:numId w:val="1"/>
        </w:numPr>
        <w:spacing w:before="240" w:line="360" w:lineRule="auto"/>
        <w:jc w:val="both"/>
        <w:rPr>
          <w:rFonts w:ascii="Arial" w:eastAsia="Arial" w:hAnsi="Arial" w:cs="Arial"/>
          <w:b/>
          <w:bCs/>
          <w:lang w:val="en-IN"/>
        </w:rPr>
      </w:pPr>
      <w:r>
        <w:rPr>
          <w:rFonts w:ascii="Arial" w:eastAsia="Arial" w:hAnsi="Arial" w:cs="Arial"/>
          <w:b/>
          <w:bCs/>
          <w:lang w:val="en-IN"/>
        </w:rPr>
        <w:t xml:space="preserve">National Response to Reduce Health Inequalities </w:t>
      </w:r>
    </w:p>
    <w:p w14:paraId="15F55685" w14:textId="77777777" w:rsidR="00D71800" w:rsidRDefault="009F3583">
      <w:pPr>
        <w:pStyle w:val="ListParagraph"/>
        <w:spacing w:before="240" w:line="360" w:lineRule="auto"/>
        <w:ind w:left="643"/>
        <w:jc w:val="both"/>
        <w:rPr>
          <w:rFonts w:ascii="Arial" w:eastAsia="Arial" w:hAnsi="Arial" w:cs="Arial"/>
          <w:b/>
          <w:bCs/>
        </w:rPr>
      </w:pPr>
      <w:r>
        <w:rPr>
          <w:rFonts w:ascii="Arial" w:eastAsia="Arial" w:hAnsi="Arial" w:cs="Arial"/>
          <w:b/>
          <w:bCs/>
        </w:rPr>
        <w:t xml:space="preserve">3.1 Improving Dementia Diagnosis </w:t>
      </w:r>
    </w:p>
    <w:p w14:paraId="15F55686" w14:textId="77777777" w:rsidR="00D71800" w:rsidRDefault="009F3583">
      <w:pPr>
        <w:spacing w:before="240" w:line="360" w:lineRule="auto"/>
        <w:jc w:val="both"/>
      </w:pPr>
      <w:r>
        <w:rPr>
          <w:rFonts w:ascii="Arial" w:eastAsia="Arial" w:hAnsi="Arial" w:cs="Arial"/>
          <w:b/>
          <w:bCs/>
          <w:lang w:val="en-IN"/>
        </w:rPr>
        <w:t xml:space="preserve">          3.2 </w:t>
      </w:r>
      <w:r>
        <w:rPr>
          <w:rFonts w:ascii="Arial" w:eastAsia="Arial" w:hAnsi="Arial" w:cs="Arial"/>
          <w:b/>
          <w:bCs/>
        </w:rPr>
        <w:t xml:space="preserve">Dame Barbara Windsor Dementia Goals </w:t>
      </w:r>
    </w:p>
    <w:p w14:paraId="15F55687" w14:textId="77777777" w:rsidR="00D71800" w:rsidRDefault="009F3583">
      <w:pPr>
        <w:pStyle w:val="ListParagraph"/>
        <w:numPr>
          <w:ilvl w:val="0"/>
          <w:numId w:val="1"/>
        </w:numPr>
        <w:spacing w:before="240" w:line="360" w:lineRule="auto"/>
        <w:jc w:val="both"/>
      </w:pPr>
      <w:r>
        <w:rPr>
          <w:rFonts w:ascii="Arial" w:eastAsia="Arial" w:hAnsi="Arial" w:cs="Arial"/>
          <w:b/>
          <w:bCs/>
          <w:lang w:val="en-IN"/>
        </w:rPr>
        <w:t>Organisation Supporting the Chosen Group</w:t>
      </w:r>
    </w:p>
    <w:p w14:paraId="15F55688" w14:textId="77777777" w:rsidR="00D71800" w:rsidRDefault="009F3583">
      <w:pPr>
        <w:pStyle w:val="ListParagraph"/>
        <w:spacing w:before="240" w:line="360" w:lineRule="auto"/>
        <w:ind w:left="643"/>
        <w:jc w:val="both"/>
      </w:pPr>
      <w:r>
        <w:rPr>
          <w:rFonts w:ascii="Arial" w:eastAsia="Arial" w:hAnsi="Arial" w:cs="Arial"/>
          <w:b/>
          <w:bCs/>
          <w:lang w:val="en-IN"/>
        </w:rPr>
        <w:t>4.1</w:t>
      </w:r>
      <w:r>
        <w:rPr>
          <w:rFonts w:ascii="Arial" w:eastAsia="Arial" w:hAnsi="Arial" w:cs="Arial"/>
          <w:lang w:val="en-IN"/>
        </w:rPr>
        <w:t xml:space="preserve"> </w:t>
      </w:r>
      <w:r>
        <w:rPr>
          <w:rFonts w:ascii="Arial" w:eastAsia="Arial" w:hAnsi="Arial" w:cs="Arial"/>
          <w:b/>
          <w:bCs/>
          <w:lang w:val="en-IN"/>
        </w:rPr>
        <w:t>Wider</w:t>
      </w:r>
      <w:r>
        <w:rPr>
          <w:rFonts w:ascii="Arial" w:eastAsia="Arial" w:hAnsi="Arial" w:cs="Arial"/>
          <w:b/>
          <w:bCs/>
        </w:rPr>
        <w:t xml:space="preserve"> Role in Addressing Health Inequalities</w:t>
      </w:r>
    </w:p>
    <w:p w14:paraId="15F55689" w14:textId="77777777" w:rsidR="00D71800" w:rsidRDefault="009F3583">
      <w:pPr>
        <w:pStyle w:val="ListParagraph"/>
        <w:spacing w:before="240" w:line="360" w:lineRule="auto"/>
        <w:ind w:left="643"/>
        <w:jc w:val="both"/>
        <w:rPr>
          <w:rFonts w:ascii="Arial" w:eastAsia="Arial" w:hAnsi="Arial" w:cs="Arial"/>
          <w:b/>
          <w:bCs/>
          <w:lang w:val="en-IN"/>
        </w:rPr>
      </w:pPr>
      <w:r>
        <w:rPr>
          <w:rFonts w:ascii="Arial" w:eastAsia="Arial" w:hAnsi="Arial" w:cs="Arial"/>
          <w:b/>
          <w:bCs/>
          <w:lang w:val="en-IN"/>
        </w:rPr>
        <w:t>4.2 Goals and Research</w:t>
      </w:r>
    </w:p>
    <w:p w14:paraId="15F5568A" w14:textId="77777777" w:rsidR="00D71800" w:rsidRDefault="009F3583">
      <w:pPr>
        <w:pStyle w:val="ListParagraph"/>
        <w:spacing w:before="240" w:line="360" w:lineRule="auto"/>
        <w:ind w:left="643"/>
        <w:jc w:val="both"/>
      </w:pPr>
      <w:r>
        <w:rPr>
          <w:rFonts w:ascii="Arial" w:eastAsia="Arial" w:hAnsi="Arial" w:cs="Arial"/>
          <w:b/>
          <w:bCs/>
          <w:lang w:val="en-IN"/>
        </w:rPr>
        <w:t>4.3 How it helps older people</w:t>
      </w:r>
    </w:p>
    <w:p w14:paraId="15F5568B" w14:textId="77777777" w:rsidR="00D71800" w:rsidRDefault="00D71800">
      <w:pPr>
        <w:pStyle w:val="ListParagraph"/>
        <w:spacing w:before="240" w:line="360" w:lineRule="auto"/>
        <w:ind w:left="643"/>
        <w:jc w:val="both"/>
        <w:rPr>
          <w:rFonts w:ascii="Arial" w:hAnsi="Arial" w:cs="Arial"/>
          <w:b/>
          <w:bCs/>
        </w:rPr>
      </w:pPr>
    </w:p>
    <w:p w14:paraId="15F5568C" w14:textId="77777777" w:rsidR="00D71800" w:rsidRDefault="009F3583">
      <w:pPr>
        <w:pStyle w:val="ListParagraph"/>
        <w:numPr>
          <w:ilvl w:val="0"/>
          <w:numId w:val="1"/>
        </w:numPr>
        <w:spacing w:before="240" w:line="360" w:lineRule="auto"/>
        <w:jc w:val="both"/>
        <w:rPr>
          <w:rFonts w:ascii="Arial" w:eastAsia="Arial" w:hAnsi="Arial" w:cs="Arial"/>
          <w:b/>
          <w:bCs/>
          <w:lang w:val="en-IN"/>
        </w:rPr>
      </w:pPr>
      <w:r>
        <w:rPr>
          <w:rFonts w:ascii="Arial" w:eastAsia="Arial" w:hAnsi="Arial" w:cs="Arial"/>
          <w:b/>
          <w:bCs/>
          <w:lang w:val="en-IN"/>
        </w:rPr>
        <w:t>Conclusion</w:t>
      </w:r>
    </w:p>
    <w:p w14:paraId="15F5568D" w14:textId="77777777" w:rsidR="00D71800" w:rsidRDefault="00D71800">
      <w:pPr>
        <w:pStyle w:val="ListParagraph"/>
        <w:spacing w:before="240" w:line="360" w:lineRule="auto"/>
        <w:ind w:left="643"/>
        <w:jc w:val="both"/>
        <w:rPr>
          <w:rFonts w:ascii="Arial" w:eastAsia="Arial" w:hAnsi="Arial" w:cs="Arial"/>
          <w:b/>
          <w:bCs/>
          <w:lang w:val="en-IN"/>
        </w:rPr>
      </w:pPr>
    </w:p>
    <w:p w14:paraId="15F5568E" w14:textId="77777777" w:rsidR="00D71800" w:rsidRDefault="009F3583">
      <w:pPr>
        <w:spacing w:line="360" w:lineRule="auto"/>
        <w:jc w:val="both"/>
      </w:pPr>
      <w:r>
        <w:rPr>
          <w:rFonts w:ascii="Arial" w:eastAsia="Arial" w:hAnsi="Arial" w:cs="Arial"/>
          <w:b/>
          <w:bCs/>
          <w:u w:val="single"/>
          <w:lang w:val="en-IN"/>
        </w:rPr>
        <w:t>Task 2:</w:t>
      </w:r>
      <w:r>
        <w:rPr>
          <w:rFonts w:ascii="Arial" w:eastAsia="Arial" w:hAnsi="Arial" w:cs="Arial"/>
          <w:b/>
          <w:bCs/>
          <w:lang w:val="en-IN"/>
        </w:rPr>
        <w:t xml:space="preserve"> </w:t>
      </w:r>
      <w:r>
        <w:rPr>
          <w:rFonts w:ascii="Arial" w:eastAsia="Arial" w:hAnsi="Arial" w:cs="Arial"/>
          <w:b/>
          <w:bCs/>
          <w:u w:val="single"/>
        </w:rPr>
        <w:t>Epidemiological Analysis</w:t>
      </w:r>
    </w:p>
    <w:p w14:paraId="15F5568F" w14:textId="77777777" w:rsidR="00D71800" w:rsidRDefault="009F3583">
      <w:pPr>
        <w:pStyle w:val="ListParagraph"/>
        <w:numPr>
          <w:ilvl w:val="0"/>
          <w:numId w:val="2"/>
        </w:numPr>
        <w:spacing w:line="360" w:lineRule="auto"/>
        <w:jc w:val="both"/>
        <w:rPr>
          <w:rFonts w:ascii="Arial" w:eastAsia="Arial" w:hAnsi="Arial" w:cs="Arial"/>
          <w:b/>
          <w:bCs/>
        </w:rPr>
      </w:pPr>
      <w:r>
        <w:rPr>
          <w:rFonts w:ascii="Arial" w:eastAsia="Arial" w:hAnsi="Arial" w:cs="Arial"/>
          <w:b/>
          <w:bCs/>
        </w:rPr>
        <w:t>INTRODUCTION</w:t>
      </w:r>
    </w:p>
    <w:p w14:paraId="15F55690" w14:textId="77777777" w:rsidR="00D71800" w:rsidRDefault="009F3583">
      <w:pPr>
        <w:pStyle w:val="ListParagraph"/>
        <w:spacing w:line="360" w:lineRule="auto"/>
        <w:ind w:left="420"/>
        <w:jc w:val="both"/>
        <w:rPr>
          <w:rFonts w:ascii="Arial" w:hAnsi="Arial" w:cs="Arial"/>
          <w:b/>
          <w:bCs/>
        </w:rPr>
      </w:pPr>
      <w:r>
        <w:rPr>
          <w:rFonts w:ascii="Arial" w:hAnsi="Arial" w:cs="Arial"/>
          <w:b/>
          <w:bCs/>
        </w:rPr>
        <w:t>1.1 Definition and Impact on Health, Society, and Culture</w:t>
      </w:r>
    </w:p>
    <w:p w14:paraId="15F55691" w14:textId="77777777" w:rsidR="00D71800" w:rsidRDefault="009F3583">
      <w:pPr>
        <w:spacing w:line="360" w:lineRule="auto"/>
        <w:jc w:val="both"/>
      </w:pPr>
      <w:r>
        <w:rPr>
          <w:rFonts w:ascii="Arial" w:hAnsi="Arial" w:cs="Arial"/>
          <w:b/>
          <w:bCs/>
          <w:lang w:val="en-IN"/>
        </w:rPr>
        <w:t xml:space="preserve">       1.2 </w:t>
      </w:r>
      <w:r>
        <w:rPr>
          <w:rFonts w:ascii="Arial" w:hAnsi="Arial" w:cs="Arial"/>
          <w:b/>
          <w:bCs/>
        </w:rPr>
        <w:t>Epidemiological Information Globally and in the UK</w:t>
      </w:r>
    </w:p>
    <w:p w14:paraId="15F55692" w14:textId="77777777" w:rsidR="00D71800" w:rsidRDefault="009F3583">
      <w:pPr>
        <w:pStyle w:val="ListParagraph"/>
        <w:numPr>
          <w:ilvl w:val="0"/>
          <w:numId w:val="2"/>
        </w:numPr>
        <w:spacing w:line="360" w:lineRule="auto"/>
        <w:jc w:val="both"/>
        <w:rPr>
          <w:rFonts w:ascii="Arial" w:hAnsi="Arial" w:cs="Arial"/>
          <w:b/>
          <w:bCs/>
        </w:rPr>
      </w:pPr>
      <w:r>
        <w:rPr>
          <w:rFonts w:ascii="Arial" w:hAnsi="Arial" w:cs="Arial"/>
          <w:b/>
          <w:bCs/>
        </w:rPr>
        <w:t>Epidemiological Analysis of Multiple Sclerosis in the UK</w:t>
      </w:r>
    </w:p>
    <w:p w14:paraId="15F55693" w14:textId="77777777" w:rsidR="00D71800" w:rsidRDefault="009F3583">
      <w:pPr>
        <w:pStyle w:val="ListParagraph"/>
        <w:numPr>
          <w:ilvl w:val="1"/>
          <w:numId w:val="3"/>
        </w:numPr>
        <w:spacing w:line="360" w:lineRule="auto"/>
        <w:jc w:val="both"/>
        <w:rPr>
          <w:rFonts w:ascii="Arial" w:hAnsi="Arial" w:cs="Arial"/>
          <w:b/>
          <w:bCs/>
        </w:rPr>
      </w:pPr>
      <w:r>
        <w:rPr>
          <w:rFonts w:ascii="Arial" w:hAnsi="Arial" w:cs="Arial"/>
          <w:b/>
          <w:bCs/>
        </w:rPr>
        <w:t>Public Health Measures: Prevention, Protection and Promotion</w:t>
      </w:r>
    </w:p>
    <w:p w14:paraId="15F55694" w14:textId="77777777" w:rsidR="00D71800" w:rsidRDefault="009F3583">
      <w:pPr>
        <w:pStyle w:val="ListParagraph"/>
        <w:numPr>
          <w:ilvl w:val="1"/>
          <w:numId w:val="3"/>
        </w:numPr>
        <w:spacing w:line="360" w:lineRule="auto"/>
        <w:jc w:val="both"/>
        <w:rPr>
          <w:rFonts w:ascii="Arial" w:hAnsi="Arial" w:cs="Arial"/>
          <w:b/>
          <w:bCs/>
        </w:rPr>
      </w:pPr>
      <w:r>
        <w:rPr>
          <w:rFonts w:ascii="Arial" w:hAnsi="Arial" w:cs="Arial"/>
          <w:b/>
          <w:bCs/>
        </w:rPr>
        <w:t>Key Determinants and Risk Factors</w:t>
      </w:r>
    </w:p>
    <w:p w14:paraId="15F55695" w14:textId="77777777" w:rsidR="00D71800" w:rsidRDefault="009F3583">
      <w:pPr>
        <w:pStyle w:val="ListParagraph"/>
        <w:numPr>
          <w:ilvl w:val="1"/>
          <w:numId w:val="3"/>
        </w:numPr>
        <w:spacing w:line="360" w:lineRule="auto"/>
        <w:jc w:val="both"/>
        <w:rPr>
          <w:rFonts w:ascii="Arial" w:hAnsi="Arial" w:cs="Arial"/>
          <w:b/>
          <w:bCs/>
        </w:rPr>
      </w:pPr>
      <w:r>
        <w:rPr>
          <w:rFonts w:ascii="Arial" w:hAnsi="Arial" w:cs="Arial"/>
          <w:b/>
          <w:bCs/>
        </w:rPr>
        <w:t>Identification of People Affected</w:t>
      </w:r>
    </w:p>
    <w:p w14:paraId="15F55696" w14:textId="77777777" w:rsidR="00D71800" w:rsidRDefault="009F3583">
      <w:pPr>
        <w:pStyle w:val="ListParagraph"/>
        <w:numPr>
          <w:ilvl w:val="1"/>
          <w:numId w:val="3"/>
        </w:numPr>
        <w:spacing w:line="360" w:lineRule="auto"/>
        <w:jc w:val="both"/>
        <w:rPr>
          <w:rFonts w:ascii="Arial" w:hAnsi="Arial" w:cs="Arial"/>
          <w:b/>
          <w:bCs/>
        </w:rPr>
      </w:pPr>
      <w:r>
        <w:rPr>
          <w:rFonts w:ascii="Arial" w:hAnsi="Arial" w:cs="Arial"/>
          <w:b/>
          <w:bCs/>
        </w:rPr>
        <w:lastRenderedPageBreak/>
        <w:t>Monitoring and Surveillance</w:t>
      </w:r>
    </w:p>
    <w:p w14:paraId="15F55697" w14:textId="77777777" w:rsidR="00D71800" w:rsidRDefault="009F3583">
      <w:pPr>
        <w:pStyle w:val="ListParagraph"/>
        <w:numPr>
          <w:ilvl w:val="1"/>
          <w:numId w:val="3"/>
        </w:numPr>
        <w:spacing w:line="360" w:lineRule="auto"/>
        <w:jc w:val="both"/>
        <w:rPr>
          <w:rFonts w:ascii="Arial" w:hAnsi="Arial" w:cs="Arial"/>
          <w:b/>
          <w:bCs/>
        </w:rPr>
      </w:pPr>
      <w:r>
        <w:rPr>
          <w:rFonts w:ascii="Arial" w:hAnsi="Arial" w:cs="Arial"/>
          <w:b/>
          <w:bCs/>
        </w:rPr>
        <w:t>Short- and Long-Term Public Health Impact</w:t>
      </w:r>
    </w:p>
    <w:p w14:paraId="15F55698" w14:textId="77777777" w:rsidR="00D71800" w:rsidRDefault="009F3583">
      <w:pPr>
        <w:pStyle w:val="ListParagraph"/>
        <w:numPr>
          <w:ilvl w:val="1"/>
          <w:numId w:val="3"/>
        </w:numPr>
        <w:spacing w:line="360" w:lineRule="auto"/>
        <w:jc w:val="both"/>
      </w:pPr>
      <w:r>
        <w:rPr>
          <w:rFonts w:ascii="Arial" w:hAnsi="Arial" w:cs="Arial"/>
          <w:b/>
          <w:bCs/>
        </w:rPr>
        <w:t>Proposed Health Intervention Programme</w:t>
      </w:r>
    </w:p>
    <w:p w14:paraId="15F55699" w14:textId="77777777" w:rsidR="00D71800" w:rsidRDefault="009F3583">
      <w:pPr>
        <w:pStyle w:val="ListParagraph"/>
        <w:numPr>
          <w:ilvl w:val="1"/>
          <w:numId w:val="3"/>
        </w:numPr>
        <w:spacing w:line="360" w:lineRule="auto"/>
        <w:jc w:val="both"/>
        <w:rPr>
          <w:rFonts w:ascii="Arial" w:hAnsi="Arial" w:cs="Arial"/>
          <w:b/>
          <w:bCs/>
        </w:rPr>
      </w:pPr>
      <w:r>
        <w:rPr>
          <w:rFonts w:ascii="Arial" w:hAnsi="Arial" w:cs="Arial"/>
          <w:b/>
          <w:bCs/>
        </w:rPr>
        <w:t xml:space="preserve">Culturally Sensitive Intervention Program Design </w:t>
      </w:r>
      <w:r>
        <w:rPr>
          <w:rFonts w:ascii="Arial" w:hAnsi="Arial" w:cs="Arial"/>
          <w:b/>
          <w:bCs/>
        </w:rPr>
        <w:t>and Evaluation</w:t>
      </w:r>
    </w:p>
    <w:p w14:paraId="15F5569A" w14:textId="77777777" w:rsidR="00D71800" w:rsidRDefault="009F3583">
      <w:pPr>
        <w:pStyle w:val="ListParagraph"/>
        <w:numPr>
          <w:ilvl w:val="2"/>
          <w:numId w:val="3"/>
        </w:numPr>
        <w:spacing w:line="360" w:lineRule="auto"/>
        <w:jc w:val="both"/>
        <w:rPr>
          <w:rFonts w:ascii="Arial" w:hAnsi="Arial" w:cs="Arial"/>
          <w:b/>
          <w:bCs/>
        </w:rPr>
      </w:pPr>
      <w:r>
        <w:rPr>
          <w:rFonts w:ascii="Arial" w:hAnsi="Arial" w:cs="Arial"/>
          <w:b/>
          <w:bCs/>
        </w:rPr>
        <w:t>Intervention Program Design: Community-Based MS Physiotherapy                 Programme</w:t>
      </w:r>
    </w:p>
    <w:p w14:paraId="15F5569B" w14:textId="77777777" w:rsidR="00D71800" w:rsidRDefault="009F3583">
      <w:pPr>
        <w:pStyle w:val="ListParagraph"/>
        <w:numPr>
          <w:ilvl w:val="2"/>
          <w:numId w:val="3"/>
        </w:numPr>
        <w:spacing w:line="360" w:lineRule="auto"/>
        <w:jc w:val="both"/>
        <w:rPr>
          <w:rFonts w:ascii="Arial" w:hAnsi="Arial" w:cs="Arial"/>
          <w:b/>
          <w:bCs/>
        </w:rPr>
      </w:pPr>
      <w:r>
        <w:rPr>
          <w:rFonts w:ascii="Arial" w:hAnsi="Arial" w:cs="Arial"/>
          <w:b/>
          <w:bCs/>
        </w:rPr>
        <w:t>Evaluation Plan</w:t>
      </w:r>
    </w:p>
    <w:p w14:paraId="15F5569C" w14:textId="77777777" w:rsidR="00D71800" w:rsidRDefault="009F3583">
      <w:pPr>
        <w:pStyle w:val="ListParagraph"/>
        <w:numPr>
          <w:ilvl w:val="1"/>
          <w:numId w:val="3"/>
        </w:numPr>
        <w:spacing w:line="360" w:lineRule="auto"/>
        <w:jc w:val="both"/>
      </w:pPr>
      <w:r>
        <w:rPr>
          <w:rFonts w:ascii="Arial" w:hAnsi="Arial" w:cs="Arial"/>
          <w:b/>
          <w:bCs/>
        </w:rPr>
        <w:t>Strengths and Weaknesses of the Epidemiological Approach</w:t>
      </w:r>
    </w:p>
    <w:p w14:paraId="15F5569D" w14:textId="77777777" w:rsidR="00D71800" w:rsidRDefault="009F3583">
      <w:pPr>
        <w:spacing w:line="360" w:lineRule="auto"/>
        <w:ind w:left="60"/>
        <w:jc w:val="both"/>
        <w:rPr>
          <w:rFonts w:ascii="Arial" w:hAnsi="Arial" w:cs="Arial"/>
          <w:b/>
          <w:bCs/>
        </w:rPr>
      </w:pPr>
      <w:r>
        <w:rPr>
          <w:rFonts w:ascii="Arial" w:hAnsi="Arial" w:cs="Arial"/>
          <w:b/>
          <w:bCs/>
        </w:rPr>
        <w:t xml:space="preserve">3 </w:t>
      </w:r>
      <w:proofErr w:type="gramStart"/>
      <w:r>
        <w:rPr>
          <w:rFonts w:ascii="Arial" w:hAnsi="Arial" w:cs="Arial"/>
          <w:b/>
          <w:bCs/>
        </w:rPr>
        <w:t>CONCLUSION</w:t>
      </w:r>
      <w:proofErr w:type="gramEnd"/>
    </w:p>
    <w:p w14:paraId="15F5569E" w14:textId="77777777" w:rsidR="00D71800" w:rsidRDefault="009F3583">
      <w:pPr>
        <w:spacing w:line="360" w:lineRule="auto"/>
        <w:jc w:val="both"/>
        <w:rPr>
          <w:rFonts w:ascii="Arial" w:hAnsi="Arial" w:cs="Arial"/>
          <w:b/>
          <w:bCs/>
        </w:rPr>
      </w:pPr>
      <w:r>
        <w:rPr>
          <w:rFonts w:ascii="Arial" w:hAnsi="Arial" w:cs="Arial"/>
          <w:b/>
          <w:bCs/>
        </w:rPr>
        <w:t xml:space="preserve"> 4   REFERENCES</w:t>
      </w:r>
    </w:p>
    <w:p w14:paraId="15F5569F" w14:textId="77777777" w:rsidR="00D71800" w:rsidRDefault="00D71800">
      <w:pPr>
        <w:spacing w:before="240" w:line="360" w:lineRule="auto"/>
        <w:jc w:val="both"/>
        <w:rPr>
          <w:rFonts w:ascii="Arial" w:eastAsia="Arial" w:hAnsi="Arial" w:cs="Arial"/>
          <w:b/>
          <w:bCs/>
          <w:lang w:val="en-IN"/>
        </w:rPr>
      </w:pPr>
    </w:p>
    <w:p w14:paraId="15F556A0" w14:textId="77777777" w:rsidR="00D71800" w:rsidRDefault="00D71800">
      <w:pPr>
        <w:spacing w:before="240" w:line="360" w:lineRule="auto"/>
        <w:jc w:val="both"/>
        <w:rPr>
          <w:rFonts w:ascii="Arial" w:hAnsi="Arial" w:cs="Arial"/>
          <w:b/>
        </w:rPr>
      </w:pPr>
    </w:p>
    <w:p w14:paraId="15F556A1" w14:textId="77777777" w:rsidR="00D71800" w:rsidRDefault="00D71800">
      <w:pPr>
        <w:spacing w:before="240" w:line="360" w:lineRule="auto"/>
        <w:jc w:val="both"/>
        <w:rPr>
          <w:rFonts w:ascii="Arial" w:hAnsi="Arial" w:cs="Arial"/>
          <w:b/>
        </w:rPr>
      </w:pPr>
    </w:p>
    <w:p w14:paraId="15F556A2" w14:textId="77777777" w:rsidR="00D71800" w:rsidRDefault="00D71800">
      <w:pPr>
        <w:spacing w:before="240" w:line="360" w:lineRule="auto"/>
        <w:jc w:val="both"/>
        <w:rPr>
          <w:rFonts w:ascii="Arial" w:hAnsi="Arial" w:cs="Arial"/>
          <w:b/>
        </w:rPr>
      </w:pPr>
    </w:p>
    <w:p w14:paraId="15F556A3" w14:textId="77777777" w:rsidR="00D71800" w:rsidRDefault="00D71800">
      <w:pPr>
        <w:spacing w:before="240" w:line="360" w:lineRule="auto"/>
        <w:jc w:val="both"/>
        <w:rPr>
          <w:rFonts w:ascii="Arial" w:hAnsi="Arial" w:cs="Arial"/>
          <w:b/>
        </w:rPr>
      </w:pPr>
    </w:p>
    <w:p w14:paraId="15F556A4" w14:textId="77777777" w:rsidR="00D71800" w:rsidRDefault="00D71800">
      <w:pPr>
        <w:spacing w:before="240" w:line="360" w:lineRule="auto"/>
        <w:jc w:val="both"/>
        <w:rPr>
          <w:rFonts w:ascii="Arial" w:hAnsi="Arial" w:cs="Arial"/>
          <w:b/>
        </w:rPr>
      </w:pPr>
    </w:p>
    <w:p w14:paraId="15F556A5" w14:textId="77777777" w:rsidR="00D71800" w:rsidRDefault="00D71800">
      <w:pPr>
        <w:spacing w:before="240" w:line="360" w:lineRule="auto"/>
        <w:jc w:val="both"/>
        <w:rPr>
          <w:rFonts w:ascii="Arial" w:hAnsi="Arial" w:cs="Arial"/>
          <w:b/>
        </w:rPr>
      </w:pPr>
    </w:p>
    <w:p w14:paraId="15F556A6" w14:textId="77777777" w:rsidR="00D71800" w:rsidRDefault="00D71800">
      <w:pPr>
        <w:spacing w:before="240" w:line="360" w:lineRule="auto"/>
        <w:jc w:val="both"/>
        <w:rPr>
          <w:rFonts w:ascii="Arial" w:hAnsi="Arial" w:cs="Arial"/>
          <w:b/>
        </w:rPr>
      </w:pPr>
    </w:p>
    <w:p w14:paraId="15F556A7" w14:textId="77777777" w:rsidR="00D71800" w:rsidRDefault="00D71800">
      <w:pPr>
        <w:spacing w:before="240" w:line="360" w:lineRule="auto"/>
        <w:jc w:val="both"/>
        <w:rPr>
          <w:rFonts w:ascii="Arial" w:hAnsi="Arial" w:cs="Arial"/>
          <w:b/>
        </w:rPr>
      </w:pPr>
    </w:p>
    <w:p w14:paraId="15F556A8" w14:textId="77777777" w:rsidR="00D71800" w:rsidRDefault="00D71800">
      <w:pPr>
        <w:spacing w:before="240" w:line="360" w:lineRule="auto"/>
        <w:jc w:val="both"/>
        <w:rPr>
          <w:rFonts w:ascii="Arial" w:hAnsi="Arial" w:cs="Arial"/>
          <w:b/>
        </w:rPr>
      </w:pPr>
    </w:p>
    <w:p w14:paraId="15F556A9" w14:textId="77777777" w:rsidR="00D71800" w:rsidRDefault="00D71800">
      <w:pPr>
        <w:spacing w:before="240" w:line="360" w:lineRule="auto"/>
        <w:jc w:val="both"/>
        <w:rPr>
          <w:rFonts w:ascii="Arial" w:hAnsi="Arial" w:cs="Arial"/>
          <w:b/>
        </w:rPr>
      </w:pPr>
    </w:p>
    <w:p w14:paraId="15F556AA" w14:textId="77777777" w:rsidR="00D71800" w:rsidRDefault="00D71800">
      <w:pPr>
        <w:spacing w:before="240" w:line="360" w:lineRule="auto"/>
        <w:jc w:val="both"/>
        <w:rPr>
          <w:rFonts w:ascii="Arial" w:hAnsi="Arial" w:cs="Arial"/>
          <w:b/>
        </w:rPr>
      </w:pPr>
    </w:p>
    <w:p w14:paraId="15F556AB" w14:textId="77777777" w:rsidR="00D71800" w:rsidRDefault="00D71800">
      <w:pPr>
        <w:spacing w:before="240" w:line="360" w:lineRule="auto"/>
        <w:jc w:val="both"/>
        <w:rPr>
          <w:rFonts w:ascii="Arial" w:hAnsi="Arial" w:cs="Arial"/>
          <w:b/>
        </w:rPr>
      </w:pPr>
    </w:p>
    <w:p w14:paraId="15F556AC" w14:textId="77777777" w:rsidR="00D71800" w:rsidRDefault="00D71800">
      <w:pPr>
        <w:spacing w:before="240" w:line="360" w:lineRule="auto"/>
        <w:jc w:val="both"/>
        <w:rPr>
          <w:rFonts w:ascii="Arial" w:hAnsi="Arial" w:cs="Arial"/>
          <w:b/>
        </w:rPr>
      </w:pPr>
    </w:p>
    <w:p w14:paraId="15F556AD" w14:textId="77777777" w:rsidR="00D71800" w:rsidRDefault="00D71800">
      <w:pPr>
        <w:spacing w:before="240" w:line="360" w:lineRule="auto"/>
        <w:jc w:val="both"/>
        <w:rPr>
          <w:rFonts w:ascii="Arial" w:hAnsi="Arial" w:cs="Arial"/>
          <w:b/>
        </w:rPr>
      </w:pPr>
    </w:p>
    <w:p w14:paraId="15F556AE" w14:textId="77777777" w:rsidR="00D71800" w:rsidRDefault="00D71800">
      <w:pPr>
        <w:spacing w:line="360" w:lineRule="auto"/>
        <w:jc w:val="both"/>
        <w:rPr>
          <w:rFonts w:ascii="Arial" w:hAnsi="Arial" w:cs="Arial"/>
          <w:b/>
        </w:rPr>
      </w:pPr>
    </w:p>
    <w:p w14:paraId="15F556AF" w14:textId="77777777" w:rsidR="00D71800" w:rsidRDefault="009F3583">
      <w:pPr>
        <w:spacing w:line="360" w:lineRule="auto"/>
        <w:jc w:val="both"/>
      </w:pPr>
      <w:r>
        <w:rPr>
          <w:rFonts w:ascii="Arial" w:hAnsi="Arial" w:cs="Arial"/>
          <w:b/>
          <w:u w:val="single"/>
        </w:rPr>
        <w:lastRenderedPageBreak/>
        <w:t xml:space="preserve">Task 1: </w:t>
      </w:r>
      <w:r>
        <w:rPr>
          <w:rFonts w:ascii="Arial" w:eastAsia="Arial" w:hAnsi="Arial" w:cs="Arial"/>
          <w:b/>
          <w:bCs/>
          <w:u w:val="single"/>
        </w:rPr>
        <w:t>Social Epidemiological Analysis</w:t>
      </w:r>
      <w:r>
        <w:rPr>
          <w:rFonts w:ascii="Arial" w:eastAsia="Arial" w:hAnsi="Arial" w:cs="Arial"/>
          <w:b/>
          <w:bCs/>
        </w:rPr>
        <w:t xml:space="preserve"> </w:t>
      </w:r>
      <w:r>
        <w:rPr>
          <w:rFonts w:ascii="Arial" w:eastAsia="Arial" w:hAnsi="Arial" w:cs="Arial"/>
        </w:rPr>
        <w:t xml:space="preserve"> </w:t>
      </w:r>
    </w:p>
    <w:p w14:paraId="15F556B0" w14:textId="77777777" w:rsidR="00D71800" w:rsidRDefault="009F3583">
      <w:pPr>
        <w:spacing w:line="360" w:lineRule="auto"/>
        <w:jc w:val="both"/>
      </w:pPr>
      <w:r>
        <w:rPr>
          <w:rFonts w:ascii="Arial" w:eastAsia="Arial" w:hAnsi="Arial" w:cs="Arial"/>
          <w:b/>
          <w:bCs/>
          <w:u w:val="single"/>
        </w:rPr>
        <w:t>Topic:</w:t>
      </w:r>
      <w:r>
        <w:rPr>
          <w:rFonts w:ascii="Arial" w:eastAsia="Arial" w:hAnsi="Arial" w:cs="Arial"/>
        </w:rPr>
        <w:t xml:space="preserve"> </w:t>
      </w:r>
      <w:r>
        <w:rPr>
          <w:rFonts w:ascii="Arial" w:hAnsi="Arial" w:cs="Arial"/>
          <w:b/>
        </w:rPr>
        <w:t>Disability Inequality and Health Inequalities in the UK: A Social Epidemiological Analysis</w:t>
      </w:r>
    </w:p>
    <w:p w14:paraId="15F556B1" w14:textId="77777777" w:rsidR="00D71800" w:rsidRDefault="009F3583">
      <w:pPr>
        <w:spacing w:before="240" w:line="360" w:lineRule="auto"/>
        <w:jc w:val="both"/>
        <w:rPr>
          <w:rFonts w:ascii="Arial" w:hAnsi="Arial" w:cs="Arial"/>
          <w:b/>
          <w:u w:val="single"/>
        </w:rPr>
      </w:pPr>
      <w:r>
        <w:rPr>
          <w:rFonts w:ascii="Arial" w:hAnsi="Arial" w:cs="Arial"/>
          <w:b/>
          <w:u w:val="single"/>
        </w:rPr>
        <w:t>1. Introduction:</w:t>
      </w:r>
    </w:p>
    <w:p w14:paraId="15F556B2" w14:textId="77777777" w:rsidR="00D71800" w:rsidRDefault="009F3583">
      <w:pPr>
        <w:spacing w:before="240" w:line="360" w:lineRule="auto"/>
        <w:jc w:val="both"/>
        <w:rPr>
          <w:rFonts w:ascii="Arial" w:hAnsi="Arial" w:cs="Arial"/>
          <w:bCs/>
        </w:rPr>
      </w:pPr>
      <w:r>
        <w:rPr>
          <w:rFonts w:ascii="Arial" w:hAnsi="Arial" w:cs="Arial"/>
          <w:bCs/>
        </w:rPr>
        <w:t xml:space="preserve">Disability is an important public health and health-inequality issue in the UK. Disabled people experience poorer outcomes across </w:t>
      </w:r>
      <w:r>
        <w:rPr>
          <w:rFonts w:ascii="Arial" w:hAnsi="Arial" w:cs="Arial"/>
          <w:bCs/>
        </w:rPr>
        <w:t xml:space="preserve">health, employment, housing, wellbeing and social participation compared with non-disabled people (ONS, 2021). Disability can also create barriers to accessing healthcare, including difficulties with communication, accessibility and reasonable adjustments (NHS England, 2025). In England, 17.7% of the population (9.8 million people) were disabled in Census 2021, while in Wales the figure was 21.1% (670,000 people) (ONS, 2023). Social and economic circumstances influence these inequalities and can contribute </w:t>
      </w:r>
      <w:r>
        <w:rPr>
          <w:rFonts w:ascii="Arial" w:hAnsi="Arial" w:cs="Arial"/>
          <w:bCs/>
        </w:rPr>
        <w:t>to poorer health and quality of life.</w:t>
      </w:r>
    </w:p>
    <w:p w14:paraId="15F556B3" w14:textId="77777777" w:rsidR="00D71800" w:rsidRDefault="009F3583">
      <w:pPr>
        <w:spacing w:before="240" w:line="360" w:lineRule="auto"/>
        <w:jc w:val="both"/>
      </w:pPr>
      <w:r>
        <w:rPr>
          <w:rFonts w:ascii="Arial" w:hAnsi="Arial" w:cs="Arial"/>
          <w:b/>
          <w:u w:val="single"/>
        </w:rPr>
        <w:t xml:space="preserve">2. </w:t>
      </w:r>
      <w:r>
        <w:rPr>
          <w:rFonts w:ascii="Arial" w:eastAsia="Arial" w:hAnsi="Arial" w:cs="Arial"/>
          <w:b/>
          <w:bCs/>
          <w:u w:val="single"/>
        </w:rPr>
        <w:t>Contextual background and underlying factors</w:t>
      </w:r>
    </w:p>
    <w:p w14:paraId="15F556B4" w14:textId="77777777" w:rsidR="00D71800" w:rsidRDefault="009F3583">
      <w:pPr>
        <w:spacing w:before="240" w:line="360" w:lineRule="auto"/>
        <w:jc w:val="both"/>
        <w:rPr>
          <w:rFonts w:ascii="Arial" w:eastAsia="Arial" w:hAnsi="Arial" w:cs="Arial"/>
          <w:b/>
          <w:bCs/>
        </w:rPr>
      </w:pPr>
      <w:r>
        <w:rPr>
          <w:rFonts w:ascii="Arial" w:eastAsia="Arial" w:hAnsi="Arial" w:cs="Arial"/>
          <w:b/>
          <w:bCs/>
        </w:rPr>
        <w:t>Selected Target Group: Older People Aged 65 Years and Over in the UK</w:t>
      </w:r>
    </w:p>
    <w:p w14:paraId="15F556B5" w14:textId="77777777" w:rsidR="00D71800" w:rsidRDefault="009F3583">
      <w:pPr>
        <w:spacing w:before="240" w:line="360" w:lineRule="auto"/>
        <w:jc w:val="both"/>
        <w:rPr>
          <w:rFonts w:ascii="Arial" w:eastAsia="Arial" w:hAnsi="Arial" w:cs="Arial"/>
          <w:b/>
          <w:bCs/>
        </w:rPr>
      </w:pPr>
      <w:r>
        <w:rPr>
          <w:rFonts w:ascii="Arial" w:eastAsia="Arial" w:hAnsi="Arial" w:cs="Arial"/>
          <w:b/>
          <w:bCs/>
        </w:rPr>
        <w:t xml:space="preserve">2.1 Higher Rates of Dementia </w:t>
      </w:r>
    </w:p>
    <w:p w14:paraId="15F556B6" w14:textId="77777777" w:rsidR="00D71800" w:rsidRDefault="009F3583">
      <w:pPr>
        <w:spacing w:before="240" w:line="360" w:lineRule="auto"/>
        <w:jc w:val="both"/>
        <w:rPr>
          <w:rFonts w:ascii="Arial" w:eastAsia="Arial" w:hAnsi="Arial" w:cs="Arial"/>
        </w:rPr>
      </w:pPr>
      <w:r>
        <w:rPr>
          <w:rFonts w:ascii="Arial" w:eastAsia="Arial" w:hAnsi="Arial" w:cs="Arial"/>
        </w:rPr>
        <w:t>Epidemiological Data &amp; Risk Analysis</w:t>
      </w:r>
    </w:p>
    <w:p w14:paraId="15F556B7" w14:textId="77777777" w:rsidR="00D71800" w:rsidRDefault="009F3583">
      <w:pPr>
        <w:spacing w:before="240" w:line="360" w:lineRule="auto"/>
        <w:jc w:val="both"/>
        <w:rPr>
          <w:rFonts w:ascii="Arial" w:eastAsia="Arial" w:hAnsi="Arial" w:cs="Arial"/>
        </w:rPr>
      </w:pPr>
      <w:r>
        <w:rPr>
          <w:rFonts w:ascii="Arial" w:eastAsia="Arial" w:hAnsi="Arial" w:cs="Arial"/>
        </w:rPr>
        <w:t xml:space="preserve">Dementia poses a critical health inequality for older adults, with 483,000 individuals aged 65 and over in England diagnosed as of December 2024, indicating a prevalence of 4.2%. This figure varies geographically, ranging from 3.6% to 4.8%, which underscores significant disparities in </w:t>
      </w:r>
      <w:r>
        <w:rPr>
          <w:rFonts w:ascii="Arial" w:eastAsia="Arial" w:hAnsi="Arial" w:cs="Arial"/>
        </w:rPr>
        <w:t xml:space="preserve">diagnosis (Office for Health Improvement and Disparities, 2025). </w:t>
      </w:r>
    </w:p>
    <w:p w14:paraId="15F556B8" w14:textId="77777777" w:rsidR="00D71800" w:rsidRDefault="009F3583">
      <w:pPr>
        <w:spacing w:before="240" w:line="360" w:lineRule="auto"/>
        <w:jc w:val="both"/>
        <w:rPr>
          <w:rFonts w:ascii="Arial" w:eastAsia="Arial" w:hAnsi="Arial" w:cs="Arial"/>
        </w:rPr>
      </w:pPr>
      <w:r>
        <w:rPr>
          <w:rFonts w:ascii="Arial" w:eastAsia="Arial" w:hAnsi="Arial" w:cs="Arial"/>
        </w:rPr>
        <w:t>Solutions &amp; Public Health Challenges</w:t>
      </w:r>
    </w:p>
    <w:p w14:paraId="15F556B9" w14:textId="77777777" w:rsidR="00D71800" w:rsidRDefault="009F3583">
      <w:pPr>
        <w:spacing w:before="240" w:line="360" w:lineRule="auto"/>
        <w:jc w:val="both"/>
        <w:rPr>
          <w:rFonts w:ascii="Arial" w:eastAsia="Arial" w:hAnsi="Arial" w:cs="Arial"/>
        </w:rPr>
      </w:pPr>
      <w:r>
        <w:rPr>
          <w:rFonts w:ascii="Arial" w:eastAsia="Arial" w:hAnsi="Arial" w:cs="Arial"/>
        </w:rPr>
        <w:t xml:space="preserve"> Addressing this issue requires early diagnosis, enhanced access to memory assessment services, and integrated health and social care. However, challenges such as regional discrepancies in diagnosis and rising demand for services remain significant hurdles.</w:t>
      </w:r>
    </w:p>
    <w:p w14:paraId="15F556BA" w14:textId="77777777" w:rsidR="00D71800" w:rsidRDefault="00D71800">
      <w:pPr>
        <w:spacing w:before="240" w:line="360" w:lineRule="auto"/>
        <w:jc w:val="both"/>
        <w:rPr>
          <w:rFonts w:ascii="Arial" w:eastAsia="Arial" w:hAnsi="Arial" w:cs="Arial"/>
        </w:rPr>
      </w:pPr>
    </w:p>
    <w:p w14:paraId="15F556BB" w14:textId="77777777" w:rsidR="00D71800" w:rsidRDefault="00D71800">
      <w:pPr>
        <w:spacing w:before="240" w:line="360" w:lineRule="auto"/>
        <w:jc w:val="both"/>
        <w:rPr>
          <w:rFonts w:ascii="Arial" w:eastAsia="Arial" w:hAnsi="Arial" w:cs="Arial"/>
        </w:rPr>
      </w:pPr>
    </w:p>
    <w:p w14:paraId="15F556BC" w14:textId="77777777" w:rsidR="00D71800" w:rsidRDefault="00D71800">
      <w:pPr>
        <w:spacing w:before="240" w:line="360" w:lineRule="auto"/>
        <w:jc w:val="both"/>
        <w:rPr>
          <w:rFonts w:ascii="Arial" w:eastAsia="Arial" w:hAnsi="Arial" w:cs="Arial"/>
        </w:rPr>
      </w:pPr>
    </w:p>
    <w:p w14:paraId="15F556BD" w14:textId="77777777" w:rsidR="00D71800" w:rsidRDefault="009F3583">
      <w:pPr>
        <w:spacing w:before="240" w:line="360" w:lineRule="auto"/>
        <w:jc w:val="both"/>
      </w:pPr>
      <w:r>
        <w:rPr>
          <w:rFonts w:ascii="Arial" w:eastAsia="Arial" w:hAnsi="Arial" w:cs="Arial"/>
          <w:lang w:val="en-IN"/>
        </w:rPr>
        <w:lastRenderedPageBreak/>
        <w:t xml:space="preserve">                </w:t>
      </w:r>
      <w:r>
        <w:rPr>
          <w:rFonts w:ascii="Arial" w:eastAsia="Arial" w:hAnsi="Arial" w:cs="Arial"/>
          <w:noProof/>
          <w:lang w:val="en-IN"/>
        </w:rPr>
        <w:drawing>
          <wp:inline distT="0" distB="0" distL="0" distR="0" wp14:anchorId="15F55663" wp14:editId="15F55664">
            <wp:extent cx="4422084" cy="3173260"/>
            <wp:effectExtent l="0" t="0" r="0" b="8090"/>
            <wp:docPr id="89718098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22084" cy="3173260"/>
                    </a:xfrm>
                    <a:prstGeom prst="rect">
                      <a:avLst/>
                    </a:prstGeom>
                    <a:noFill/>
                    <a:ln>
                      <a:noFill/>
                      <a:prstDash/>
                    </a:ln>
                  </pic:spPr>
                </pic:pic>
              </a:graphicData>
            </a:graphic>
          </wp:inline>
        </w:drawing>
      </w:r>
    </w:p>
    <w:p w14:paraId="15F556BE" w14:textId="77777777" w:rsidR="00D71800" w:rsidRDefault="009F3583">
      <w:pPr>
        <w:spacing w:before="240" w:line="360" w:lineRule="auto"/>
        <w:jc w:val="center"/>
        <w:rPr>
          <w:rFonts w:ascii="Arial" w:eastAsia="Arial" w:hAnsi="Arial" w:cs="Arial"/>
          <w:b/>
          <w:bCs/>
        </w:rPr>
      </w:pPr>
      <w:r>
        <w:rPr>
          <w:rFonts w:ascii="Arial" w:eastAsia="Arial" w:hAnsi="Arial" w:cs="Arial"/>
          <w:b/>
          <w:bCs/>
        </w:rPr>
        <w:t>Source: Walker et al. (2018).</w:t>
      </w:r>
    </w:p>
    <w:p w14:paraId="15F556BF" w14:textId="77777777" w:rsidR="00D71800" w:rsidRDefault="009F3583">
      <w:pPr>
        <w:spacing w:before="240" w:line="360" w:lineRule="auto"/>
        <w:jc w:val="both"/>
        <w:rPr>
          <w:rFonts w:ascii="Arial" w:eastAsia="Arial" w:hAnsi="Arial" w:cs="Arial"/>
          <w:lang w:val="en-IN"/>
        </w:rPr>
      </w:pPr>
      <w:r>
        <w:rPr>
          <w:rFonts w:ascii="Arial" w:eastAsia="Arial" w:hAnsi="Arial" w:cs="Arial"/>
          <w:lang w:val="en-IN"/>
        </w:rPr>
        <w:t>1987: 0 patients diagnosed                2000: 471,995 patients              2005: 679,614 patients</w:t>
      </w:r>
      <w:r>
        <w:rPr>
          <w:rFonts w:ascii="Arial" w:eastAsia="Arial" w:hAnsi="Arial" w:cs="Arial"/>
          <w:lang w:val="en-IN"/>
        </w:rPr>
        <w:t xml:space="preserve">                       2010: 699,813 patients                       2015: 627,446 patients</w:t>
      </w:r>
    </w:p>
    <w:p w14:paraId="15F556C0"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2.2 Low Rates of Access to Healthcare </w:t>
      </w:r>
    </w:p>
    <w:p w14:paraId="15F556C1" w14:textId="77777777" w:rsidR="00D71800" w:rsidRDefault="009F3583">
      <w:pPr>
        <w:spacing w:before="240" w:line="360" w:lineRule="auto"/>
        <w:jc w:val="both"/>
        <w:rPr>
          <w:rFonts w:ascii="Arial" w:eastAsia="Arial" w:hAnsi="Arial" w:cs="Arial"/>
        </w:rPr>
      </w:pPr>
      <w:r>
        <w:rPr>
          <w:rFonts w:ascii="Arial" w:eastAsia="Arial" w:hAnsi="Arial" w:cs="Arial"/>
        </w:rPr>
        <w:t>Epidemiological Data &amp; Risk Analysis</w:t>
      </w:r>
    </w:p>
    <w:p w14:paraId="15F556C2" w14:textId="77777777" w:rsidR="00D71800" w:rsidRDefault="009F3583">
      <w:pPr>
        <w:spacing w:before="240" w:line="360" w:lineRule="auto"/>
        <w:jc w:val="both"/>
        <w:rPr>
          <w:rFonts w:ascii="Arial" w:eastAsia="Arial" w:hAnsi="Arial" w:cs="Arial"/>
        </w:rPr>
      </w:pPr>
      <w:r>
        <w:rPr>
          <w:rFonts w:ascii="Arial" w:eastAsia="Arial" w:hAnsi="Arial" w:cs="Arial"/>
        </w:rPr>
        <w:t xml:space="preserve">Older adults frequently encounter obstacles in accessing healthcare due to mobility issues, limited digital skills, transportation difficulties, and residing in deprived areas. A recent survey indicated that 24% of adults aged 65 and over had unmet needs for assistance with daily activities, with disparities ranging from 16% in the least </w:t>
      </w:r>
      <w:r>
        <w:rPr>
          <w:rFonts w:ascii="Arial" w:eastAsia="Arial" w:hAnsi="Arial" w:cs="Arial"/>
        </w:rPr>
        <w:t xml:space="preserve">deprived areas to 40% in the most deprived regions. </w:t>
      </w:r>
    </w:p>
    <w:p w14:paraId="15F556C3" w14:textId="77777777" w:rsidR="00D71800" w:rsidRDefault="009F3583">
      <w:pPr>
        <w:spacing w:before="240" w:line="360" w:lineRule="auto"/>
        <w:jc w:val="both"/>
        <w:rPr>
          <w:rFonts w:ascii="Arial" w:eastAsia="Arial" w:hAnsi="Arial" w:cs="Arial"/>
        </w:rPr>
      </w:pPr>
      <w:r>
        <w:rPr>
          <w:rFonts w:ascii="Arial" w:eastAsia="Arial" w:hAnsi="Arial" w:cs="Arial"/>
        </w:rPr>
        <w:t>Solutions &amp; Public Health Challenges</w:t>
      </w:r>
    </w:p>
    <w:p w14:paraId="15F556C4" w14:textId="77777777" w:rsidR="00D71800" w:rsidRDefault="009F3583">
      <w:pPr>
        <w:spacing w:before="240" w:line="360" w:lineRule="auto"/>
        <w:jc w:val="both"/>
        <w:rPr>
          <w:rFonts w:ascii="Arial" w:eastAsia="Arial" w:hAnsi="Arial" w:cs="Arial"/>
        </w:rPr>
      </w:pPr>
      <w:r>
        <w:rPr>
          <w:rFonts w:ascii="Arial" w:eastAsia="Arial" w:hAnsi="Arial" w:cs="Arial"/>
        </w:rPr>
        <w:t xml:space="preserve"> To enhance access, it's crucial to improve community healthcare, provide accessible transportation, offer non-digital appointment options, and establish outreach services. NHS services need to consider digital exclusion and the varied needs of older individuals when planning healthcare access.</w:t>
      </w:r>
    </w:p>
    <w:p w14:paraId="15F556C5" w14:textId="77777777" w:rsidR="00D71800" w:rsidRDefault="009F3583">
      <w:pPr>
        <w:spacing w:before="240" w:line="360" w:lineRule="auto"/>
        <w:jc w:val="center"/>
      </w:pPr>
      <w:r>
        <w:rPr>
          <w:rFonts w:ascii="Arial" w:hAnsi="Arial" w:cs="Arial"/>
          <w:noProof/>
        </w:rPr>
        <w:lastRenderedPageBreak/>
        <w:drawing>
          <wp:inline distT="0" distB="0" distL="0" distR="0" wp14:anchorId="15F55665" wp14:editId="15F55666">
            <wp:extent cx="3088148" cy="2230980"/>
            <wp:effectExtent l="0" t="0" r="0" b="0"/>
            <wp:docPr id="45599793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88148" cy="2230980"/>
                    </a:xfrm>
                    <a:prstGeom prst="rect">
                      <a:avLst/>
                    </a:prstGeom>
                    <a:noFill/>
                    <a:ln>
                      <a:noFill/>
                      <a:prstDash/>
                    </a:ln>
                  </pic:spPr>
                </pic:pic>
              </a:graphicData>
            </a:graphic>
          </wp:inline>
        </w:drawing>
      </w:r>
    </w:p>
    <w:p w14:paraId="15F556C6" w14:textId="77777777" w:rsidR="00D71800" w:rsidRDefault="009F3583">
      <w:pPr>
        <w:spacing w:before="240" w:line="360" w:lineRule="auto"/>
        <w:jc w:val="center"/>
        <w:rPr>
          <w:rFonts w:ascii="Arial" w:eastAsia="Arial" w:hAnsi="Arial" w:cs="Arial"/>
          <w:b/>
          <w:bCs/>
          <w:lang w:val="en-IN"/>
        </w:rPr>
      </w:pPr>
      <w:r>
        <w:rPr>
          <w:rFonts w:ascii="Arial" w:eastAsia="Arial" w:hAnsi="Arial" w:cs="Arial"/>
          <w:b/>
          <w:bCs/>
          <w:lang w:val="en-IN"/>
        </w:rPr>
        <w:t>Source: Care Quality Commission (2023)</w:t>
      </w:r>
    </w:p>
    <w:p w14:paraId="15F556C7"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2.3 Higher Mortality Rates Among Older People </w:t>
      </w:r>
    </w:p>
    <w:p w14:paraId="15F556C8" w14:textId="77777777" w:rsidR="00D71800" w:rsidRDefault="009F3583">
      <w:pPr>
        <w:spacing w:before="240" w:line="360" w:lineRule="auto"/>
        <w:jc w:val="both"/>
        <w:rPr>
          <w:rFonts w:ascii="Arial" w:eastAsia="Arial" w:hAnsi="Arial" w:cs="Arial"/>
        </w:rPr>
      </w:pPr>
      <w:r>
        <w:rPr>
          <w:rFonts w:ascii="Arial" w:eastAsia="Arial" w:hAnsi="Arial" w:cs="Arial"/>
        </w:rPr>
        <w:t>Epidemiological Data &amp; Risk Analysis</w:t>
      </w:r>
    </w:p>
    <w:p w14:paraId="15F556C9" w14:textId="77777777" w:rsidR="00D71800" w:rsidRDefault="009F3583">
      <w:pPr>
        <w:spacing w:before="240" w:line="360" w:lineRule="auto"/>
        <w:jc w:val="both"/>
        <w:rPr>
          <w:rFonts w:ascii="Arial" w:eastAsia="Arial" w:hAnsi="Arial" w:cs="Arial"/>
        </w:rPr>
      </w:pPr>
      <w:r>
        <w:rPr>
          <w:rFonts w:ascii="Arial" w:eastAsia="Arial" w:hAnsi="Arial" w:cs="Arial"/>
        </w:rPr>
        <w:t xml:space="preserve">Mortality rates rise with age. In 2024, there were 568,613 deaths in England and Wales (Office for National Statistics, 2025). Life expectancy at 65 was 18.7 years for males and 21.2 for females. Older adults are at high risk for chronic conditions, with socioeconomic disparities worsening health outcomes (Office for Health Improvement and Disparities, 2025). </w:t>
      </w:r>
    </w:p>
    <w:p w14:paraId="15F556CA" w14:textId="77777777" w:rsidR="00D71800" w:rsidRDefault="009F3583">
      <w:pPr>
        <w:spacing w:before="240" w:line="360" w:lineRule="auto"/>
        <w:jc w:val="both"/>
        <w:rPr>
          <w:rFonts w:ascii="Arial" w:eastAsia="Arial" w:hAnsi="Arial" w:cs="Arial"/>
        </w:rPr>
      </w:pPr>
      <w:r>
        <w:rPr>
          <w:rFonts w:ascii="Arial" w:eastAsia="Arial" w:hAnsi="Arial" w:cs="Arial"/>
        </w:rPr>
        <w:t>Solutions &amp; Public Health Challenges</w:t>
      </w:r>
    </w:p>
    <w:p w14:paraId="15F556CB" w14:textId="77777777" w:rsidR="00D71800" w:rsidRDefault="009F3583">
      <w:pPr>
        <w:spacing w:before="240" w:line="360" w:lineRule="auto"/>
        <w:jc w:val="both"/>
        <w:rPr>
          <w:rFonts w:ascii="Arial" w:eastAsia="Arial" w:hAnsi="Arial" w:cs="Arial"/>
        </w:rPr>
      </w:pPr>
      <w:r>
        <w:rPr>
          <w:rFonts w:ascii="Arial" w:eastAsia="Arial" w:hAnsi="Arial" w:cs="Arial"/>
        </w:rPr>
        <w:t xml:space="preserve">Reducing mortality requires early diagnosis and management of chronic conditions, vaccinations, and screening </w:t>
      </w:r>
      <w:r>
        <w:rPr>
          <w:rFonts w:ascii="Arial" w:eastAsia="Arial" w:hAnsi="Arial" w:cs="Arial"/>
        </w:rPr>
        <w:t>programs, alongside addressing socioeconomic factors like poverty.</w:t>
      </w:r>
    </w:p>
    <w:p w14:paraId="15F556CC"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2.4 Social Isolation and Loneliness</w:t>
      </w:r>
    </w:p>
    <w:p w14:paraId="15F556CD" w14:textId="77777777" w:rsidR="00D71800" w:rsidRDefault="009F3583">
      <w:pPr>
        <w:spacing w:before="240" w:line="360" w:lineRule="auto"/>
        <w:jc w:val="both"/>
        <w:rPr>
          <w:rFonts w:ascii="Arial" w:eastAsia="Arial" w:hAnsi="Arial" w:cs="Arial"/>
        </w:rPr>
      </w:pPr>
      <w:r>
        <w:rPr>
          <w:rFonts w:ascii="Arial" w:eastAsia="Arial" w:hAnsi="Arial" w:cs="Arial"/>
        </w:rPr>
        <w:t>Social Context &amp; Risk Analysis</w:t>
      </w:r>
    </w:p>
    <w:p w14:paraId="15F556CE" w14:textId="77777777" w:rsidR="00D71800" w:rsidRDefault="009F3583">
      <w:pPr>
        <w:spacing w:before="240" w:line="360" w:lineRule="auto"/>
        <w:jc w:val="both"/>
        <w:rPr>
          <w:rFonts w:ascii="Arial" w:eastAsia="Arial" w:hAnsi="Arial" w:cs="Arial"/>
        </w:rPr>
      </w:pPr>
      <w:r>
        <w:rPr>
          <w:rFonts w:ascii="Arial" w:eastAsia="Arial" w:hAnsi="Arial" w:cs="Arial"/>
        </w:rPr>
        <w:t xml:space="preserve">Loneliness affects about 940,000 older adults in the UK, with 270,000 spending weeks without conversation (Age UK, 2024). Factors like bereavement and health issues contribute to this, leading to worse physical and mental health outcomes (Age UK, 2024). </w:t>
      </w:r>
    </w:p>
    <w:p w14:paraId="15F556CF" w14:textId="77777777" w:rsidR="00D71800" w:rsidRDefault="009F3583">
      <w:pPr>
        <w:spacing w:before="240" w:line="360" w:lineRule="auto"/>
        <w:jc w:val="both"/>
        <w:rPr>
          <w:rFonts w:ascii="Arial" w:eastAsia="Arial" w:hAnsi="Arial" w:cs="Arial"/>
          <w:lang w:val="en-IN"/>
        </w:rPr>
      </w:pPr>
      <w:r>
        <w:rPr>
          <w:rFonts w:ascii="Arial" w:eastAsia="Arial" w:hAnsi="Arial" w:cs="Arial"/>
          <w:lang w:val="en-IN"/>
        </w:rPr>
        <w:t xml:space="preserve">Solutions &amp; Public Health Challenges </w:t>
      </w:r>
    </w:p>
    <w:p w14:paraId="15F556D0" w14:textId="77777777" w:rsidR="00D71800" w:rsidRDefault="009F3583">
      <w:pPr>
        <w:spacing w:before="240" w:line="360" w:lineRule="auto"/>
        <w:jc w:val="both"/>
      </w:pPr>
      <w:r>
        <w:rPr>
          <w:rFonts w:ascii="Arial" w:eastAsia="Arial" w:hAnsi="Arial" w:cs="Arial"/>
        </w:rPr>
        <w:t xml:space="preserve">Initiatives like befriending services and social groups can help. Accessible </w:t>
      </w:r>
      <w:r>
        <w:rPr>
          <w:rFonts w:ascii="Arial" w:eastAsia="Arial" w:hAnsi="Arial" w:cs="Arial"/>
        </w:rPr>
        <w:t>transport is vital, but barriers like mobility issues remain significant.</w:t>
      </w:r>
    </w:p>
    <w:p w14:paraId="15F556D1"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lastRenderedPageBreak/>
        <w:t xml:space="preserve">2.5 Poverty and Financial Insecurity </w:t>
      </w:r>
    </w:p>
    <w:p w14:paraId="15F556D2" w14:textId="77777777" w:rsidR="00D71800" w:rsidRDefault="009F3583">
      <w:pPr>
        <w:spacing w:before="240" w:line="360" w:lineRule="auto"/>
        <w:jc w:val="both"/>
        <w:rPr>
          <w:rFonts w:ascii="Arial" w:eastAsia="Arial" w:hAnsi="Arial" w:cs="Arial"/>
        </w:rPr>
      </w:pPr>
      <w:r>
        <w:rPr>
          <w:rFonts w:ascii="Arial" w:eastAsia="Arial" w:hAnsi="Arial" w:cs="Arial"/>
        </w:rPr>
        <w:t>Social Context &amp; Risk Analysis</w:t>
      </w:r>
    </w:p>
    <w:p w14:paraId="15F556D3" w14:textId="77777777" w:rsidR="00D71800" w:rsidRDefault="009F3583">
      <w:pPr>
        <w:spacing w:before="240" w:line="360" w:lineRule="auto"/>
        <w:jc w:val="both"/>
        <w:rPr>
          <w:rFonts w:ascii="Arial" w:eastAsia="Arial" w:hAnsi="Arial" w:cs="Arial"/>
        </w:rPr>
      </w:pPr>
      <w:r>
        <w:rPr>
          <w:rFonts w:ascii="Arial" w:eastAsia="Arial" w:hAnsi="Arial" w:cs="Arial"/>
        </w:rPr>
        <w:t>Financial insecurity greatly affects older individuals' health by limiting access to essentials like food and heating. About 21% of single pensioners live in relative poverty after housing costs, with 20% of those aged 85 and older facing similar situations (HM Treasury, 2025). This strain can lead to poor nutrition and hinder access to services.</w:t>
      </w:r>
    </w:p>
    <w:p w14:paraId="15F556D4" w14:textId="77777777" w:rsidR="00D71800" w:rsidRDefault="009F3583">
      <w:pPr>
        <w:spacing w:before="240" w:line="360" w:lineRule="auto"/>
        <w:jc w:val="both"/>
        <w:rPr>
          <w:rFonts w:ascii="Arial" w:eastAsia="Arial" w:hAnsi="Arial" w:cs="Arial"/>
          <w:lang w:val="en-IN"/>
        </w:rPr>
      </w:pPr>
      <w:r>
        <w:rPr>
          <w:rFonts w:ascii="Arial" w:eastAsia="Arial" w:hAnsi="Arial" w:cs="Arial"/>
          <w:lang w:val="en-IN"/>
        </w:rPr>
        <w:t xml:space="preserve">Solutions &amp; Public </w:t>
      </w:r>
      <w:r>
        <w:rPr>
          <w:rFonts w:ascii="Arial" w:eastAsia="Arial" w:hAnsi="Arial" w:cs="Arial"/>
          <w:lang w:val="en-IN"/>
        </w:rPr>
        <w:t>Health Challenges</w:t>
      </w:r>
    </w:p>
    <w:p w14:paraId="15F556D5" w14:textId="77777777" w:rsidR="00D71800" w:rsidRDefault="009F3583">
      <w:pPr>
        <w:spacing w:before="240" w:line="360" w:lineRule="auto"/>
        <w:jc w:val="both"/>
        <w:rPr>
          <w:rFonts w:ascii="Arial" w:eastAsia="Arial" w:hAnsi="Arial" w:cs="Arial"/>
        </w:rPr>
      </w:pPr>
      <w:r>
        <w:rPr>
          <w:rFonts w:ascii="Arial" w:eastAsia="Arial" w:hAnsi="Arial" w:cs="Arial"/>
        </w:rPr>
        <w:t>Increasing access to benefits, financial advice, and community support can alleviate some pressures, but rising living costs and limited incomes remain significant challenges for many older adults.</w:t>
      </w:r>
    </w:p>
    <w:p w14:paraId="15F556D6" w14:textId="77777777" w:rsidR="00D71800" w:rsidRDefault="009F3583">
      <w:pPr>
        <w:spacing w:before="240" w:line="360" w:lineRule="auto"/>
        <w:jc w:val="center"/>
      </w:pPr>
      <w:r>
        <w:rPr>
          <w:rFonts w:ascii="Arial" w:hAnsi="Arial" w:cs="Arial"/>
          <w:noProof/>
        </w:rPr>
        <w:drawing>
          <wp:inline distT="0" distB="0" distL="0" distR="0" wp14:anchorId="15F55667" wp14:editId="15F55668">
            <wp:extent cx="2941323" cy="2941323"/>
            <wp:effectExtent l="0" t="0" r="0" b="0"/>
            <wp:docPr id="125060186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41323" cy="2941323"/>
                    </a:xfrm>
                    <a:prstGeom prst="rect">
                      <a:avLst/>
                    </a:prstGeom>
                    <a:noFill/>
                    <a:ln>
                      <a:noFill/>
                      <a:prstDash/>
                    </a:ln>
                  </pic:spPr>
                </pic:pic>
              </a:graphicData>
            </a:graphic>
          </wp:inline>
        </w:drawing>
      </w:r>
    </w:p>
    <w:p w14:paraId="15F556D7" w14:textId="77777777" w:rsidR="00D71800" w:rsidRDefault="009F3583">
      <w:pPr>
        <w:spacing w:before="240" w:line="360" w:lineRule="auto"/>
        <w:jc w:val="center"/>
        <w:rPr>
          <w:rFonts w:ascii="Arial" w:eastAsia="Arial" w:hAnsi="Arial" w:cs="Arial"/>
          <w:b/>
          <w:bCs/>
          <w:lang w:val="en-IN"/>
        </w:rPr>
      </w:pPr>
      <w:r>
        <w:rPr>
          <w:rFonts w:ascii="Arial" w:eastAsia="Arial" w:hAnsi="Arial" w:cs="Arial"/>
          <w:b/>
          <w:bCs/>
          <w:lang w:val="en-IN"/>
        </w:rPr>
        <w:t>Source: Evans and Davies (2026)</w:t>
      </w:r>
    </w:p>
    <w:p w14:paraId="15F556D8"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2.6 Poor and Unsuitable Housing</w:t>
      </w:r>
    </w:p>
    <w:p w14:paraId="15F556D9" w14:textId="77777777" w:rsidR="00D71800" w:rsidRDefault="009F3583">
      <w:pPr>
        <w:spacing w:before="240" w:line="360" w:lineRule="auto"/>
        <w:jc w:val="both"/>
        <w:rPr>
          <w:rFonts w:ascii="Arial" w:eastAsia="Arial" w:hAnsi="Arial" w:cs="Arial"/>
        </w:rPr>
      </w:pPr>
      <w:r>
        <w:rPr>
          <w:rFonts w:ascii="Arial" w:eastAsia="Arial" w:hAnsi="Arial" w:cs="Arial"/>
        </w:rPr>
        <w:t>Social Context &amp; Risk Analysis</w:t>
      </w:r>
    </w:p>
    <w:p w14:paraId="15F556DA" w14:textId="77777777" w:rsidR="00D71800" w:rsidRDefault="009F3583">
      <w:pPr>
        <w:spacing w:before="240" w:line="360" w:lineRule="auto"/>
        <w:jc w:val="both"/>
        <w:rPr>
          <w:rFonts w:ascii="Arial" w:eastAsia="Arial" w:hAnsi="Arial" w:cs="Arial"/>
        </w:rPr>
      </w:pPr>
      <w:r>
        <w:rPr>
          <w:rFonts w:ascii="Arial" w:eastAsia="Arial" w:hAnsi="Arial" w:cs="Arial"/>
        </w:rPr>
        <w:t xml:space="preserve">Poor housing adversely affects older people's health, with approximately 1.1 million older individuals in England living in unfit conditions. Issues such as dampness, infestations, and plumbing </w:t>
      </w:r>
      <w:r>
        <w:rPr>
          <w:rFonts w:ascii="Arial" w:eastAsia="Arial" w:hAnsi="Arial" w:cs="Arial"/>
        </w:rPr>
        <w:t xml:space="preserve">problems can lead to respiratory and cardiovascular problems and increased fall risk. </w:t>
      </w:r>
    </w:p>
    <w:p w14:paraId="15F556DB" w14:textId="77777777" w:rsidR="00D71800" w:rsidRDefault="009F3583">
      <w:pPr>
        <w:spacing w:before="240" w:line="360" w:lineRule="auto"/>
        <w:jc w:val="both"/>
        <w:rPr>
          <w:rFonts w:ascii="Arial" w:eastAsia="Arial" w:hAnsi="Arial" w:cs="Arial"/>
        </w:rPr>
      </w:pPr>
      <w:r>
        <w:rPr>
          <w:rFonts w:ascii="Arial" w:eastAsia="Arial" w:hAnsi="Arial" w:cs="Arial"/>
        </w:rPr>
        <w:t>Solutions &amp; Public Health Challenges</w:t>
      </w:r>
    </w:p>
    <w:p w14:paraId="15F556DC" w14:textId="77777777" w:rsidR="00D71800" w:rsidRDefault="009F3583">
      <w:pPr>
        <w:spacing w:before="240" w:line="360" w:lineRule="auto"/>
        <w:jc w:val="both"/>
      </w:pPr>
      <w:r>
        <w:rPr>
          <w:rFonts w:ascii="Arial" w:eastAsia="Arial" w:hAnsi="Arial" w:cs="Arial"/>
        </w:rPr>
        <w:lastRenderedPageBreak/>
        <w:t>Addressing these inequalities requires initiatives like home adaptations, improved heating and insulation, and housing inspections. However, challenges persist, particularly in the availability and affordability of adequate housing for older adults.</w:t>
      </w:r>
    </w:p>
    <w:p w14:paraId="15F556DD"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3. National Response to Reduce Health Inequalities </w:t>
      </w:r>
    </w:p>
    <w:p w14:paraId="15F556DE" w14:textId="77777777" w:rsidR="00D71800" w:rsidRDefault="009F3583">
      <w:pPr>
        <w:spacing w:before="240" w:line="360" w:lineRule="auto"/>
        <w:jc w:val="both"/>
        <w:rPr>
          <w:rFonts w:ascii="Arial" w:eastAsia="Arial" w:hAnsi="Arial" w:cs="Arial"/>
        </w:rPr>
      </w:pPr>
      <w:r>
        <w:rPr>
          <w:rFonts w:ascii="Arial" w:eastAsia="Arial" w:hAnsi="Arial" w:cs="Arial"/>
        </w:rPr>
        <w:t xml:space="preserve">3.1 Improving Dementia Diagnosis </w:t>
      </w:r>
    </w:p>
    <w:p w14:paraId="15F556DF" w14:textId="77777777" w:rsidR="00D71800" w:rsidRDefault="009F3583">
      <w:pPr>
        <w:spacing w:before="240" w:line="360" w:lineRule="auto"/>
        <w:jc w:val="both"/>
      </w:pPr>
      <w:r>
        <w:rPr>
          <w:rFonts w:ascii="Arial" w:eastAsia="Arial" w:hAnsi="Arial" w:cs="Arial"/>
        </w:rPr>
        <w:t xml:space="preserve">The NHS has committed to a national goal where </w:t>
      </w:r>
      <w:r>
        <w:rPr>
          <w:rFonts w:ascii="Arial" w:eastAsia="Arial" w:hAnsi="Arial" w:cs="Arial"/>
        </w:rPr>
        <w:t>two-thirds of individuals living with dementia receive a formal diagnosis. As of March 2025, the dementia diagnosis rate stood at 65.6%, nearing the target of 66.7% (NHS England, 2025). Efforts include sharing best practices, bolstering Integrated Care Boards, and enhancing dementia pathways, particularly within care homes.</w:t>
      </w:r>
      <w:r>
        <w:rPr>
          <w:rFonts w:ascii="Arial" w:eastAsia="Arial" w:hAnsi="Arial" w:cs="Arial"/>
          <w:lang w:val="en-IN"/>
        </w:rPr>
        <w:t xml:space="preserve"> </w:t>
      </w:r>
    </w:p>
    <w:p w14:paraId="15F556E0" w14:textId="77777777" w:rsidR="00D71800" w:rsidRDefault="009F3583">
      <w:pPr>
        <w:spacing w:before="240" w:line="360" w:lineRule="auto"/>
        <w:jc w:val="both"/>
      </w:pPr>
      <w:r>
        <w:rPr>
          <w:rFonts w:ascii="Arial" w:eastAsia="Arial" w:hAnsi="Arial" w:cs="Arial"/>
          <w:lang w:val="en-IN"/>
        </w:rPr>
        <w:t xml:space="preserve">                                    </w:t>
      </w:r>
      <w:r>
        <w:rPr>
          <w:rFonts w:ascii="Arial" w:eastAsia="Arial" w:hAnsi="Arial" w:cs="Arial"/>
          <w:noProof/>
          <w:lang w:val="en-IN"/>
        </w:rPr>
        <w:drawing>
          <wp:inline distT="0" distB="0" distL="0" distR="0" wp14:anchorId="15F55669" wp14:editId="15F5566A">
            <wp:extent cx="2736360" cy="1899931"/>
            <wp:effectExtent l="0" t="0" r="6840" b="5069"/>
            <wp:docPr id="1374845278"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736360" cy="1899931"/>
                    </a:xfrm>
                    <a:prstGeom prst="rect">
                      <a:avLst/>
                    </a:prstGeom>
                    <a:noFill/>
                    <a:ln>
                      <a:noFill/>
                      <a:prstDash/>
                    </a:ln>
                  </pic:spPr>
                </pic:pic>
              </a:graphicData>
            </a:graphic>
          </wp:inline>
        </w:drawing>
      </w:r>
    </w:p>
    <w:p w14:paraId="15F556E1" w14:textId="77777777" w:rsidR="00D71800" w:rsidRDefault="009F3583">
      <w:pPr>
        <w:spacing w:before="240" w:line="360" w:lineRule="auto"/>
        <w:jc w:val="center"/>
        <w:rPr>
          <w:rFonts w:ascii="Arial" w:eastAsia="Arial" w:hAnsi="Arial" w:cs="Arial"/>
          <w:b/>
          <w:bCs/>
          <w:lang w:val="en-IN"/>
        </w:rPr>
      </w:pPr>
      <w:r>
        <w:rPr>
          <w:rFonts w:ascii="Arial" w:eastAsia="Arial" w:hAnsi="Arial" w:cs="Arial"/>
          <w:b/>
          <w:bCs/>
          <w:lang w:val="en-IN"/>
        </w:rPr>
        <w:t>Source: Carnall Farrar (2024), Alzheimer’s Society.</w:t>
      </w:r>
    </w:p>
    <w:p w14:paraId="15F556E2" w14:textId="77777777" w:rsidR="00D71800" w:rsidRDefault="009F3583">
      <w:pPr>
        <w:spacing w:before="240" w:line="360" w:lineRule="auto"/>
        <w:jc w:val="both"/>
      </w:pPr>
      <w:r>
        <w:rPr>
          <w:rFonts w:ascii="Arial" w:eastAsia="Arial" w:hAnsi="Arial" w:cs="Arial"/>
          <w:lang w:val="en-IN"/>
        </w:rPr>
        <w:t xml:space="preserve">3.2 </w:t>
      </w:r>
      <w:r>
        <w:rPr>
          <w:rFonts w:ascii="Arial" w:eastAsia="Arial" w:hAnsi="Arial" w:cs="Arial"/>
        </w:rPr>
        <w:t xml:space="preserve">Dame Barbara Windsor Dementia Goals </w:t>
      </w:r>
    </w:p>
    <w:p w14:paraId="15F556E3" w14:textId="77777777" w:rsidR="00D71800" w:rsidRDefault="009F3583">
      <w:pPr>
        <w:spacing w:before="240" w:line="360" w:lineRule="auto"/>
        <w:jc w:val="both"/>
      </w:pPr>
      <w:r>
        <w:rPr>
          <w:rFonts w:ascii="Arial" w:eastAsia="Arial" w:hAnsi="Arial" w:cs="Arial"/>
        </w:rPr>
        <w:t xml:space="preserve">The Dame Barbara Windsor Dementia Goals focus on </w:t>
      </w:r>
      <w:r>
        <w:rPr>
          <w:rFonts w:ascii="Arial" w:eastAsia="Arial" w:hAnsi="Arial" w:cs="Arial"/>
        </w:rPr>
        <w:t>advancing dementia research and innovation, including better diagnosis and treatment. This initiative brings together government, NHS, and researchers to improve solutions for those affected by dementia (Department for Health and Social Care, 2026).</w:t>
      </w:r>
    </w:p>
    <w:p w14:paraId="15F556E4" w14:textId="77777777" w:rsidR="00D71800" w:rsidRDefault="009F3583">
      <w:pPr>
        <w:spacing w:before="240" w:line="360" w:lineRule="auto"/>
        <w:jc w:val="both"/>
      </w:pPr>
      <w:r>
        <w:rPr>
          <w:rFonts w:ascii="Arial" w:eastAsia="Arial" w:hAnsi="Arial" w:cs="Arial"/>
          <w:lang w:val="en-IN"/>
        </w:rPr>
        <w:t xml:space="preserve"> </w:t>
      </w:r>
      <w:r>
        <w:rPr>
          <w:rFonts w:ascii="Arial" w:eastAsia="Arial" w:hAnsi="Arial" w:cs="Arial"/>
          <w:b/>
          <w:bCs/>
          <w:lang w:val="en-IN"/>
        </w:rPr>
        <w:t>4. Organisation Supporting the Chosen Group</w:t>
      </w:r>
    </w:p>
    <w:p w14:paraId="15F556E5" w14:textId="77777777" w:rsidR="00D71800" w:rsidRDefault="009F3583">
      <w:pPr>
        <w:spacing w:before="240" w:line="360" w:lineRule="auto"/>
        <w:jc w:val="both"/>
      </w:pPr>
      <w:r>
        <w:rPr>
          <w:rFonts w:ascii="Arial" w:eastAsia="Arial" w:hAnsi="Arial" w:cs="Arial"/>
          <w:lang w:val="en-IN"/>
        </w:rPr>
        <w:t xml:space="preserve">       </w:t>
      </w:r>
      <w:r>
        <w:rPr>
          <w:rFonts w:ascii="Arial" w:eastAsia="Arial" w:hAnsi="Arial" w:cs="Arial"/>
          <w:b/>
          <w:bCs/>
          <w:lang w:val="en-IN"/>
        </w:rPr>
        <w:t>4.1</w:t>
      </w:r>
      <w:r>
        <w:rPr>
          <w:rFonts w:ascii="Arial" w:eastAsia="Arial" w:hAnsi="Arial" w:cs="Arial"/>
          <w:lang w:val="en-IN"/>
        </w:rPr>
        <w:t xml:space="preserve"> </w:t>
      </w:r>
      <w:r>
        <w:rPr>
          <w:rFonts w:ascii="Arial" w:eastAsia="Arial" w:hAnsi="Arial" w:cs="Arial"/>
          <w:b/>
          <w:bCs/>
          <w:lang w:val="en-IN"/>
        </w:rPr>
        <w:t>Wider</w:t>
      </w:r>
      <w:r>
        <w:rPr>
          <w:rFonts w:ascii="Arial" w:eastAsia="Arial" w:hAnsi="Arial" w:cs="Arial"/>
          <w:b/>
          <w:bCs/>
        </w:rPr>
        <w:t xml:space="preserve"> Role in Addressing Health Inequalities</w:t>
      </w:r>
    </w:p>
    <w:p w14:paraId="15F556E6" w14:textId="77777777" w:rsidR="00D71800" w:rsidRDefault="009F3583">
      <w:pPr>
        <w:spacing w:before="240" w:line="360" w:lineRule="auto"/>
        <w:jc w:val="both"/>
      </w:pPr>
      <w:r>
        <w:rPr>
          <w:rFonts w:ascii="Arial" w:eastAsia="Arial" w:hAnsi="Arial" w:cs="Arial"/>
        </w:rPr>
        <w:t xml:space="preserve">Alzheimer’s Society is a prominent UK charity supporting individuals affected by dementia. It addresses inequalities in diagnosis and care through advocacy and </w:t>
      </w:r>
      <w:r>
        <w:rPr>
          <w:rFonts w:ascii="Arial" w:eastAsia="Arial" w:hAnsi="Arial" w:cs="Arial"/>
        </w:rPr>
        <w:t>research funding (Alzheimer’s Society, 2026).</w:t>
      </w:r>
    </w:p>
    <w:p w14:paraId="15F556E7"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lastRenderedPageBreak/>
        <w:t xml:space="preserve">   4.2 Goals and Research:</w:t>
      </w:r>
    </w:p>
    <w:p w14:paraId="15F556E8" w14:textId="77777777" w:rsidR="00D71800" w:rsidRDefault="009F3583">
      <w:pPr>
        <w:spacing w:before="240" w:line="360" w:lineRule="auto"/>
        <w:jc w:val="both"/>
      </w:pPr>
      <w:r>
        <w:rPr>
          <w:rFonts w:ascii="Arial" w:hAnsi="Arial" w:cs="Arial"/>
          <w:color w:val="1C1C1C"/>
          <w:shd w:val="clear" w:color="auto" w:fill="FFFFFF"/>
        </w:rPr>
        <w:t xml:space="preserve"> </w:t>
      </w:r>
      <w:r>
        <w:rPr>
          <w:rFonts w:ascii="Arial" w:eastAsia="Arial" w:hAnsi="Arial" w:cs="Arial"/>
        </w:rPr>
        <w:t>Alzheimer’s Society focuses on improving care and diagnosis, influencing policy, and funding research, having invested over £124 million in dementia-related research since 1989 (Alzheimer’s Society, 2026).</w:t>
      </w:r>
    </w:p>
    <w:p w14:paraId="15F556E9" w14:textId="77777777" w:rsidR="00D71800" w:rsidRDefault="009F3583">
      <w:pPr>
        <w:spacing w:before="240" w:line="360" w:lineRule="auto"/>
        <w:jc w:val="both"/>
        <w:rPr>
          <w:rFonts w:ascii="Arial" w:eastAsia="Arial" w:hAnsi="Arial" w:cs="Arial"/>
          <w:b/>
          <w:bCs/>
          <w:lang w:val="en-IN"/>
        </w:rPr>
      </w:pPr>
      <w:r>
        <w:rPr>
          <w:rFonts w:ascii="Arial" w:eastAsia="Arial" w:hAnsi="Arial" w:cs="Arial"/>
          <w:b/>
          <w:bCs/>
          <w:lang w:val="en-IN"/>
        </w:rPr>
        <w:t xml:space="preserve">   4.3 How it helps older people</w:t>
      </w:r>
    </w:p>
    <w:p w14:paraId="15F556EA" w14:textId="77777777" w:rsidR="00D71800" w:rsidRDefault="009F3583">
      <w:pPr>
        <w:spacing w:before="240" w:line="360" w:lineRule="auto"/>
        <w:jc w:val="both"/>
        <w:rPr>
          <w:rFonts w:ascii="Arial" w:eastAsia="Arial" w:hAnsi="Arial" w:cs="Arial"/>
          <w:lang w:val="en-IN"/>
        </w:rPr>
      </w:pPr>
      <w:r>
        <w:rPr>
          <w:rFonts w:ascii="Arial" w:eastAsia="Arial" w:hAnsi="Arial" w:cs="Arial"/>
          <w:lang w:val="en-IN"/>
        </w:rPr>
        <w:t>Provides dementia advice and support. - Funds relevant research. - Campaigns for improved dementia services.</w:t>
      </w:r>
    </w:p>
    <w:p w14:paraId="15F556EB" w14:textId="77777777" w:rsidR="00D71800" w:rsidRDefault="009F3583">
      <w:pPr>
        <w:pStyle w:val="ListParagraph"/>
        <w:numPr>
          <w:ilvl w:val="0"/>
          <w:numId w:val="4"/>
        </w:numPr>
        <w:spacing w:before="240" w:line="360" w:lineRule="auto"/>
        <w:jc w:val="both"/>
        <w:rPr>
          <w:rFonts w:ascii="Arial" w:eastAsia="Arial" w:hAnsi="Arial" w:cs="Arial"/>
          <w:b/>
          <w:bCs/>
          <w:lang w:val="en-IN"/>
        </w:rPr>
      </w:pPr>
      <w:r>
        <w:rPr>
          <w:rFonts w:ascii="Arial" w:eastAsia="Arial" w:hAnsi="Arial" w:cs="Arial"/>
          <w:b/>
          <w:bCs/>
          <w:lang w:val="en-IN"/>
        </w:rPr>
        <w:t>Conclusion:</w:t>
      </w:r>
    </w:p>
    <w:p w14:paraId="15F556EC" w14:textId="77777777" w:rsidR="00D71800" w:rsidRDefault="009F3583">
      <w:pPr>
        <w:spacing w:before="240" w:line="360" w:lineRule="auto"/>
        <w:jc w:val="both"/>
      </w:pPr>
      <w:r>
        <w:rPr>
          <w:rFonts w:ascii="Arial" w:eastAsia="Arial" w:hAnsi="Arial" w:cs="Arial"/>
        </w:rPr>
        <w:t xml:space="preserve">Older people in the UK face significant health and social inequalities, such </w:t>
      </w:r>
      <w:r>
        <w:rPr>
          <w:rFonts w:ascii="Arial" w:eastAsia="Arial" w:hAnsi="Arial" w:cs="Arial"/>
        </w:rPr>
        <w:t>as dementia, multimorbidity, loneliness, and financial insecurity, influenced by age, income, and access to services (NHS England, 2026). To address these issues, national strategies should focus on prevention, early intervention, and integrated care, which are vital for supporting older adults' independence (NHS England, 2026). A healthy-ageing approach can help older individuals live longer, healthier lives and reduce community disparities (Office for Health Improvement and Disparities, 2023).</w:t>
      </w:r>
    </w:p>
    <w:p w14:paraId="15F556ED" w14:textId="77777777" w:rsidR="00D71800" w:rsidRDefault="009F3583">
      <w:pPr>
        <w:spacing w:line="360" w:lineRule="auto"/>
        <w:jc w:val="both"/>
      </w:pPr>
      <w:r>
        <w:rPr>
          <w:rFonts w:ascii="Arial" w:eastAsia="Arial" w:hAnsi="Arial" w:cs="Arial"/>
          <w:b/>
          <w:bCs/>
          <w:u w:val="single"/>
          <w:lang w:val="en-IN"/>
        </w:rPr>
        <w:t>Task 2:</w:t>
      </w:r>
      <w:r>
        <w:rPr>
          <w:rFonts w:ascii="Arial" w:eastAsia="Arial" w:hAnsi="Arial" w:cs="Arial"/>
          <w:b/>
          <w:bCs/>
          <w:lang w:val="en-IN"/>
        </w:rPr>
        <w:t xml:space="preserve"> </w:t>
      </w:r>
      <w:r>
        <w:rPr>
          <w:rFonts w:ascii="Arial" w:eastAsia="Arial" w:hAnsi="Arial" w:cs="Arial"/>
          <w:b/>
          <w:bCs/>
          <w:u w:val="single"/>
        </w:rPr>
        <w:t>Epidemiological Analysis</w:t>
      </w:r>
    </w:p>
    <w:p w14:paraId="15F556EE" w14:textId="77777777" w:rsidR="00D71800" w:rsidRDefault="009F3583">
      <w:pPr>
        <w:spacing w:line="360" w:lineRule="auto"/>
        <w:jc w:val="both"/>
        <w:rPr>
          <w:rFonts w:ascii="Arial" w:eastAsia="Arial" w:hAnsi="Arial" w:cs="Arial"/>
          <w:b/>
          <w:bCs/>
          <w:u w:val="single"/>
        </w:rPr>
      </w:pPr>
      <w:r>
        <w:rPr>
          <w:rFonts w:ascii="Arial" w:eastAsia="Arial" w:hAnsi="Arial" w:cs="Arial"/>
          <w:b/>
          <w:bCs/>
          <w:u w:val="single"/>
        </w:rPr>
        <w:t>1. INTRODUCTION</w:t>
      </w:r>
    </w:p>
    <w:p w14:paraId="15F556EF" w14:textId="77777777" w:rsidR="00D71800" w:rsidRDefault="009F3583">
      <w:pPr>
        <w:spacing w:line="360" w:lineRule="auto"/>
        <w:jc w:val="both"/>
        <w:rPr>
          <w:rFonts w:ascii="Arial" w:hAnsi="Arial" w:cs="Arial"/>
          <w:b/>
          <w:bCs/>
        </w:rPr>
      </w:pPr>
      <w:r>
        <w:rPr>
          <w:rFonts w:ascii="Arial" w:hAnsi="Arial" w:cs="Arial"/>
          <w:b/>
          <w:bCs/>
        </w:rPr>
        <w:t>1.1 Definition and Impact on Health, Society, and Culture</w:t>
      </w:r>
    </w:p>
    <w:p w14:paraId="15F556F0" w14:textId="77777777" w:rsidR="00D71800" w:rsidRDefault="009F3583">
      <w:pPr>
        <w:spacing w:line="360" w:lineRule="auto"/>
        <w:jc w:val="both"/>
        <w:rPr>
          <w:rFonts w:ascii="Arial" w:hAnsi="Arial" w:cs="Arial"/>
          <w:lang w:val="en-IN"/>
        </w:rPr>
      </w:pPr>
      <w:r>
        <w:rPr>
          <w:rFonts w:ascii="Arial" w:hAnsi="Arial" w:cs="Arial"/>
          <w:lang w:val="en-IN"/>
        </w:rPr>
        <w:t xml:space="preserve">Multiple sclerosis (MS) is a chronic neurological condition where the immune system attacks nerve fibres, disrupting communication in the central nervous system (MS Society, 2024). It often presents with symptoms like fatigue, numbness, and cognitive difficulties (MS Society, 2025). Typically diagnosed in early adulthood, MS can significantly impact work and social life, affecting mental health and financial </w:t>
      </w:r>
      <w:r>
        <w:rPr>
          <w:rFonts w:ascii="Arial" w:hAnsi="Arial" w:cs="Arial"/>
          <w:lang w:val="en-IN"/>
        </w:rPr>
        <w:t>stability. About 85% of patients start with relapsing-remitting MS, experiencing cycles of symptoms (MS Society, 2024). The condition not only influences personal wellbeing but also alters family dynamics and societal perceptions of disability. Access to care varies globally, creating inequalities in treatment and support for those affected (Multiple Sclerosis International Federation, 2023). Addressing MS requires a holistic approach that combines medical and social support.</w:t>
      </w:r>
    </w:p>
    <w:p w14:paraId="15F556F1" w14:textId="77777777" w:rsidR="00D71800" w:rsidRDefault="009F3583">
      <w:pPr>
        <w:spacing w:line="360" w:lineRule="auto"/>
        <w:jc w:val="both"/>
      </w:pPr>
      <w:r>
        <w:rPr>
          <w:rFonts w:ascii="Arial" w:hAnsi="Arial" w:cs="Arial"/>
          <w:b/>
          <w:bCs/>
          <w:lang w:val="en-IN"/>
        </w:rPr>
        <w:t xml:space="preserve">1.2 </w:t>
      </w:r>
      <w:r>
        <w:rPr>
          <w:rFonts w:ascii="Arial" w:hAnsi="Arial" w:cs="Arial"/>
          <w:b/>
          <w:bCs/>
        </w:rPr>
        <w:t>Epidemiological Information</w:t>
      </w:r>
      <w:r>
        <w:rPr>
          <w:rFonts w:ascii="Arial" w:hAnsi="Arial" w:cs="Arial"/>
          <w:b/>
          <w:bCs/>
        </w:rPr>
        <w:t xml:space="preserve"> Globally and in the UK</w:t>
      </w:r>
    </w:p>
    <w:p w14:paraId="15F556F2" w14:textId="77777777" w:rsidR="00D71800" w:rsidRDefault="009F3583">
      <w:pPr>
        <w:spacing w:line="360" w:lineRule="auto"/>
        <w:jc w:val="both"/>
      </w:pPr>
      <w:r>
        <w:rPr>
          <w:rFonts w:ascii="Arial" w:hAnsi="Arial" w:cs="Arial"/>
        </w:rPr>
        <w:t xml:space="preserve">Multiple sclerosis (MS) affects approximately 2.9 million people </w:t>
      </w:r>
      <w:r>
        <w:rPr>
          <w:rFonts w:ascii="Arial" w:hAnsi="Arial" w:cs="Arial"/>
          <w:b/>
          <w:bCs/>
        </w:rPr>
        <w:t>worldwide</w:t>
      </w:r>
      <w:r>
        <w:rPr>
          <w:rFonts w:ascii="Arial" w:hAnsi="Arial" w:cs="Arial"/>
        </w:rPr>
        <w:t xml:space="preserve">, with a global prevalence of around 36 cases per 100,000 population. Women are affected about twice as </w:t>
      </w:r>
      <w:r>
        <w:rPr>
          <w:rFonts w:ascii="Arial" w:hAnsi="Arial" w:cs="Arial"/>
        </w:rPr>
        <w:lastRenderedPageBreak/>
        <w:t xml:space="preserve">often as men, and diagnosis commonly occurs around the age of 32 (Walton </w:t>
      </w:r>
      <w:r>
        <w:rPr>
          <w:rFonts w:ascii="Arial" w:hAnsi="Arial" w:cs="Arial"/>
          <w:i/>
          <w:iCs/>
        </w:rPr>
        <w:t>et al.</w:t>
      </w:r>
      <w:r>
        <w:rPr>
          <w:rFonts w:ascii="Arial" w:hAnsi="Arial" w:cs="Arial"/>
        </w:rPr>
        <w:t xml:space="preserve">, 2020). More recent GBD 2021 estimates reported 1.89 million prevalent cases globally in 2021, demonstrating how estimates vary according to epidemiological methods and data sources (She </w:t>
      </w:r>
      <w:r>
        <w:rPr>
          <w:rFonts w:ascii="Arial" w:hAnsi="Arial" w:cs="Arial"/>
          <w:i/>
          <w:iCs/>
        </w:rPr>
        <w:t>et al.</w:t>
      </w:r>
      <w:r>
        <w:rPr>
          <w:rFonts w:ascii="Arial" w:hAnsi="Arial" w:cs="Arial"/>
        </w:rPr>
        <w:t xml:space="preserve">, 2025). </w:t>
      </w:r>
    </w:p>
    <w:p w14:paraId="15F556F3" w14:textId="77777777" w:rsidR="00D71800" w:rsidRDefault="009F3583">
      <w:pPr>
        <w:spacing w:line="360" w:lineRule="auto"/>
        <w:jc w:val="both"/>
      </w:pPr>
      <w:r>
        <w:rPr>
          <w:rFonts w:ascii="Arial" w:hAnsi="Arial" w:cs="Arial"/>
          <w:b/>
          <w:bCs/>
        </w:rPr>
        <w:t xml:space="preserve">In the UK, </w:t>
      </w:r>
      <w:r>
        <w:rPr>
          <w:rFonts w:ascii="Arial" w:hAnsi="Arial" w:cs="Arial"/>
        </w:rPr>
        <w:t xml:space="preserve">over 150,000 </w:t>
      </w:r>
      <w:r>
        <w:rPr>
          <w:rFonts w:ascii="Arial" w:hAnsi="Arial" w:cs="Arial"/>
        </w:rPr>
        <w:t>people live with MS, with approximately 7,100 new diagnoses each year, equivalent to around 1 in 400 people. Women represent approximately 71% of people with MS (MS Society, 2024). Differences between estimates highlight the importance of considering data quality, case definitions and methodology when interpreting MS epidemiology.</w:t>
      </w:r>
    </w:p>
    <w:p w14:paraId="15F556F4" w14:textId="77777777" w:rsidR="00D71800" w:rsidRDefault="009F3583">
      <w:pPr>
        <w:spacing w:line="360" w:lineRule="auto"/>
        <w:jc w:val="center"/>
      </w:pPr>
      <w:r>
        <w:rPr>
          <w:rFonts w:ascii="Arial" w:hAnsi="Arial" w:cs="Arial"/>
          <w:noProof/>
        </w:rPr>
        <w:drawing>
          <wp:inline distT="0" distB="0" distL="0" distR="0" wp14:anchorId="15F5566B" wp14:editId="15F5566C">
            <wp:extent cx="3450726" cy="2461692"/>
            <wp:effectExtent l="0" t="0" r="0" b="0"/>
            <wp:docPr id="20220950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50726" cy="2461692"/>
                    </a:xfrm>
                    <a:prstGeom prst="rect">
                      <a:avLst/>
                    </a:prstGeom>
                    <a:noFill/>
                    <a:ln>
                      <a:noFill/>
                      <a:prstDash/>
                    </a:ln>
                  </pic:spPr>
                </pic:pic>
              </a:graphicData>
            </a:graphic>
          </wp:inline>
        </w:drawing>
      </w:r>
    </w:p>
    <w:p w14:paraId="15F556F5" w14:textId="77777777" w:rsidR="00D71800" w:rsidRDefault="009F3583">
      <w:pPr>
        <w:spacing w:line="360" w:lineRule="auto"/>
        <w:jc w:val="center"/>
        <w:rPr>
          <w:rFonts w:ascii="Arial" w:hAnsi="Arial" w:cs="Arial"/>
          <w:b/>
          <w:bCs/>
          <w:lang w:val="en-IN"/>
        </w:rPr>
      </w:pPr>
      <w:r>
        <w:rPr>
          <w:rFonts w:ascii="Arial" w:hAnsi="Arial" w:cs="Arial"/>
          <w:b/>
          <w:bCs/>
          <w:lang w:val="en-IN"/>
        </w:rPr>
        <w:t>Source: Healthline (2025), based on MS International Federation (MSIF) data</w:t>
      </w:r>
    </w:p>
    <w:p w14:paraId="15F556F6" w14:textId="77777777" w:rsidR="00D71800" w:rsidRDefault="009F3583">
      <w:pPr>
        <w:spacing w:line="360" w:lineRule="auto"/>
        <w:jc w:val="both"/>
        <w:rPr>
          <w:rFonts w:ascii="Arial" w:hAnsi="Arial" w:cs="Arial"/>
          <w:b/>
          <w:bCs/>
          <w:u w:val="single"/>
        </w:rPr>
      </w:pPr>
      <w:r>
        <w:rPr>
          <w:rFonts w:ascii="Arial" w:hAnsi="Arial" w:cs="Arial"/>
          <w:b/>
          <w:bCs/>
          <w:u w:val="single"/>
        </w:rPr>
        <w:t>2. Epidemiological Analysis of Multiple Sclerosis in the UK</w:t>
      </w:r>
    </w:p>
    <w:p w14:paraId="15F556F7" w14:textId="77777777" w:rsidR="00D71800" w:rsidRDefault="009F3583">
      <w:pPr>
        <w:pStyle w:val="ListParagraph"/>
        <w:numPr>
          <w:ilvl w:val="1"/>
          <w:numId w:val="5"/>
        </w:numPr>
        <w:spacing w:line="360" w:lineRule="auto"/>
        <w:jc w:val="both"/>
        <w:rPr>
          <w:rFonts w:ascii="Arial" w:hAnsi="Arial" w:cs="Arial"/>
          <w:b/>
          <w:bCs/>
        </w:rPr>
      </w:pPr>
      <w:r>
        <w:rPr>
          <w:rFonts w:ascii="Arial" w:hAnsi="Arial" w:cs="Arial"/>
          <w:b/>
          <w:bCs/>
        </w:rPr>
        <w:t xml:space="preserve">Public Health Measures: Prevention, </w:t>
      </w:r>
      <w:r>
        <w:rPr>
          <w:rFonts w:ascii="Arial" w:hAnsi="Arial" w:cs="Arial"/>
          <w:b/>
          <w:bCs/>
        </w:rPr>
        <w:t>Protection and Promotion</w:t>
      </w:r>
    </w:p>
    <w:p w14:paraId="15F556F8" w14:textId="77777777" w:rsidR="00D71800" w:rsidRDefault="00D71800">
      <w:pPr>
        <w:pStyle w:val="ListParagraph"/>
        <w:spacing w:line="360" w:lineRule="auto"/>
        <w:ind w:left="1080"/>
        <w:jc w:val="both"/>
        <w:rPr>
          <w:rFonts w:ascii="Arial" w:hAnsi="Arial" w:cs="Arial"/>
          <w:b/>
          <w:bCs/>
        </w:rPr>
      </w:pPr>
    </w:p>
    <w:p w14:paraId="15F556F9" w14:textId="77777777" w:rsidR="00D71800" w:rsidRDefault="009F3583">
      <w:pPr>
        <w:pStyle w:val="ListParagraph"/>
        <w:spacing w:line="360" w:lineRule="auto"/>
        <w:jc w:val="both"/>
      </w:pPr>
      <w:r>
        <w:rPr>
          <w:rFonts w:ascii="Arial" w:hAnsi="Arial" w:cs="Arial"/>
          <w:b/>
          <w:bCs/>
        </w:rPr>
        <w:t xml:space="preserve">The 3 Ps: </w:t>
      </w:r>
      <w:r>
        <w:rPr>
          <w:rFonts w:ascii="Arial" w:hAnsi="Arial" w:cs="Arial"/>
        </w:rPr>
        <w:t>Multiple sclerosis (MS) currently cannot be prevented, as its exact cause remains elusive. Therefore, public health strategies in the UK focus on reducing modifiable risks, preventing complications, and promoting overall well-being.</w:t>
      </w:r>
    </w:p>
    <w:p w14:paraId="15F556FA" w14:textId="77777777" w:rsidR="00D71800" w:rsidRDefault="009F3583">
      <w:pPr>
        <w:pStyle w:val="ListParagraph"/>
        <w:spacing w:line="360" w:lineRule="auto"/>
        <w:jc w:val="both"/>
      </w:pPr>
      <w:r>
        <w:rPr>
          <w:rFonts w:ascii="Arial" w:hAnsi="Arial" w:cs="Arial"/>
          <w:lang w:val="en-IN"/>
        </w:rPr>
        <w:t xml:space="preserve">The </w:t>
      </w:r>
      <w:r>
        <w:rPr>
          <w:rFonts w:ascii="Arial" w:hAnsi="Arial" w:cs="Arial"/>
          <w:b/>
          <w:bCs/>
          <w:lang w:val="en-IN"/>
        </w:rPr>
        <w:t>target population</w:t>
      </w:r>
      <w:r>
        <w:rPr>
          <w:rFonts w:ascii="Arial" w:hAnsi="Arial" w:cs="Arial"/>
          <w:lang w:val="en-IN"/>
        </w:rPr>
        <w:t xml:space="preserve"> for this public health analysis is </w:t>
      </w:r>
      <w:r>
        <w:rPr>
          <w:rFonts w:ascii="Arial" w:hAnsi="Arial" w:cs="Arial"/>
          <w:b/>
          <w:bCs/>
          <w:lang w:val="en-IN"/>
        </w:rPr>
        <w:t>adults living with or at risk of Multiple Sclerosis (MS) in Camden, London</w:t>
      </w:r>
      <w:r>
        <w:rPr>
          <w:rFonts w:ascii="Arial" w:hAnsi="Arial" w:cs="Arial"/>
          <w:lang w:val="en-IN"/>
        </w:rPr>
        <w:t xml:space="preserve">. Camden is a diverse central London borough with approximately 217,000 residents and considerable variation in </w:t>
      </w:r>
      <w:r>
        <w:rPr>
          <w:rFonts w:ascii="Arial" w:hAnsi="Arial" w:cs="Arial"/>
          <w:lang w:val="en-IN"/>
        </w:rPr>
        <w:t>socioeconomic circumstances across neighbourhoods.</w:t>
      </w:r>
    </w:p>
    <w:p w14:paraId="15F556FB" w14:textId="77777777" w:rsidR="00D71800" w:rsidRDefault="009F3583">
      <w:pPr>
        <w:pStyle w:val="ListParagraph"/>
        <w:spacing w:line="360" w:lineRule="auto"/>
        <w:jc w:val="both"/>
      </w:pPr>
      <w:r>
        <w:rPr>
          <w:rFonts w:ascii="Arial" w:hAnsi="Arial" w:cs="Arial"/>
          <w:b/>
          <w:bCs/>
        </w:rPr>
        <w:t xml:space="preserve">Prevention (Primary) </w:t>
      </w:r>
      <w:r>
        <w:rPr>
          <w:rFonts w:ascii="Arial" w:hAnsi="Arial" w:cs="Arial"/>
        </w:rPr>
        <w:t>efforts target factors like smoking, obesity, and low vitamin D levels, but they should not be seen as foolproof means of preventing MS (Dobson and Giovannoni, 2019).</w:t>
      </w:r>
    </w:p>
    <w:p w14:paraId="15F556FC" w14:textId="77777777" w:rsidR="00D71800" w:rsidRDefault="009F3583">
      <w:pPr>
        <w:pStyle w:val="ListParagraph"/>
        <w:spacing w:line="360" w:lineRule="auto"/>
        <w:jc w:val="both"/>
      </w:pPr>
      <w:r>
        <w:rPr>
          <w:rFonts w:ascii="Arial" w:hAnsi="Arial" w:cs="Arial"/>
          <w:b/>
          <w:bCs/>
        </w:rPr>
        <w:lastRenderedPageBreak/>
        <w:t xml:space="preserve">Protection (Secondary) </w:t>
      </w:r>
      <w:r>
        <w:rPr>
          <w:rFonts w:ascii="Arial" w:hAnsi="Arial" w:cs="Arial"/>
        </w:rPr>
        <w:t xml:space="preserve">involves early diagnosis, effective management of relapses, disease-modifying therapies, and vaccination advice. The National Institute for Health and Care Excellence (NICE) emphasises comprehensive assessments to tailor treatment based on disease </w:t>
      </w:r>
      <w:r>
        <w:rPr>
          <w:rFonts w:ascii="Arial" w:hAnsi="Arial" w:cs="Arial"/>
        </w:rPr>
        <w:t>type and activity (NICE, 2026).</w:t>
      </w:r>
    </w:p>
    <w:p w14:paraId="15F556FD" w14:textId="77777777" w:rsidR="00D71800" w:rsidRDefault="009F3583">
      <w:pPr>
        <w:pStyle w:val="ListParagraph"/>
        <w:spacing w:line="360" w:lineRule="auto"/>
        <w:jc w:val="both"/>
      </w:pPr>
      <w:r>
        <w:rPr>
          <w:rFonts w:ascii="Arial" w:hAnsi="Arial" w:cs="Arial"/>
          <w:b/>
          <w:bCs/>
        </w:rPr>
        <w:t xml:space="preserve">Promotion (Tertiary) </w:t>
      </w:r>
      <w:r>
        <w:rPr>
          <w:rFonts w:ascii="Arial" w:hAnsi="Arial" w:cs="Arial"/>
        </w:rPr>
        <w:t>efforts encourage physical activity, healthy living, self-management, and psychological health, ensuring individuals lead fulfilling lives despite their diagnosis.</w:t>
      </w:r>
    </w:p>
    <w:p w14:paraId="15F556FE" w14:textId="77777777" w:rsidR="00D71800" w:rsidRDefault="00D71800">
      <w:pPr>
        <w:pStyle w:val="ListParagraph"/>
        <w:spacing w:line="360" w:lineRule="auto"/>
        <w:jc w:val="both"/>
        <w:rPr>
          <w:rFonts w:ascii="Arial" w:hAnsi="Arial" w:cs="Arial"/>
          <w:b/>
          <w:bCs/>
        </w:rPr>
      </w:pPr>
    </w:p>
    <w:p w14:paraId="15F556FF" w14:textId="77777777" w:rsidR="00D71800" w:rsidRDefault="009F3583">
      <w:pPr>
        <w:pStyle w:val="ListParagraph"/>
        <w:numPr>
          <w:ilvl w:val="1"/>
          <w:numId w:val="5"/>
        </w:numPr>
        <w:spacing w:line="360" w:lineRule="auto"/>
        <w:jc w:val="both"/>
        <w:rPr>
          <w:rFonts w:ascii="Arial" w:hAnsi="Arial" w:cs="Arial"/>
          <w:b/>
          <w:bCs/>
        </w:rPr>
      </w:pPr>
      <w:r>
        <w:rPr>
          <w:rFonts w:ascii="Arial" w:hAnsi="Arial" w:cs="Arial"/>
          <w:b/>
          <w:bCs/>
        </w:rPr>
        <w:t>Key Determinants and Risk Factors</w:t>
      </w:r>
    </w:p>
    <w:p w14:paraId="15F55700" w14:textId="77777777" w:rsidR="00D71800" w:rsidRDefault="009F3583">
      <w:pPr>
        <w:pStyle w:val="ListParagraph"/>
        <w:spacing w:line="360" w:lineRule="auto"/>
        <w:jc w:val="both"/>
        <w:rPr>
          <w:rFonts w:ascii="Arial" w:hAnsi="Arial" w:cs="Arial"/>
        </w:rPr>
      </w:pPr>
      <w:r>
        <w:rPr>
          <w:rFonts w:ascii="Arial" w:hAnsi="Arial" w:cs="Arial"/>
        </w:rPr>
        <w:t xml:space="preserve">MS risk stems from a mix of genetic and environmental factors. Research points to Epstein–Barr virus infection, smoking, low vitamin D exposure, and adolescent obesity as significant contributors (Olsson, Barcellos, and Alfredsson, 2017). Notably, MS </w:t>
      </w:r>
      <w:r>
        <w:rPr>
          <w:rFonts w:ascii="Arial" w:hAnsi="Arial" w:cs="Arial"/>
        </w:rPr>
        <w:t>prevalence is higher in regions farther from the equator, suggesting environmental influences play a role. While these factors can increase risk, they aren't definitive causes; genetic predisposition also plays a part, illustrating the complexity of MS (Dobson and Giovannoni, 2019).</w:t>
      </w:r>
    </w:p>
    <w:p w14:paraId="15F55701" w14:textId="77777777" w:rsidR="00D71800" w:rsidRDefault="00D71800">
      <w:pPr>
        <w:pStyle w:val="ListParagraph"/>
        <w:spacing w:line="360" w:lineRule="auto"/>
        <w:jc w:val="both"/>
        <w:rPr>
          <w:rFonts w:ascii="Arial" w:hAnsi="Arial" w:cs="Arial"/>
        </w:rPr>
      </w:pPr>
    </w:p>
    <w:p w14:paraId="15F55702" w14:textId="77777777" w:rsidR="00D71800" w:rsidRDefault="009F3583">
      <w:pPr>
        <w:pStyle w:val="ListParagraph"/>
        <w:numPr>
          <w:ilvl w:val="1"/>
          <w:numId w:val="5"/>
        </w:numPr>
        <w:spacing w:line="360" w:lineRule="auto"/>
        <w:jc w:val="both"/>
        <w:rPr>
          <w:rFonts w:ascii="Arial" w:hAnsi="Arial" w:cs="Arial"/>
          <w:b/>
          <w:bCs/>
        </w:rPr>
      </w:pPr>
      <w:r>
        <w:rPr>
          <w:rFonts w:ascii="Arial" w:hAnsi="Arial" w:cs="Arial"/>
          <w:b/>
          <w:bCs/>
        </w:rPr>
        <w:t>Identification of People Affected</w:t>
      </w:r>
    </w:p>
    <w:p w14:paraId="15F55703" w14:textId="77777777" w:rsidR="00D71800" w:rsidRDefault="009F3583">
      <w:pPr>
        <w:pStyle w:val="ListParagraph"/>
        <w:spacing w:line="360" w:lineRule="auto"/>
        <w:jc w:val="both"/>
        <w:rPr>
          <w:rFonts w:ascii="Arial" w:hAnsi="Arial" w:cs="Arial"/>
        </w:rPr>
      </w:pPr>
      <w:r>
        <w:rPr>
          <w:rFonts w:ascii="Arial" w:hAnsi="Arial" w:cs="Arial"/>
        </w:rPr>
        <w:t xml:space="preserve">Understanding who is affected by MS is crucial for effective resource allocation. Data from Public Health England indicated a prevalence of around 190 cases per 100,000 people, suggesting </w:t>
      </w:r>
      <w:r>
        <w:rPr>
          <w:rFonts w:ascii="Arial" w:hAnsi="Arial" w:cs="Arial"/>
        </w:rPr>
        <w:t>approximately 105,800 individuals live with MS in England. Notably, prevalence is higher among women, particularly those aged 60-69 (Public Health England, 2020). The MS Society estimates the number living with MS in the UK has surpassed 150,000, with about 7,100 new diagnoses annually, highlighting the importance of accurate public health data (MS Society, 2026).</w:t>
      </w:r>
    </w:p>
    <w:p w14:paraId="15F55704" w14:textId="77777777" w:rsidR="00D71800" w:rsidRDefault="00D71800">
      <w:pPr>
        <w:pStyle w:val="ListParagraph"/>
        <w:spacing w:line="360" w:lineRule="auto"/>
        <w:jc w:val="both"/>
        <w:rPr>
          <w:rFonts w:ascii="Arial" w:hAnsi="Arial" w:cs="Arial"/>
        </w:rPr>
      </w:pPr>
    </w:p>
    <w:p w14:paraId="15F55705" w14:textId="77777777" w:rsidR="00D71800" w:rsidRDefault="009F3583">
      <w:pPr>
        <w:pStyle w:val="ListParagraph"/>
        <w:spacing w:line="360" w:lineRule="auto"/>
        <w:jc w:val="center"/>
      </w:pPr>
      <w:r>
        <w:rPr>
          <w:rFonts w:ascii="Arial" w:hAnsi="Arial" w:cs="Arial"/>
          <w:noProof/>
        </w:rPr>
        <w:drawing>
          <wp:inline distT="0" distB="0" distL="0" distR="0" wp14:anchorId="15F5566D" wp14:editId="15F5566E">
            <wp:extent cx="3887946" cy="2186915"/>
            <wp:effectExtent l="0" t="0" r="0" b="3835"/>
            <wp:docPr id="51192904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tretch>
                      <a:fillRect/>
                    </a:stretch>
                  </pic:blipFill>
                  <pic:spPr>
                    <a:xfrm>
                      <a:off x="0" y="0"/>
                      <a:ext cx="3887946" cy="2186915"/>
                    </a:xfrm>
                    <a:prstGeom prst="rect">
                      <a:avLst/>
                    </a:prstGeom>
                    <a:noFill/>
                    <a:ln>
                      <a:noFill/>
                      <a:prstDash/>
                    </a:ln>
                  </pic:spPr>
                </pic:pic>
              </a:graphicData>
            </a:graphic>
          </wp:inline>
        </w:drawing>
      </w:r>
    </w:p>
    <w:p w14:paraId="15F55706" w14:textId="77777777" w:rsidR="00D71800" w:rsidRDefault="009F3583">
      <w:pPr>
        <w:pStyle w:val="ListParagraph"/>
        <w:spacing w:line="360" w:lineRule="auto"/>
        <w:jc w:val="center"/>
        <w:rPr>
          <w:rFonts w:ascii="Arial" w:hAnsi="Arial" w:cs="Arial"/>
          <w:b/>
          <w:bCs/>
        </w:rPr>
      </w:pPr>
      <w:r>
        <w:rPr>
          <w:rFonts w:ascii="Arial" w:hAnsi="Arial" w:cs="Arial"/>
          <w:b/>
          <w:bCs/>
        </w:rPr>
        <w:t>Source: MS Society, 2022</w:t>
      </w:r>
    </w:p>
    <w:p w14:paraId="15F55707" w14:textId="77777777" w:rsidR="00D71800" w:rsidRDefault="00D71800">
      <w:pPr>
        <w:pStyle w:val="ListParagraph"/>
        <w:spacing w:line="360" w:lineRule="auto"/>
        <w:jc w:val="both"/>
        <w:rPr>
          <w:rFonts w:ascii="Arial" w:hAnsi="Arial" w:cs="Arial"/>
        </w:rPr>
      </w:pPr>
    </w:p>
    <w:p w14:paraId="15F55708" w14:textId="77777777" w:rsidR="00D71800" w:rsidRDefault="009F3583">
      <w:pPr>
        <w:pStyle w:val="ListParagraph"/>
        <w:numPr>
          <w:ilvl w:val="1"/>
          <w:numId w:val="5"/>
        </w:numPr>
        <w:spacing w:line="360" w:lineRule="auto"/>
        <w:jc w:val="both"/>
        <w:rPr>
          <w:rFonts w:ascii="Arial" w:hAnsi="Arial" w:cs="Arial"/>
          <w:b/>
          <w:bCs/>
        </w:rPr>
      </w:pPr>
      <w:r>
        <w:rPr>
          <w:rFonts w:ascii="Arial" w:hAnsi="Arial" w:cs="Arial"/>
          <w:b/>
          <w:bCs/>
        </w:rPr>
        <w:t>Monitoring and Surveillance</w:t>
      </w:r>
    </w:p>
    <w:p w14:paraId="15F55709" w14:textId="77777777" w:rsidR="00D71800" w:rsidRDefault="009F3583">
      <w:pPr>
        <w:pStyle w:val="ListParagraph"/>
        <w:spacing w:line="360" w:lineRule="auto"/>
        <w:jc w:val="both"/>
        <w:rPr>
          <w:rFonts w:ascii="Arial" w:hAnsi="Arial" w:cs="Arial"/>
        </w:rPr>
      </w:pPr>
      <w:r>
        <w:rPr>
          <w:rFonts w:ascii="Arial" w:hAnsi="Arial" w:cs="Arial"/>
        </w:rPr>
        <w:t xml:space="preserve">In the UK, several key monitoring and surveillance systems collect vital data on </w:t>
      </w:r>
      <w:r>
        <w:rPr>
          <w:rFonts w:ascii="Arial" w:hAnsi="Arial" w:cs="Arial"/>
        </w:rPr>
        <w:t>Multiple Sclerosis (MS):</w:t>
      </w:r>
    </w:p>
    <w:p w14:paraId="15F5570A" w14:textId="77777777" w:rsidR="00D71800" w:rsidRDefault="009F3583">
      <w:pPr>
        <w:pStyle w:val="ListParagraph"/>
        <w:spacing w:line="360" w:lineRule="auto"/>
        <w:jc w:val="both"/>
        <w:rPr>
          <w:rFonts w:ascii="Arial" w:hAnsi="Arial" w:cs="Arial"/>
        </w:rPr>
      </w:pPr>
      <w:r>
        <w:rPr>
          <w:rFonts w:ascii="Arial" w:hAnsi="Arial" w:cs="Arial"/>
        </w:rPr>
        <w:t>1. UK MS Register: This combines patient-reported questionnaires with clinical data, allowing patients to share information about their symptoms, quality of life, and disability over time (UK MS Register, 2026).</w:t>
      </w:r>
    </w:p>
    <w:p w14:paraId="15F5570B" w14:textId="77777777" w:rsidR="00D71800" w:rsidRDefault="009F3583">
      <w:pPr>
        <w:pStyle w:val="ListParagraph"/>
        <w:spacing w:line="360" w:lineRule="auto"/>
        <w:jc w:val="both"/>
        <w:rPr>
          <w:rFonts w:ascii="Arial" w:hAnsi="Arial" w:cs="Arial"/>
        </w:rPr>
      </w:pPr>
      <w:r>
        <w:rPr>
          <w:rFonts w:ascii="Arial" w:hAnsi="Arial" w:cs="Arial"/>
        </w:rPr>
        <w:t>2. Routine NHS Clinical Data: NHS MS services collect clinical information such as diagnosis, MS type, disability (using the EDSS), disease progression, and treatments. This data is essential for tracking treatment effectiveness (UK MS Register, 2026).</w:t>
      </w:r>
    </w:p>
    <w:p w14:paraId="15F5570C" w14:textId="77777777" w:rsidR="00D71800" w:rsidRDefault="009F3583">
      <w:pPr>
        <w:pStyle w:val="ListParagraph"/>
        <w:spacing w:line="360" w:lineRule="auto"/>
        <w:jc w:val="both"/>
        <w:rPr>
          <w:rFonts w:ascii="Arial" w:hAnsi="Arial" w:cs="Arial"/>
        </w:rPr>
      </w:pPr>
      <w:r>
        <w:rPr>
          <w:rFonts w:ascii="Arial" w:hAnsi="Arial" w:cs="Arial"/>
        </w:rPr>
        <w:t xml:space="preserve">3. Hospital Episode </w:t>
      </w:r>
      <w:r>
        <w:rPr>
          <w:rFonts w:ascii="Arial" w:hAnsi="Arial" w:cs="Arial"/>
        </w:rPr>
        <w:t>Statistics (HES): HES records NHS hospital admissions and outpatient visits, helping monitor healthcare use among those with MS, though it doesn’t cover all care provided outside hospitals (NHS England, 2026).</w:t>
      </w:r>
    </w:p>
    <w:p w14:paraId="15F5570D" w14:textId="77777777" w:rsidR="00D71800" w:rsidRDefault="009F3583">
      <w:pPr>
        <w:pStyle w:val="ListParagraph"/>
        <w:spacing w:line="360" w:lineRule="auto"/>
        <w:jc w:val="both"/>
        <w:rPr>
          <w:rFonts w:ascii="Arial" w:hAnsi="Arial" w:cs="Arial"/>
        </w:rPr>
      </w:pPr>
      <w:r>
        <w:rPr>
          <w:rFonts w:ascii="Arial" w:hAnsi="Arial" w:cs="Arial"/>
        </w:rPr>
        <w:t>4. Patient-Reported Outcome Measures (PROMs): The UK MS Register also collects data on the impact of MS, including fatigue and mental health, providing insights into how the condition affects daily life (UK MS Register, 2026).</w:t>
      </w:r>
    </w:p>
    <w:p w14:paraId="15F5570E" w14:textId="77777777" w:rsidR="00D71800" w:rsidRDefault="009F3583">
      <w:pPr>
        <w:pStyle w:val="ListParagraph"/>
        <w:spacing w:line="360" w:lineRule="auto"/>
        <w:jc w:val="both"/>
        <w:rPr>
          <w:rFonts w:ascii="Arial" w:hAnsi="Arial" w:cs="Arial"/>
        </w:rPr>
      </w:pPr>
      <w:r>
        <w:rPr>
          <w:rFonts w:ascii="Arial" w:hAnsi="Arial" w:cs="Arial"/>
        </w:rPr>
        <w:t>These systems play a critical role in understanding and improving MS care.</w:t>
      </w:r>
    </w:p>
    <w:p w14:paraId="15F5570F" w14:textId="77777777" w:rsidR="00D71800" w:rsidRDefault="00D71800">
      <w:pPr>
        <w:pStyle w:val="ListParagraph"/>
        <w:spacing w:line="360" w:lineRule="auto"/>
        <w:jc w:val="both"/>
        <w:rPr>
          <w:rFonts w:ascii="Arial" w:hAnsi="Arial" w:cs="Arial"/>
        </w:rPr>
      </w:pPr>
    </w:p>
    <w:p w14:paraId="15F55710" w14:textId="77777777" w:rsidR="00D71800" w:rsidRDefault="009F3583">
      <w:pPr>
        <w:pStyle w:val="ListParagraph"/>
        <w:numPr>
          <w:ilvl w:val="1"/>
          <w:numId w:val="5"/>
        </w:numPr>
        <w:spacing w:line="360" w:lineRule="auto"/>
        <w:jc w:val="both"/>
        <w:rPr>
          <w:rFonts w:ascii="Arial" w:hAnsi="Arial" w:cs="Arial"/>
          <w:b/>
          <w:bCs/>
        </w:rPr>
      </w:pPr>
      <w:r>
        <w:rPr>
          <w:rFonts w:ascii="Arial" w:hAnsi="Arial" w:cs="Arial"/>
          <w:b/>
          <w:bCs/>
        </w:rPr>
        <w:t>Short- and Long-Term Public Health Impact</w:t>
      </w:r>
    </w:p>
    <w:p w14:paraId="15F55711" w14:textId="77777777" w:rsidR="00D71800" w:rsidRDefault="009F3583">
      <w:pPr>
        <w:pStyle w:val="ListParagraph"/>
        <w:spacing w:line="360" w:lineRule="auto"/>
        <w:jc w:val="both"/>
      </w:pPr>
      <w:r>
        <w:rPr>
          <w:rFonts w:ascii="Arial" w:hAnsi="Arial" w:cs="Arial"/>
          <w:b/>
          <w:bCs/>
        </w:rPr>
        <w:t xml:space="preserve">In the short term, </w:t>
      </w:r>
      <w:r>
        <w:rPr>
          <w:rFonts w:ascii="Arial" w:hAnsi="Arial" w:cs="Arial"/>
        </w:rPr>
        <w:t>MS can lead to significant health challenges such as fatigue, mobility issues, and emotional distress, negatively impacting daily activities (NHS, 2026).</w:t>
      </w:r>
    </w:p>
    <w:p w14:paraId="15F55712" w14:textId="77777777" w:rsidR="00D71800" w:rsidRDefault="009F3583">
      <w:pPr>
        <w:pStyle w:val="ListParagraph"/>
        <w:spacing w:line="360" w:lineRule="auto"/>
        <w:jc w:val="both"/>
      </w:pPr>
      <w:r>
        <w:rPr>
          <w:rFonts w:ascii="Arial" w:hAnsi="Arial" w:cs="Arial"/>
          <w:b/>
          <w:bCs/>
        </w:rPr>
        <w:t xml:space="preserve">Long-term </w:t>
      </w:r>
      <w:r>
        <w:rPr>
          <w:rFonts w:ascii="Arial" w:hAnsi="Arial" w:cs="Arial"/>
        </w:rPr>
        <w:t>effects may include increased disability and the need for ongoing rehabilitation and support, resulting in substantial costs for individuals, families, and the healthcare system. The growing MS population emphasises the need for specialised neurological services (MS Society, 2024).</w:t>
      </w:r>
    </w:p>
    <w:p w14:paraId="15F55713" w14:textId="77777777" w:rsidR="00D71800" w:rsidRDefault="009F3583">
      <w:pPr>
        <w:pStyle w:val="ListParagraph"/>
        <w:numPr>
          <w:ilvl w:val="1"/>
          <w:numId w:val="5"/>
        </w:numPr>
        <w:spacing w:line="360" w:lineRule="auto"/>
        <w:jc w:val="both"/>
      </w:pPr>
      <w:r>
        <w:rPr>
          <w:rFonts w:ascii="Arial" w:hAnsi="Arial" w:cs="Arial"/>
          <w:b/>
          <w:bCs/>
        </w:rPr>
        <w:t>Proposed Health Intervention Programme</w:t>
      </w:r>
    </w:p>
    <w:p w14:paraId="15F55714" w14:textId="77777777" w:rsidR="00D71800" w:rsidRDefault="009F3583">
      <w:pPr>
        <w:pStyle w:val="ListParagraph"/>
        <w:spacing w:line="360" w:lineRule="auto"/>
        <w:jc w:val="both"/>
        <w:rPr>
          <w:rFonts w:ascii="Arial" w:hAnsi="Arial" w:cs="Arial"/>
        </w:rPr>
      </w:pPr>
      <w:r>
        <w:rPr>
          <w:rFonts w:ascii="Arial" w:hAnsi="Arial" w:cs="Arial"/>
        </w:rPr>
        <w:t>An effective intervention could be an integrated early-management and rehabilitation program offered through NHS neurology services. This would include rapid referrals, annual reviews, personalised symptom assessments, and support for physical activity and smoking cessation (NICE, 2026). Exercise-based rehabilitation should be central, as evidence shows it can help reduce MS-related fatigue and improve overall functional outcomes (Pearson et al., 2015/2017).</w:t>
      </w:r>
    </w:p>
    <w:p w14:paraId="15F55715" w14:textId="77777777" w:rsidR="00D71800" w:rsidRDefault="009F3583">
      <w:pPr>
        <w:spacing w:line="360" w:lineRule="auto"/>
        <w:jc w:val="both"/>
      </w:pPr>
      <w:r>
        <w:rPr>
          <w:rFonts w:ascii="Arial" w:hAnsi="Arial" w:cs="Arial"/>
          <w:b/>
          <w:bCs/>
        </w:rPr>
        <w:t xml:space="preserve">2.7 </w:t>
      </w:r>
      <w:r>
        <w:rPr>
          <w:rFonts w:ascii="Arial" w:hAnsi="Arial" w:cs="Arial"/>
          <w:b/>
          <w:bCs/>
        </w:rPr>
        <w:t>Culturally Sensitive Intervention Program Design and Evaluation</w:t>
      </w:r>
    </w:p>
    <w:p w14:paraId="15F55716" w14:textId="77777777" w:rsidR="00D71800" w:rsidRDefault="009F3583">
      <w:pPr>
        <w:spacing w:line="360" w:lineRule="auto"/>
        <w:jc w:val="both"/>
      </w:pPr>
      <w:r>
        <w:rPr>
          <w:rFonts w:ascii="Arial" w:hAnsi="Arial" w:cs="Arial"/>
          <w:b/>
          <w:bCs/>
        </w:rPr>
        <w:t>2.7.1 Intervention Program Design: Community-Based MS Physiotherapy         Programme</w:t>
      </w:r>
    </w:p>
    <w:p w14:paraId="15F55717" w14:textId="77777777" w:rsidR="00D71800" w:rsidRDefault="009F3583">
      <w:pPr>
        <w:pStyle w:val="ListParagraph"/>
        <w:spacing w:line="360" w:lineRule="auto"/>
        <w:jc w:val="both"/>
        <w:rPr>
          <w:rFonts w:ascii="Arial" w:hAnsi="Arial" w:cs="Arial"/>
          <w:b/>
          <w:bCs/>
        </w:rPr>
      </w:pPr>
      <w:r>
        <w:rPr>
          <w:rFonts w:ascii="Arial" w:hAnsi="Arial" w:cs="Arial"/>
          <w:b/>
          <w:bCs/>
        </w:rPr>
        <w:lastRenderedPageBreak/>
        <w:t>Phase 1: Baseline (Before Intervention)</w:t>
      </w:r>
    </w:p>
    <w:p w14:paraId="15F55718" w14:textId="77777777" w:rsidR="00D71800" w:rsidRDefault="009F3583">
      <w:pPr>
        <w:pStyle w:val="ListParagraph"/>
        <w:spacing w:line="360" w:lineRule="auto"/>
        <w:jc w:val="both"/>
        <w:rPr>
          <w:rFonts w:ascii="Arial" w:hAnsi="Arial" w:cs="Arial"/>
        </w:rPr>
      </w:pPr>
      <w:r>
        <w:rPr>
          <w:rFonts w:ascii="Arial" w:hAnsi="Arial" w:cs="Arial"/>
        </w:rPr>
        <w:t>Record patient participation rates in MS services.</w:t>
      </w:r>
    </w:p>
    <w:p w14:paraId="15F55719" w14:textId="77777777" w:rsidR="00D71800" w:rsidRDefault="009F3583">
      <w:pPr>
        <w:pStyle w:val="ListParagraph"/>
        <w:spacing w:line="360" w:lineRule="auto"/>
        <w:jc w:val="both"/>
        <w:rPr>
          <w:rFonts w:ascii="Arial" w:hAnsi="Arial" w:cs="Arial"/>
        </w:rPr>
      </w:pPr>
      <w:r>
        <w:rPr>
          <w:rFonts w:ascii="Arial" w:hAnsi="Arial" w:cs="Arial"/>
        </w:rPr>
        <w:t>Measure waiting times for MS services.</w:t>
      </w:r>
    </w:p>
    <w:p w14:paraId="15F5571A" w14:textId="77777777" w:rsidR="00D71800" w:rsidRDefault="009F3583">
      <w:pPr>
        <w:pStyle w:val="ListParagraph"/>
        <w:spacing w:line="360" w:lineRule="auto"/>
        <w:jc w:val="both"/>
        <w:rPr>
          <w:rFonts w:ascii="Arial" w:hAnsi="Arial" w:cs="Arial"/>
        </w:rPr>
      </w:pPr>
      <w:r>
        <w:rPr>
          <w:rFonts w:ascii="Arial" w:hAnsi="Arial" w:cs="Arial"/>
        </w:rPr>
        <w:t>Assess mobility, disability levels, and quality of life.</w:t>
      </w:r>
    </w:p>
    <w:p w14:paraId="15F5571B" w14:textId="77777777" w:rsidR="00D71800" w:rsidRDefault="009F3583">
      <w:pPr>
        <w:pStyle w:val="ListParagraph"/>
        <w:spacing w:line="360" w:lineRule="auto"/>
        <w:jc w:val="both"/>
        <w:rPr>
          <w:rFonts w:ascii="Arial" w:hAnsi="Arial" w:cs="Arial"/>
        </w:rPr>
      </w:pPr>
      <w:r>
        <w:rPr>
          <w:rFonts w:ascii="Arial" w:hAnsi="Arial" w:cs="Arial"/>
        </w:rPr>
        <w:t>Collect patient-reported outcomes via the UK MS Register (UK MS Register, 2026).</w:t>
      </w:r>
    </w:p>
    <w:p w14:paraId="15F5571C" w14:textId="77777777" w:rsidR="00D71800" w:rsidRDefault="009F3583">
      <w:pPr>
        <w:pStyle w:val="ListParagraph"/>
        <w:spacing w:line="360" w:lineRule="auto"/>
        <w:jc w:val="both"/>
        <w:rPr>
          <w:rFonts w:ascii="Arial" w:hAnsi="Arial" w:cs="Arial"/>
          <w:b/>
          <w:bCs/>
        </w:rPr>
      </w:pPr>
      <w:r>
        <w:rPr>
          <w:rFonts w:ascii="Arial" w:hAnsi="Arial" w:cs="Arial"/>
          <w:b/>
          <w:bCs/>
        </w:rPr>
        <w:t>Phase 2: Six-Month Evaluation</w:t>
      </w:r>
    </w:p>
    <w:p w14:paraId="15F5571D" w14:textId="77777777" w:rsidR="00D71800" w:rsidRDefault="009F3583">
      <w:pPr>
        <w:pStyle w:val="ListParagraph"/>
        <w:spacing w:line="360" w:lineRule="auto"/>
        <w:jc w:val="both"/>
        <w:rPr>
          <w:rFonts w:ascii="Arial" w:hAnsi="Arial" w:cs="Arial"/>
        </w:rPr>
      </w:pPr>
      <w:r>
        <w:rPr>
          <w:rFonts w:ascii="Arial" w:hAnsi="Arial" w:cs="Arial"/>
        </w:rPr>
        <w:t>Compare participation rates with the baseline.</w:t>
      </w:r>
    </w:p>
    <w:p w14:paraId="15F5571E" w14:textId="77777777" w:rsidR="00D71800" w:rsidRDefault="009F3583">
      <w:pPr>
        <w:pStyle w:val="ListParagraph"/>
        <w:spacing w:line="360" w:lineRule="auto"/>
        <w:jc w:val="both"/>
        <w:rPr>
          <w:rFonts w:ascii="Arial" w:hAnsi="Arial" w:cs="Arial"/>
        </w:rPr>
      </w:pPr>
      <w:r>
        <w:rPr>
          <w:rFonts w:ascii="Arial" w:hAnsi="Arial" w:cs="Arial"/>
        </w:rPr>
        <w:t xml:space="preserve">Check for </w:t>
      </w:r>
      <w:r>
        <w:rPr>
          <w:rFonts w:ascii="Arial" w:hAnsi="Arial" w:cs="Arial"/>
        </w:rPr>
        <w:t>reductions in waiting times.</w:t>
      </w:r>
    </w:p>
    <w:p w14:paraId="15F5571F" w14:textId="77777777" w:rsidR="00D71800" w:rsidRDefault="009F3583">
      <w:pPr>
        <w:pStyle w:val="ListParagraph"/>
        <w:spacing w:line="360" w:lineRule="auto"/>
        <w:jc w:val="both"/>
        <w:rPr>
          <w:rFonts w:ascii="Arial" w:hAnsi="Arial" w:cs="Arial"/>
        </w:rPr>
      </w:pPr>
      <w:r>
        <w:rPr>
          <w:rFonts w:ascii="Arial" w:hAnsi="Arial" w:cs="Arial"/>
        </w:rPr>
        <w:t>Reassess mobility and quality of life.</w:t>
      </w:r>
    </w:p>
    <w:p w14:paraId="15F55720" w14:textId="77777777" w:rsidR="00D71800" w:rsidRDefault="009F3583">
      <w:pPr>
        <w:pStyle w:val="ListParagraph"/>
        <w:spacing w:line="360" w:lineRule="auto"/>
        <w:jc w:val="both"/>
        <w:rPr>
          <w:rFonts w:ascii="Arial" w:hAnsi="Arial" w:cs="Arial"/>
        </w:rPr>
      </w:pPr>
      <w:r>
        <w:rPr>
          <w:rFonts w:ascii="Arial" w:hAnsi="Arial" w:cs="Arial"/>
        </w:rPr>
        <w:t>Gather patient feedback for barriers and improvements.</w:t>
      </w:r>
    </w:p>
    <w:p w14:paraId="15F55721" w14:textId="77777777" w:rsidR="00D71800" w:rsidRDefault="009F3583">
      <w:pPr>
        <w:pStyle w:val="ListParagraph"/>
        <w:spacing w:line="360" w:lineRule="auto"/>
        <w:jc w:val="both"/>
        <w:rPr>
          <w:rFonts w:ascii="Arial" w:hAnsi="Arial" w:cs="Arial"/>
          <w:b/>
          <w:bCs/>
        </w:rPr>
      </w:pPr>
      <w:r>
        <w:rPr>
          <w:rFonts w:ascii="Arial" w:hAnsi="Arial" w:cs="Arial"/>
          <w:b/>
          <w:bCs/>
        </w:rPr>
        <w:t>Phase 3: Twelve-Month Evaluation</w:t>
      </w:r>
    </w:p>
    <w:p w14:paraId="15F55722" w14:textId="77777777" w:rsidR="00D71800" w:rsidRDefault="009F3583">
      <w:pPr>
        <w:pStyle w:val="ListParagraph"/>
        <w:spacing w:line="360" w:lineRule="auto"/>
        <w:jc w:val="both"/>
        <w:rPr>
          <w:rFonts w:ascii="Arial" w:hAnsi="Arial" w:cs="Arial"/>
        </w:rPr>
      </w:pPr>
      <w:r>
        <w:rPr>
          <w:rFonts w:ascii="Arial" w:hAnsi="Arial" w:cs="Arial"/>
        </w:rPr>
        <w:t>Compare all outcomes with baseline and six-month results.</w:t>
      </w:r>
    </w:p>
    <w:p w14:paraId="15F55723" w14:textId="77777777" w:rsidR="00D71800" w:rsidRDefault="009F3583">
      <w:pPr>
        <w:pStyle w:val="ListParagraph"/>
        <w:spacing w:line="360" w:lineRule="auto"/>
        <w:jc w:val="both"/>
        <w:rPr>
          <w:rFonts w:ascii="Arial" w:hAnsi="Arial" w:cs="Arial"/>
        </w:rPr>
      </w:pPr>
      <w:r>
        <w:rPr>
          <w:rFonts w:ascii="Arial" w:hAnsi="Arial" w:cs="Arial"/>
        </w:rPr>
        <w:t>Assess sustainability of improvements in mobility and quality of life.</w:t>
      </w:r>
    </w:p>
    <w:p w14:paraId="15F55724" w14:textId="77777777" w:rsidR="00D71800" w:rsidRDefault="009F3583">
      <w:pPr>
        <w:pStyle w:val="ListParagraph"/>
        <w:spacing w:line="360" w:lineRule="auto"/>
        <w:jc w:val="both"/>
        <w:rPr>
          <w:rFonts w:ascii="Arial" w:hAnsi="Arial" w:cs="Arial"/>
        </w:rPr>
      </w:pPr>
      <w:r>
        <w:rPr>
          <w:rFonts w:ascii="Arial" w:hAnsi="Arial" w:cs="Arial"/>
        </w:rPr>
        <w:t>Review patient-reported outcomes for overall effectiveness (UK MS Register, 2026).</w:t>
      </w:r>
    </w:p>
    <w:p w14:paraId="15F55725" w14:textId="77777777" w:rsidR="00D71800" w:rsidRDefault="009F3583">
      <w:pPr>
        <w:spacing w:line="360" w:lineRule="auto"/>
        <w:jc w:val="both"/>
        <w:rPr>
          <w:rFonts w:ascii="Arial" w:hAnsi="Arial" w:cs="Arial"/>
          <w:b/>
          <w:bCs/>
        </w:rPr>
      </w:pPr>
      <w:r>
        <w:rPr>
          <w:rFonts w:ascii="Arial" w:hAnsi="Arial" w:cs="Arial"/>
          <w:b/>
          <w:bCs/>
        </w:rPr>
        <w:t>2.7.2 Evaluation Plan</w:t>
      </w:r>
    </w:p>
    <w:p w14:paraId="15F55726" w14:textId="77777777" w:rsidR="00D71800" w:rsidRDefault="009F3583">
      <w:pPr>
        <w:spacing w:line="360" w:lineRule="auto"/>
        <w:jc w:val="both"/>
        <w:rPr>
          <w:rFonts w:ascii="Arial" w:hAnsi="Arial" w:cs="Arial"/>
          <w:b/>
          <w:bCs/>
          <w:lang w:val="en-IN"/>
        </w:rPr>
      </w:pPr>
      <w:r>
        <w:rPr>
          <w:rFonts w:ascii="Arial" w:hAnsi="Arial" w:cs="Arial"/>
          <w:b/>
          <w:bCs/>
          <w:lang w:val="en-IN"/>
        </w:rPr>
        <w:t>RE-AIM Framework for Multiple Sclerosis in the UK</w:t>
      </w:r>
    </w:p>
    <w:p w14:paraId="15F55727" w14:textId="77777777" w:rsidR="00D71800" w:rsidRDefault="009F3583">
      <w:pPr>
        <w:spacing w:line="360" w:lineRule="auto"/>
        <w:jc w:val="both"/>
      </w:pPr>
      <w:r>
        <w:rPr>
          <w:rFonts w:ascii="Arial" w:hAnsi="Arial" w:cs="Arial"/>
          <w:lang w:val="en-IN"/>
        </w:rPr>
        <w:t xml:space="preserve">A community-based physiotherapy and exercise intervention for people </w:t>
      </w:r>
      <w:r>
        <w:rPr>
          <w:rFonts w:ascii="Arial" w:hAnsi="Arial" w:cs="Arial"/>
          <w:lang w:val="en-IN"/>
        </w:rPr>
        <w:t xml:space="preserve">with MS can be evaluated using the RE-AIM framework (Glasgow </w:t>
      </w:r>
      <w:r>
        <w:rPr>
          <w:rFonts w:ascii="Arial" w:hAnsi="Arial" w:cs="Arial"/>
          <w:i/>
          <w:iCs/>
          <w:lang w:val="en-IN"/>
        </w:rPr>
        <w:t>et al.</w:t>
      </w:r>
      <w:r>
        <w:rPr>
          <w:rFonts w:ascii="Arial" w:hAnsi="Arial" w:cs="Arial"/>
          <w:lang w:val="en-IN"/>
        </w:rPr>
        <w:t>, 2019).</w:t>
      </w:r>
    </w:p>
    <w:p w14:paraId="15F55728" w14:textId="77777777" w:rsidR="00D71800" w:rsidRDefault="009F3583">
      <w:pPr>
        <w:spacing w:line="360" w:lineRule="auto"/>
        <w:jc w:val="both"/>
      </w:pPr>
      <w:r>
        <w:rPr>
          <w:rFonts w:ascii="Arial" w:hAnsi="Arial" w:cs="Arial"/>
          <w:b/>
          <w:bCs/>
        </w:rPr>
        <w:t>Reach:</w:t>
      </w:r>
      <w:r>
        <w:rPr>
          <w:rFonts w:ascii="Arial" w:hAnsi="Arial" w:cs="Arial"/>
        </w:rPr>
        <w:t xml:space="preserve"> Measure participation rates among people with MS, including various age groups and socioeconomic backgrounds. </w:t>
      </w:r>
    </w:p>
    <w:p w14:paraId="15F55729" w14:textId="77777777" w:rsidR="00D71800" w:rsidRDefault="009F3583">
      <w:pPr>
        <w:spacing w:line="360" w:lineRule="auto"/>
        <w:jc w:val="both"/>
      </w:pPr>
      <w:r>
        <w:rPr>
          <w:rFonts w:ascii="Arial" w:hAnsi="Arial" w:cs="Arial"/>
          <w:b/>
          <w:bCs/>
        </w:rPr>
        <w:t>Effectiveness:</w:t>
      </w:r>
      <w:r>
        <w:rPr>
          <w:rFonts w:ascii="Arial" w:hAnsi="Arial" w:cs="Arial"/>
        </w:rPr>
        <w:t xml:space="preserve"> Assess improvements in mobility, fatigue, and quality of life at baseline, 6 months, and 12 months (NICE, 2022). </w:t>
      </w:r>
    </w:p>
    <w:p w14:paraId="15F5572A" w14:textId="77777777" w:rsidR="00D71800" w:rsidRDefault="009F3583">
      <w:pPr>
        <w:spacing w:line="360" w:lineRule="auto"/>
        <w:jc w:val="both"/>
      </w:pPr>
      <w:r>
        <w:rPr>
          <w:rFonts w:ascii="Arial" w:hAnsi="Arial" w:cs="Arial"/>
          <w:b/>
          <w:bCs/>
        </w:rPr>
        <w:t>Adoption:</w:t>
      </w:r>
      <w:r>
        <w:rPr>
          <w:rFonts w:ascii="Arial" w:hAnsi="Arial" w:cs="Arial"/>
        </w:rPr>
        <w:t xml:space="preserve"> Evaluate the willingness of NHS MS services and physiotherapists to provide the intervention. </w:t>
      </w:r>
    </w:p>
    <w:p w14:paraId="15F5572B" w14:textId="77777777" w:rsidR="00D71800" w:rsidRDefault="009F3583">
      <w:pPr>
        <w:spacing w:line="360" w:lineRule="auto"/>
        <w:jc w:val="both"/>
      </w:pPr>
      <w:r>
        <w:rPr>
          <w:rFonts w:ascii="Arial" w:hAnsi="Arial" w:cs="Arial"/>
          <w:b/>
          <w:bCs/>
        </w:rPr>
        <w:t>Implementation:</w:t>
      </w:r>
      <w:r>
        <w:rPr>
          <w:rFonts w:ascii="Arial" w:hAnsi="Arial" w:cs="Arial"/>
        </w:rPr>
        <w:t xml:space="preserve"> Check if the program is delivered consistently and adapted to meet </w:t>
      </w:r>
      <w:r>
        <w:rPr>
          <w:rFonts w:ascii="Arial" w:hAnsi="Arial" w:cs="Arial"/>
        </w:rPr>
        <w:t xml:space="preserve">individual needs (NICE, 2022). </w:t>
      </w:r>
    </w:p>
    <w:p w14:paraId="15F5572C" w14:textId="77777777" w:rsidR="00D71800" w:rsidRDefault="009F3583">
      <w:pPr>
        <w:spacing w:line="360" w:lineRule="auto"/>
        <w:jc w:val="both"/>
      </w:pPr>
      <w:r>
        <w:rPr>
          <w:rFonts w:ascii="Arial" w:hAnsi="Arial" w:cs="Arial"/>
          <w:b/>
          <w:bCs/>
        </w:rPr>
        <w:t>Maintenance</w:t>
      </w:r>
      <w:r>
        <w:rPr>
          <w:rFonts w:ascii="Arial" w:hAnsi="Arial" w:cs="Arial"/>
        </w:rPr>
        <w:t>: Assess whether health improvements and regular physical activity continue after the program ends. This framework allows for a comprehensive evaluation of the intervention's impact and sustainability.</w:t>
      </w:r>
    </w:p>
    <w:p w14:paraId="15F5572D" w14:textId="77777777" w:rsidR="00D71800" w:rsidRDefault="009F3583">
      <w:pPr>
        <w:spacing w:line="360" w:lineRule="auto"/>
        <w:jc w:val="center"/>
      </w:pPr>
      <w:r>
        <w:rPr>
          <w:rFonts w:ascii="Arial" w:hAnsi="Arial" w:cs="Arial"/>
          <w:noProof/>
        </w:rPr>
        <w:lastRenderedPageBreak/>
        <w:drawing>
          <wp:inline distT="0" distB="0" distL="0" distR="0" wp14:anchorId="15F5566F" wp14:editId="15F55670">
            <wp:extent cx="1947973" cy="2035948"/>
            <wp:effectExtent l="0" t="0" r="0" b="2402"/>
            <wp:docPr id="145790658"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tretch>
                      <a:fillRect/>
                    </a:stretch>
                  </pic:blipFill>
                  <pic:spPr>
                    <a:xfrm>
                      <a:off x="0" y="0"/>
                      <a:ext cx="1947973" cy="2035948"/>
                    </a:xfrm>
                    <a:prstGeom prst="rect">
                      <a:avLst/>
                    </a:prstGeom>
                    <a:noFill/>
                    <a:ln>
                      <a:noFill/>
                      <a:prstDash/>
                    </a:ln>
                  </pic:spPr>
                </pic:pic>
              </a:graphicData>
            </a:graphic>
          </wp:inline>
        </w:drawing>
      </w:r>
    </w:p>
    <w:p w14:paraId="15F5572E" w14:textId="77777777" w:rsidR="00D71800" w:rsidRDefault="009F3583">
      <w:pPr>
        <w:spacing w:line="360" w:lineRule="auto"/>
        <w:jc w:val="center"/>
        <w:rPr>
          <w:rFonts w:ascii="Arial" w:hAnsi="Arial" w:cs="Arial"/>
          <w:b/>
          <w:bCs/>
        </w:rPr>
      </w:pPr>
      <w:r>
        <w:rPr>
          <w:rFonts w:ascii="Arial" w:hAnsi="Arial" w:cs="Arial"/>
          <w:b/>
          <w:bCs/>
        </w:rPr>
        <w:t xml:space="preserve">Source: Belza, </w:t>
      </w:r>
      <w:proofErr w:type="spellStart"/>
      <w:r>
        <w:rPr>
          <w:rFonts w:ascii="Arial" w:hAnsi="Arial" w:cs="Arial"/>
          <w:b/>
          <w:bCs/>
        </w:rPr>
        <w:t>Toobert</w:t>
      </w:r>
      <w:proofErr w:type="spellEnd"/>
      <w:r>
        <w:rPr>
          <w:rFonts w:ascii="Arial" w:hAnsi="Arial" w:cs="Arial"/>
          <w:b/>
          <w:bCs/>
        </w:rPr>
        <w:t xml:space="preserve"> and Glasgow (2007)</w:t>
      </w:r>
    </w:p>
    <w:p w14:paraId="15F5572F" w14:textId="77777777" w:rsidR="00D71800" w:rsidRDefault="009F3583">
      <w:pPr>
        <w:spacing w:line="360" w:lineRule="auto"/>
        <w:ind w:left="420"/>
        <w:jc w:val="both"/>
      </w:pPr>
      <w:r>
        <w:rPr>
          <w:rFonts w:ascii="Arial" w:hAnsi="Arial" w:cs="Arial"/>
          <w:b/>
          <w:bCs/>
        </w:rPr>
        <w:t>2.8 Strengths and Weaknesses of the Epidemiological Approach</w:t>
      </w:r>
    </w:p>
    <w:p w14:paraId="15F55730" w14:textId="77777777" w:rsidR="00D71800" w:rsidRDefault="009F3583">
      <w:pPr>
        <w:pStyle w:val="ListParagraph"/>
        <w:numPr>
          <w:ilvl w:val="0"/>
          <w:numId w:val="6"/>
        </w:numPr>
        <w:spacing w:line="360" w:lineRule="auto"/>
        <w:jc w:val="both"/>
        <w:rPr>
          <w:rFonts w:ascii="Arial" w:hAnsi="Arial" w:cs="Arial"/>
          <w:b/>
          <w:bCs/>
        </w:rPr>
      </w:pPr>
      <w:r>
        <w:rPr>
          <w:rFonts w:ascii="Arial" w:hAnsi="Arial" w:cs="Arial"/>
          <w:b/>
          <w:bCs/>
        </w:rPr>
        <w:t>Strengths of the UK MS Surveillance:</w:t>
      </w:r>
    </w:p>
    <w:p w14:paraId="15F55731" w14:textId="77777777" w:rsidR="00D71800" w:rsidRDefault="009F3583">
      <w:pPr>
        <w:pStyle w:val="ListParagraph"/>
        <w:spacing w:line="360" w:lineRule="auto"/>
        <w:ind w:left="1140"/>
        <w:jc w:val="both"/>
        <w:rPr>
          <w:rFonts w:ascii="Arial" w:hAnsi="Arial" w:cs="Arial"/>
          <w:b/>
          <w:bCs/>
        </w:rPr>
      </w:pPr>
      <w:r>
        <w:rPr>
          <w:rFonts w:ascii="Arial" w:hAnsi="Arial" w:cs="Arial"/>
          <w:b/>
          <w:bCs/>
        </w:rPr>
        <w:t>Multiple Data Sources:</w:t>
      </w:r>
    </w:p>
    <w:p w14:paraId="15F55732" w14:textId="77777777" w:rsidR="00D71800" w:rsidRDefault="009F3583">
      <w:pPr>
        <w:pStyle w:val="ListParagraph"/>
        <w:spacing w:line="360" w:lineRule="auto"/>
        <w:ind w:left="1140"/>
        <w:jc w:val="both"/>
      </w:pPr>
      <w:r>
        <w:rPr>
          <w:rFonts w:ascii="Arial" w:hAnsi="Arial" w:cs="Arial"/>
        </w:rPr>
        <w:t xml:space="preserve">Integrates clinical information, NHS data, and patient-reported outcomes for a comprehensive </w:t>
      </w:r>
      <w:r>
        <w:rPr>
          <w:rFonts w:ascii="Arial" w:hAnsi="Arial" w:cs="Arial"/>
        </w:rPr>
        <w:t>understanding of MS’s impact (UK MS Register, 2026).</w:t>
      </w:r>
      <w:r>
        <w:rPr>
          <w:rFonts w:ascii="Arial" w:hAnsi="Arial" w:cs="Arial"/>
          <w:b/>
          <w:bCs/>
        </w:rPr>
        <w:t xml:space="preserve"> </w:t>
      </w:r>
    </w:p>
    <w:p w14:paraId="15F55733" w14:textId="77777777" w:rsidR="00D71800" w:rsidRDefault="009F3583">
      <w:pPr>
        <w:pStyle w:val="ListParagraph"/>
        <w:spacing w:line="360" w:lineRule="auto"/>
        <w:ind w:left="1140"/>
        <w:jc w:val="both"/>
        <w:rPr>
          <w:rFonts w:ascii="Arial" w:hAnsi="Arial" w:cs="Arial"/>
          <w:b/>
          <w:bCs/>
        </w:rPr>
      </w:pPr>
      <w:r>
        <w:rPr>
          <w:rFonts w:ascii="Arial" w:hAnsi="Arial" w:cs="Arial"/>
          <w:b/>
          <w:bCs/>
        </w:rPr>
        <w:t>Longitudinal Monitoring:</w:t>
      </w:r>
    </w:p>
    <w:p w14:paraId="15F55734" w14:textId="77777777" w:rsidR="00D71800" w:rsidRDefault="009F3583">
      <w:pPr>
        <w:pStyle w:val="ListParagraph"/>
        <w:spacing w:line="360" w:lineRule="auto"/>
        <w:ind w:left="1140"/>
        <w:jc w:val="both"/>
      </w:pPr>
      <w:r>
        <w:rPr>
          <w:rFonts w:ascii="Arial" w:hAnsi="Arial" w:cs="Arial"/>
        </w:rPr>
        <w:t>Collects questionnaires every six months, allowing for tracking changes in symptoms, disability, and quality of life over time (UK MS Register, 2026).</w:t>
      </w:r>
      <w:r>
        <w:rPr>
          <w:rFonts w:ascii="Arial" w:hAnsi="Arial" w:cs="Arial"/>
          <w:b/>
          <w:bCs/>
        </w:rPr>
        <w:t xml:space="preserve"> </w:t>
      </w:r>
    </w:p>
    <w:p w14:paraId="15F55735" w14:textId="77777777" w:rsidR="00D71800" w:rsidRDefault="009F3583">
      <w:pPr>
        <w:pStyle w:val="ListParagraph"/>
        <w:spacing w:line="360" w:lineRule="auto"/>
        <w:ind w:left="1140"/>
        <w:jc w:val="both"/>
        <w:rPr>
          <w:rFonts w:ascii="Arial" w:hAnsi="Arial" w:cs="Arial"/>
          <w:b/>
          <w:bCs/>
        </w:rPr>
      </w:pPr>
      <w:r>
        <w:rPr>
          <w:rFonts w:ascii="Arial" w:hAnsi="Arial" w:cs="Arial"/>
          <w:b/>
          <w:bCs/>
        </w:rPr>
        <w:t>Large Population Data:</w:t>
      </w:r>
    </w:p>
    <w:p w14:paraId="15F55736" w14:textId="77777777" w:rsidR="00D71800" w:rsidRDefault="009F3583">
      <w:pPr>
        <w:pStyle w:val="ListParagraph"/>
        <w:spacing w:line="360" w:lineRule="auto"/>
        <w:ind w:left="1140"/>
        <w:jc w:val="both"/>
        <w:rPr>
          <w:rFonts w:ascii="Arial" w:hAnsi="Arial" w:cs="Arial"/>
        </w:rPr>
      </w:pPr>
      <w:r>
        <w:rPr>
          <w:rFonts w:ascii="Arial" w:hAnsi="Arial" w:cs="Arial"/>
        </w:rPr>
        <w:t>Utilizes primary-care records to estimate MS prevalence and incidence, supporting effective healthcare planning (Public Health England, 2020).</w:t>
      </w:r>
    </w:p>
    <w:p w14:paraId="15F55737" w14:textId="77777777" w:rsidR="00D71800" w:rsidRDefault="009F3583">
      <w:pPr>
        <w:pStyle w:val="ListParagraph"/>
        <w:numPr>
          <w:ilvl w:val="0"/>
          <w:numId w:val="6"/>
        </w:numPr>
        <w:spacing w:line="360" w:lineRule="auto"/>
        <w:jc w:val="both"/>
      </w:pPr>
      <w:r>
        <w:rPr>
          <w:rFonts w:ascii="Arial" w:hAnsi="Arial" w:cs="Arial"/>
          <w:b/>
          <w:bCs/>
        </w:rPr>
        <w:t>Weaknesses of the UK MS Surveillance:</w:t>
      </w:r>
    </w:p>
    <w:p w14:paraId="15F55738" w14:textId="77777777" w:rsidR="00D71800" w:rsidRDefault="009F3583">
      <w:pPr>
        <w:spacing w:line="360" w:lineRule="auto"/>
        <w:ind w:left="1080"/>
        <w:jc w:val="both"/>
        <w:rPr>
          <w:rFonts w:ascii="Arial" w:hAnsi="Arial" w:cs="Arial"/>
          <w:b/>
          <w:bCs/>
        </w:rPr>
      </w:pPr>
      <w:r>
        <w:rPr>
          <w:rFonts w:ascii="Arial" w:hAnsi="Arial" w:cs="Arial"/>
          <w:b/>
          <w:bCs/>
        </w:rPr>
        <w:t>Sampling Bias:</w:t>
      </w:r>
    </w:p>
    <w:p w14:paraId="15F55739" w14:textId="77777777" w:rsidR="00D71800" w:rsidRDefault="009F3583">
      <w:pPr>
        <w:spacing w:line="360" w:lineRule="auto"/>
        <w:ind w:left="1080"/>
        <w:jc w:val="both"/>
        <w:rPr>
          <w:rFonts w:ascii="Arial" w:hAnsi="Arial" w:cs="Arial"/>
        </w:rPr>
      </w:pPr>
      <w:r>
        <w:rPr>
          <w:rFonts w:ascii="Arial" w:hAnsi="Arial" w:cs="Arial"/>
        </w:rPr>
        <w:t xml:space="preserve">Voluntary participation may result in a non-representative </w:t>
      </w:r>
      <w:r>
        <w:rPr>
          <w:rFonts w:ascii="Arial" w:hAnsi="Arial" w:cs="Arial"/>
        </w:rPr>
        <w:t>sample of the MS population (Jacobs et al., 2024).</w:t>
      </w:r>
    </w:p>
    <w:p w14:paraId="15F5573A" w14:textId="77777777" w:rsidR="00D71800" w:rsidRDefault="009F3583">
      <w:pPr>
        <w:spacing w:line="360" w:lineRule="auto"/>
        <w:ind w:left="1080"/>
        <w:jc w:val="both"/>
        <w:rPr>
          <w:rFonts w:ascii="Arial" w:hAnsi="Arial" w:cs="Arial"/>
          <w:b/>
          <w:bCs/>
        </w:rPr>
      </w:pPr>
      <w:r>
        <w:rPr>
          <w:rFonts w:ascii="Arial" w:hAnsi="Arial" w:cs="Arial"/>
          <w:b/>
          <w:bCs/>
        </w:rPr>
        <w:t>Incomplete Routine Data:</w:t>
      </w:r>
    </w:p>
    <w:p w14:paraId="15F5573B" w14:textId="77777777" w:rsidR="00D71800" w:rsidRDefault="009F3583">
      <w:pPr>
        <w:spacing w:line="360" w:lineRule="auto"/>
        <w:ind w:left="1080"/>
        <w:jc w:val="both"/>
        <w:rPr>
          <w:rFonts w:ascii="Arial" w:hAnsi="Arial" w:cs="Arial"/>
        </w:rPr>
      </w:pPr>
      <w:r>
        <w:rPr>
          <w:rFonts w:ascii="Arial" w:hAnsi="Arial" w:cs="Arial"/>
        </w:rPr>
        <w:t xml:space="preserve">Primary-care datasets can have missing or incomplete records, affecting data quality and reliability (Public Health England, 2020). </w:t>
      </w:r>
    </w:p>
    <w:p w14:paraId="15F5573C" w14:textId="77777777" w:rsidR="00D71800" w:rsidRDefault="009F3583">
      <w:pPr>
        <w:spacing w:line="360" w:lineRule="auto"/>
        <w:ind w:left="1080"/>
        <w:jc w:val="both"/>
        <w:rPr>
          <w:rFonts w:ascii="Arial" w:hAnsi="Arial" w:cs="Arial"/>
          <w:b/>
          <w:bCs/>
        </w:rPr>
      </w:pPr>
      <w:r>
        <w:rPr>
          <w:rFonts w:ascii="Arial" w:hAnsi="Arial" w:cs="Arial"/>
          <w:b/>
          <w:bCs/>
        </w:rPr>
        <w:t>Digital Exclusion:</w:t>
      </w:r>
    </w:p>
    <w:p w14:paraId="15F5573D" w14:textId="77777777" w:rsidR="00D71800" w:rsidRDefault="009F3583">
      <w:pPr>
        <w:spacing w:line="360" w:lineRule="auto"/>
        <w:ind w:left="1080"/>
        <w:jc w:val="both"/>
        <w:rPr>
          <w:rFonts w:ascii="Arial" w:hAnsi="Arial" w:cs="Arial"/>
        </w:rPr>
      </w:pPr>
      <w:r>
        <w:rPr>
          <w:rFonts w:ascii="Arial" w:hAnsi="Arial" w:cs="Arial"/>
        </w:rPr>
        <w:t xml:space="preserve"> Online patient-reported data may under-represent individuals with limited digital access or technology skills (Ford et al., 2012).</w:t>
      </w:r>
    </w:p>
    <w:p w14:paraId="15F5573E" w14:textId="77777777" w:rsidR="00D71800" w:rsidRDefault="00D71800">
      <w:pPr>
        <w:spacing w:line="360" w:lineRule="auto"/>
        <w:jc w:val="both"/>
        <w:rPr>
          <w:rFonts w:ascii="Arial" w:hAnsi="Arial" w:cs="Arial"/>
          <w:b/>
          <w:bCs/>
          <w:u w:val="single"/>
        </w:rPr>
      </w:pPr>
    </w:p>
    <w:p w14:paraId="15F5573F" w14:textId="77777777" w:rsidR="00D71800" w:rsidRDefault="00D71800">
      <w:pPr>
        <w:spacing w:line="360" w:lineRule="auto"/>
        <w:jc w:val="both"/>
        <w:rPr>
          <w:rFonts w:ascii="Arial" w:hAnsi="Arial" w:cs="Arial"/>
          <w:b/>
          <w:bCs/>
          <w:u w:val="single"/>
        </w:rPr>
      </w:pPr>
    </w:p>
    <w:p w14:paraId="15F55740" w14:textId="77777777" w:rsidR="00D71800" w:rsidRDefault="009F3583">
      <w:pPr>
        <w:spacing w:line="360" w:lineRule="auto"/>
        <w:jc w:val="both"/>
        <w:rPr>
          <w:rFonts w:ascii="Arial" w:hAnsi="Arial" w:cs="Arial"/>
          <w:b/>
          <w:bCs/>
          <w:u w:val="single"/>
        </w:rPr>
      </w:pPr>
      <w:r>
        <w:rPr>
          <w:rFonts w:ascii="Arial" w:hAnsi="Arial" w:cs="Arial"/>
          <w:b/>
          <w:bCs/>
          <w:u w:val="single"/>
        </w:rPr>
        <w:t>3. CONCLUSION:</w:t>
      </w:r>
    </w:p>
    <w:p w14:paraId="15F55741" w14:textId="77777777" w:rsidR="00D71800" w:rsidRDefault="009F3583">
      <w:pPr>
        <w:spacing w:line="360" w:lineRule="auto"/>
        <w:jc w:val="both"/>
        <w:rPr>
          <w:rFonts w:ascii="Arial" w:hAnsi="Arial" w:cs="Arial"/>
        </w:rPr>
      </w:pPr>
      <w:r>
        <w:rPr>
          <w:rFonts w:ascii="Arial" w:hAnsi="Arial" w:cs="Arial"/>
        </w:rPr>
        <w:t xml:space="preserve">Multiple Sclerosis (MS) is a significant public health concern in the UK, impacting over 150,000 individuals and resulting in </w:t>
      </w:r>
      <w:r>
        <w:rPr>
          <w:rFonts w:ascii="Arial" w:hAnsi="Arial" w:cs="Arial"/>
        </w:rPr>
        <w:t>approximately 7,100 new diagnoses each year (MS Society, 2024). The prevalence of MS varies by age and sex, and various social and socioeconomic factors can shape how individuals experience the condition and access care.</w:t>
      </w:r>
    </w:p>
    <w:p w14:paraId="15F55742" w14:textId="77777777" w:rsidR="00D71800" w:rsidRDefault="009F3583">
      <w:pPr>
        <w:spacing w:line="360" w:lineRule="auto"/>
        <w:jc w:val="both"/>
        <w:rPr>
          <w:rFonts w:ascii="Arial" w:hAnsi="Arial" w:cs="Arial"/>
        </w:rPr>
      </w:pPr>
      <w:r>
        <w:rPr>
          <w:rFonts w:ascii="Arial" w:hAnsi="Arial" w:cs="Arial"/>
        </w:rPr>
        <w:t xml:space="preserve"> To effectively address these challenges, continuous monitoring and surveillance through platforms like the UK MS Register and NHS data are essential. This data helps identify evolving needs and guides service planning (UK MS Register, 2026). Interventions should prioritize early diagnosis,</w:t>
      </w:r>
      <w:r>
        <w:rPr>
          <w:rFonts w:ascii="Arial" w:hAnsi="Arial" w:cs="Arial"/>
        </w:rPr>
        <w:t xml:space="preserve"> prompt treatment, rehabilitation, reduced waiting times, and overall improvement in quality of life. Evaluating these interventions at baseline, six months, and twelve months can help determine their effectiveness. </w:t>
      </w:r>
    </w:p>
    <w:p w14:paraId="15F55743" w14:textId="77777777" w:rsidR="00D71800" w:rsidRDefault="009F3583">
      <w:pPr>
        <w:spacing w:line="360" w:lineRule="auto"/>
        <w:jc w:val="both"/>
        <w:rPr>
          <w:rFonts w:ascii="Arial" w:hAnsi="Arial" w:cs="Arial"/>
        </w:rPr>
      </w:pPr>
      <w:r>
        <w:rPr>
          <w:rFonts w:ascii="Arial" w:hAnsi="Arial" w:cs="Arial"/>
        </w:rPr>
        <w:t>By combining rigorous epidemiological evidence with insights from patients’ experiences, the UK can work towards creating more equitable, person-centred MS services that truly meet the needs of those affected.</w:t>
      </w:r>
    </w:p>
    <w:p w14:paraId="15F55744" w14:textId="77777777" w:rsidR="00D71800" w:rsidRDefault="009F3583">
      <w:pPr>
        <w:spacing w:line="360" w:lineRule="auto"/>
        <w:jc w:val="both"/>
        <w:rPr>
          <w:rFonts w:ascii="Arial" w:hAnsi="Arial" w:cs="Arial"/>
          <w:b/>
          <w:bCs/>
          <w:u w:val="single"/>
        </w:rPr>
      </w:pPr>
      <w:r>
        <w:rPr>
          <w:rFonts w:ascii="Arial" w:hAnsi="Arial" w:cs="Arial"/>
          <w:b/>
          <w:bCs/>
          <w:u w:val="single"/>
        </w:rPr>
        <w:t xml:space="preserve">REFERENCES: </w:t>
      </w:r>
    </w:p>
    <w:p w14:paraId="15F55745" w14:textId="77777777" w:rsidR="00D71800" w:rsidRDefault="009F3583">
      <w:pPr>
        <w:numPr>
          <w:ilvl w:val="0"/>
          <w:numId w:val="7"/>
        </w:numPr>
        <w:spacing w:line="360" w:lineRule="auto"/>
        <w:jc w:val="both"/>
      </w:pPr>
      <w:r>
        <w:rPr>
          <w:rFonts w:ascii="Arial" w:hAnsi="Arial" w:cs="Arial"/>
          <w:lang w:val="en-IN"/>
        </w:rPr>
        <w:t xml:space="preserve">Office for National Statistics (ONS) (2022) ‘Outcomes for disabled </w:t>
      </w:r>
      <w:r>
        <w:rPr>
          <w:rFonts w:ascii="Arial" w:hAnsi="Arial" w:cs="Arial"/>
          <w:lang w:val="en-IN"/>
        </w:rPr>
        <w:t xml:space="preserve">people in the UK: 2021’. Available at: </w:t>
      </w:r>
      <w:hyperlink r:id="rId12" w:history="1">
        <w:r>
          <w:rPr>
            <w:rStyle w:val="Hyperlink"/>
            <w:rFonts w:ascii="Arial" w:hAnsi="Arial" w:cs="Arial"/>
            <w:u w:val="none"/>
            <w:lang w:val="en-IN"/>
          </w:rPr>
          <w:t>ONS – Outcomes for disabled people in the UK</w:t>
        </w:r>
      </w:hyperlink>
      <w:r>
        <w:rPr>
          <w:rFonts w:ascii="Arial" w:hAnsi="Arial" w:cs="Arial"/>
          <w:lang w:val="en-IN"/>
        </w:rPr>
        <w:t xml:space="preserve"> (Accessed: 25 July 2026). </w:t>
      </w:r>
    </w:p>
    <w:p w14:paraId="15F55746" w14:textId="77777777" w:rsidR="00D71800" w:rsidRDefault="009F3583">
      <w:pPr>
        <w:numPr>
          <w:ilvl w:val="0"/>
          <w:numId w:val="7"/>
        </w:numPr>
        <w:spacing w:line="360" w:lineRule="auto"/>
        <w:jc w:val="both"/>
      </w:pPr>
      <w:r>
        <w:rPr>
          <w:rFonts w:ascii="Arial" w:hAnsi="Arial" w:cs="Arial"/>
          <w:lang w:val="en-IN"/>
        </w:rPr>
        <w:t xml:space="preserve">Office for National Statistics (ONS) (2023) ‘Disability, England and Wales: Census 2021’. Available at: </w:t>
      </w:r>
      <w:hyperlink r:id="rId13" w:history="1">
        <w:r>
          <w:rPr>
            <w:rStyle w:val="Hyperlink"/>
            <w:rFonts w:ascii="Arial" w:hAnsi="Arial" w:cs="Arial"/>
            <w:u w:val="none"/>
            <w:lang w:val="en-IN"/>
          </w:rPr>
          <w:t>ONS – Disability, England and Wales</w:t>
        </w:r>
      </w:hyperlink>
      <w:r>
        <w:rPr>
          <w:rFonts w:ascii="Arial" w:hAnsi="Arial" w:cs="Arial"/>
          <w:lang w:val="en-IN"/>
        </w:rPr>
        <w:t xml:space="preserve"> (Accessed: 25 July 2026). </w:t>
      </w:r>
    </w:p>
    <w:p w14:paraId="15F55747" w14:textId="77777777" w:rsidR="00D71800" w:rsidRDefault="009F3583">
      <w:pPr>
        <w:numPr>
          <w:ilvl w:val="0"/>
          <w:numId w:val="7"/>
        </w:numPr>
        <w:spacing w:line="360" w:lineRule="auto"/>
        <w:jc w:val="both"/>
      </w:pPr>
      <w:r>
        <w:rPr>
          <w:rFonts w:ascii="Arial" w:hAnsi="Arial" w:cs="Arial"/>
          <w:lang w:val="en-IN"/>
        </w:rPr>
        <w:t xml:space="preserve">NHS England (2025) ‘Primary Care Dementia Data, March 2025’. Available at: </w:t>
      </w:r>
      <w:hyperlink r:id="rId14" w:history="1">
        <w:r>
          <w:rPr>
            <w:rStyle w:val="Hyperlink"/>
            <w:rFonts w:ascii="Arial" w:hAnsi="Arial" w:cs="Arial"/>
            <w:u w:val="none"/>
            <w:lang w:val="en-IN"/>
          </w:rPr>
          <w:t>NHS England – Primary Care Dementia Data</w:t>
        </w:r>
      </w:hyperlink>
      <w:r>
        <w:rPr>
          <w:rFonts w:ascii="Arial" w:hAnsi="Arial" w:cs="Arial"/>
          <w:lang w:val="en-IN"/>
        </w:rPr>
        <w:t xml:space="preserve"> </w:t>
      </w:r>
      <w:r>
        <w:rPr>
          <w:rFonts w:ascii="Arial" w:hAnsi="Arial" w:cs="Arial"/>
          <w:lang w:val="en-IN"/>
        </w:rPr>
        <w:t xml:space="preserve">(Accessed: 25 July 2026). </w:t>
      </w:r>
    </w:p>
    <w:p w14:paraId="15F55748" w14:textId="77777777" w:rsidR="00D71800" w:rsidRDefault="009F3583">
      <w:pPr>
        <w:numPr>
          <w:ilvl w:val="0"/>
          <w:numId w:val="7"/>
        </w:numPr>
        <w:spacing w:line="360" w:lineRule="auto"/>
        <w:jc w:val="both"/>
      </w:pPr>
      <w:r>
        <w:rPr>
          <w:rFonts w:ascii="Arial" w:hAnsi="Arial" w:cs="Arial"/>
          <w:lang w:val="en-IN"/>
        </w:rPr>
        <w:t xml:space="preserve">Office for Health Improvement and Disparities (2025) ‘Dementia profile: prevalence and supporting well topics statistical commentary, March 2025’. Available at: </w:t>
      </w:r>
      <w:hyperlink r:id="rId15" w:history="1">
        <w:r>
          <w:rPr>
            <w:rStyle w:val="Hyperlink"/>
            <w:rFonts w:ascii="Arial" w:hAnsi="Arial" w:cs="Arial"/>
            <w:u w:val="none"/>
            <w:lang w:val="en-IN"/>
          </w:rPr>
          <w:t>GOV.UK – Dementia profile</w:t>
        </w:r>
      </w:hyperlink>
      <w:r>
        <w:rPr>
          <w:rFonts w:ascii="Arial" w:hAnsi="Arial" w:cs="Arial"/>
          <w:lang w:val="en-IN"/>
        </w:rPr>
        <w:t xml:space="preserve"> (Accessed: 25 July 2026). </w:t>
      </w:r>
    </w:p>
    <w:p w14:paraId="15F55749" w14:textId="77777777" w:rsidR="00D71800" w:rsidRDefault="009F3583">
      <w:pPr>
        <w:numPr>
          <w:ilvl w:val="0"/>
          <w:numId w:val="7"/>
        </w:numPr>
        <w:spacing w:line="360" w:lineRule="auto"/>
        <w:jc w:val="both"/>
      </w:pPr>
      <w:r>
        <w:rPr>
          <w:rFonts w:ascii="Arial" w:hAnsi="Arial" w:cs="Arial"/>
          <w:lang w:val="en-IN"/>
        </w:rPr>
        <w:t xml:space="preserve">Walker, V.M., Davies, N.M., Kehoe, P.G. and Martin, R.M. (2018) </w:t>
      </w:r>
      <w:r>
        <w:rPr>
          <w:rFonts w:ascii="Arial" w:hAnsi="Arial" w:cs="Arial"/>
          <w:lang w:val="en-IN"/>
        </w:rPr>
        <w:t xml:space="preserve">‘What is the impact of regulatory guidance and expiry of drug patents on dementia drug prescriptions in England? A trend analysis in the Clinical Practice Research Datalink’, </w:t>
      </w:r>
      <w:r>
        <w:rPr>
          <w:rFonts w:ascii="Arial" w:hAnsi="Arial" w:cs="Arial"/>
          <w:i/>
          <w:iCs/>
          <w:lang w:val="en-IN"/>
        </w:rPr>
        <w:t>Alzheimer’s Research &amp; Therapy</w:t>
      </w:r>
      <w:r>
        <w:rPr>
          <w:rFonts w:ascii="Arial" w:hAnsi="Arial" w:cs="Arial"/>
          <w:lang w:val="en-IN"/>
        </w:rPr>
        <w:t xml:space="preserve">, 10, 51. Available at: Alzheimer's Research &amp; Therapy – Walker et al. (Accessed: 25 July 2026). </w:t>
      </w:r>
    </w:p>
    <w:p w14:paraId="15F5574A" w14:textId="77777777" w:rsidR="00D71800" w:rsidRDefault="009F3583">
      <w:pPr>
        <w:numPr>
          <w:ilvl w:val="0"/>
          <w:numId w:val="7"/>
        </w:numPr>
        <w:spacing w:line="360" w:lineRule="auto"/>
        <w:jc w:val="both"/>
      </w:pPr>
      <w:r>
        <w:rPr>
          <w:rFonts w:ascii="Arial" w:hAnsi="Arial" w:cs="Arial"/>
          <w:lang w:val="en-IN"/>
        </w:rPr>
        <w:lastRenderedPageBreak/>
        <w:t xml:space="preserve">NHS England (2025) ‘NHS England performance report 2024/25’. Available at: </w:t>
      </w:r>
      <w:hyperlink r:id="rId16" w:history="1">
        <w:r>
          <w:rPr>
            <w:rStyle w:val="Hyperlink"/>
            <w:rFonts w:ascii="Arial" w:hAnsi="Arial" w:cs="Arial"/>
            <w:u w:val="none"/>
            <w:lang w:val="en-IN"/>
          </w:rPr>
          <w:t xml:space="preserve">NHS England – Performance </w:t>
        </w:r>
        <w:r>
          <w:rPr>
            <w:rStyle w:val="Hyperlink"/>
            <w:rFonts w:ascii="Arial" w:hAnsi="Arial" w:cs="Arial"/>
            <w:u w:val="none"/>
            <w:lang w:val="en-IN"/>
          </w:rPr>
          <w:t>report</w:t>
        </w:r>
      </w:hyperlink>
      <w:r>
        <w:rPr>
          <w:rFonts w:ascii="Arial" w:hAnsi="Arial" w:cs="Arial"/>
          <w:lang w:val="en-IN"/>
        </w:rPr>
        <w:t xml:space="preserve"> (Accessed: 25 July 2026). </w:t>
      </w:r>
    </w:p>
    <w:p w14:paraId="15F5574B" w14:textId="77777777" w:rsidR="00D71800" w:rsidRDefault="009F3583">
      <w:pPr>
        <w:numPr>
          <w:ilvl w:val="0"/>
          <w:numId w:val="7"/>
        </w:numPr>
        <w:spacing w:line="360" w:lineRule="auto"/>
        <w:jc w:val="both"/>
      </w:pPr>
      <w:r>
        <w:rPr>
          <w:rFonts w:ascii="Arial" w:hAnsi="Arial" w:cs="Arial"/>
          <w:lang w:val="en-IN"/>
        </w:rPr>
        <w:t xml:space="preserve">Office for National Statistics (ONS) (2025) ‘Death registration summary statistics, England and Wales: 2024’. Available at: </w:t>
      </w:r>
      <w:hyperlink r:id="rId17" w:history="1">
        <w:r>
          <w:rPr>
            <w:rStyle w:val="Hyperlink"/>
            <w:rFonts w:ascii="Arial" w:hAnsi="Arial" w:cs="Arial"/>
            <w:u w:val="none"/>
            <w:lang w:val="en-IN"/>
          </w:rPr>
          <w:t>ONS – Death registration statistics 2024</w:t>
        </w:r>
      </w:hyperlink>
      <w:r>
        <w:rPr>
          <w:rFonts w:ascii="Arial" w:hAnsi="Arial" w:cs="Arial"/>
          <w:lang w:val="en-IN"/>
        </w:rPr>
        <w:t xml:space="preserve"> (Accessed: 25 July 2026). </w:t>
      </w:r>
    </w:p>
    <w:p w14:paraId="15F5574C" w14:textId="77777777" w:rsidR="00D71800" w:rsidRDefault="009F3583">
      <w:pPr>
        <w:numPr>
          <w:ilvl w:val="0"/>
          <w:numId w:val="7"/>
        </w:numPr>
        <w:spacing w:line="360" w:lineRule="auto"/>
        <w:jc w:val="both"/>
      </w:pPr>
      <w:r>
        <w:rPr>
          <w:rFonts w:ascii="Arial" w:hAnsi="Arial" w:cs="Arial"/>
          <w:lang w:val="en-IN"/>
        </w:rPr>
        <w:t xml:space="preserve">Office for National Statistics (ONS) (2025) ‘National life tables – life expectancy in the UK: </w:t>
      </w:r>
      <w:r>
        <w:rPr>
          <w:rFonts w:ascii="Arial" w:hAnsi="Arial" w:cs="Arial"/>
          <w:lang w:val="en-IN"/>
        </w:rPr>
        <w:t xml:space="preserve">2022 to 2024’. Available at: </w:t>
      </w:r>
      <w:hyperlink r:id="rId18" w:history="1">
        <w:r>
          <w:rPr>
            <w:rStyle w:val="Hyperlink"/>
            <w:rFonts w:ascii="Arial" w:hAnsi="Arial" w:cs="Arial"/>
            <w:u w:val="none"/>
            <w:lang w:val="en-IN"/>
          </w:rPr>
          <w:t>ONS – National life tables</w:t>
        </w:r>
      </w:hyperlink>
      <w:r>
        <w:rPr>
          <w:rFonts w:ascii="Arial" w:hAnsi="Arial" w:cs="Arial"/>
          <w:lang w:val="en-IN"/>
        </w:rPr>
        <w:t xml:space="preserve"> (Accessed: 25 July 2026). </w:t>
      </w:r>
    </w:p>
    <w:p w14:paraId="15F5574D" w14:textId="77777777" w:rsidR="00D71800" w:rsidRDefault="009F3583">
      <w:pPr>
        <w:numPr>
          <w:ilvl w:val="0"/>
          <w:numId w:val="7"/>
        </w:numPr>
        <w:spacing w:line="360" w:lineRule="auto"/>
        <w:jc w:val="both"/>
      </w:pPr>
      <w:r>
        <w:rPr>
          <w:rFonts w:ascii="Arial" w:hAnsi="Arial" w:cs="Arial"/>
          <w:lang w:val="en-IN"/>
        </w:rPr>
        <w:t xml:space="preserve">Age UK (2024) ‘Building on success to beat loneliness’. Available at: </w:t>
      </w:r>
      <w:hyperlink r:id="rId19" w:history="1">
        <w:r>
          <w:rPr>
            <w:rStyle w:val="Hyperlink"/>
            <w:rFonts w:ascii="Arial" w:hAnsi="Arial" w:cs="Arial"/>
            <w:u w:val="none"/>
            <w:lang w:val="en-IN"/>
          </w:rPr>
          <w:t xml:space="preserve">Age UK – Building on success to beat </w:t>
        </w:r>
        <w:r>
          <w:rPr>
            <w:rStyle w:val="Hyperlink"/>
            <w:rFonts w:ascii="Arial" w:hAnsi="Arial" w:cs="Arial"/>
            <w:u w:val="none"/>
            <w:lang w:val="en-IN"/>
          </w:rPr>
          <w:t>loneliness</w:t>
        </w:r>
      </w:hyperlink>
      <w:r>
        <w:rPr>
          <w:rFonts w:ascii="Arial" w:hAnsi="Arial" w:cs="Arial"/>
          <w:lang w:val="en-IN"/>
        </w:rPr>
        <w:t xml:space="preserve"> (Accessed: 25 July 2026). </w:t>
      </w:r>
    </w:p>
    <w:p w14:paraId="15F5574E" w14:textId="77777777" w:rsidR="00D71800" w:rsidRDefault="009F3583">
      <w:pPr>
        <w:numPr>
          <w:ilvl w:val="0"/>
          <w:numId w:val="7"/>
        </w:numPr>
        <w:spacing w:line="360" w:lineRule="auto"/>
        <w:jc w:val="both"/>
      </w:pPr>
      <w:r>
        <w:rPr>
          <w:rFonts w:ascii="Arial" w:hAnsi="Arial" w:cs="Arial"/>
          <w:lang w:val="en-IN"/>
        </w:rPr>
        <w:t xml:space="preserve">Barnett, K., Mercer, S.W., Norbury, M., Watt, G., Wyke, S. and Guthrie, B. (2012) ‘Epidemiology of multimorbidity and implications for health care, research, and medical education: a cross-sectional study’, </w:t>
      </w:r>
      <w:r>
        <w:rPr>
          <w:rFonts w:ascii="Arial" w:hAnsi="Arial" w:cs="Arial"/>
          <w:i/>
          <w:iCs/>
          <w:lang w:val="en-IN"/>
        </w:rPr>
        <w:t>The Lancet</w:t>
      </w:r>
      <w:r>
        <w:rPr>
          <w:rFonts w:ascii="Arial" w:hAnsi="Arial" w:cs="Arial"/>
          <w:lang w:val="en-IN"/>
        </w:rPr>
        <w:t xml:space="preserve">, 380(9836), pp. 37–43. Available at: PubMed – Barnett et al. (Accessed: 25 July 2026). </w:t>
      </w:r>
    </w:p>
    <w:p w14:paraId="15F5574F" w14:textId="77777777" w:rsidR="00D71800" w:rsidRDefault="009F3583">
      <w:pPr>
        <w:numPr>
          <w:ilvl w:val="0"/>
          <w:numId w:val="7"/>
        </w:numPr>
        <w:spacing w:line="360" w:lineRule="auto"/>
        <w:jc w:val="both"/>
      </w:pPr>
      <w:proofErr w:type="spellStart"/>
      <w:r>
        <w:rPr>
          <w:rFonts w:ascii="Arial" w:hAnsi="Arial" w:cs="Arial"/>
          <w:lang w:val="en-IN"/>
        </w:rPr>
        <w:t>Benichou</w:t>
      </w:r>
      <w:proofErr w:type="spellEnd"/>
      <w:r>
        <w:rPr>
          <w:rFonts w:ascii="Arial" w:hAnsi="Arial" w:cs="Arial"/>
          <w:lang w:val="en-IN"/>
        </w:rPr>
        <w:t xml:space="preserve">, O. and Lord, S.R. (2016) ‘Rationale for strengthening muscle to prevent falls and fractures: a review of the evidence’, </w:t>
      </w:r>
      <w:r>
        <w:rPr>
          <w:rFonts w:ascii="Arial" w:hAnsi="Arial" w:cs="Arial"/>
          <w:i/>
          <w:iCs/>
          <w:lang w:val="en-IN"/>
        </w:rPr>
        <w:t>Calcified Tissue International</w:t>
      </w:r>
      <w:r>
        <w:rPr>
          <w:rFonts w:ascii="Arial" w:hAnsi="Arial" w:cs="Arial"/>
          <w:lang w:val="en-IN"/>
        </w:rPr>
        <w:t xml:space="preserve">, </w:t>
      </w:r>
      <w:r>
        <w:rPr>
          <w:rFonts w:ascii="Arial" w:hAnsi="Arial" w:cs="Arial"/>
          <w:lang w:val="en-IN"/>
        </w:rPr>
        <w:t xml:space="preserve">98(6), pp. 531–545. Available at: PubMed – </w:t>
      </w:r>
      <w:proofErr w:type="spellStart"/>
      <w:r>
        <w:rPr>
          <w:rFonts w:ascii="Arial" w:hAnsi="Arial" w:cs="Arial"/>
          <w:lang w:val="en-IN"/>
        </w:rPr>
        <w:t>Benichou</w:t>
      </w:r>
      <w:proofErr w:type="spellEnd"/>
      <w:r>
        <w:rPr>
          <w:rFonts w:ascii="Arial" w:hAnsi="Arial" w:cs="Arial"/>
          <w:lang w:val="en-IN"/>
        </w:rPr>
        <w:t xml:space="preserve"> and Lord (Accessed: 25 July 2026). </w:t>
      </w:r>
    </w:p>
    <w:p w14:paraId="15F55750" w14:textId="77777777" w:rsidR="00D71800" w:rsidRDefault="009F3583">
      <w:pPr>
        <w:numPr>
          <w:ilvl w:val="0"/>
          <w:numId w:val="7"/>
        </w:numPr>
        <w:spacing w:line="360" w:lineRule="auto"/>
        <w:jc w:val="both"/>
      </w:pPr>
      <w:r>
        <w:rPr>
          <w:rFonts w:ascii="Arial" w:hAnsi="Arial" w:cs="Arial"/>
          <w:lang w:val="en-IN"/>
        </w:rPr>
        <w:t xml:space="preserve">Department for Health and Social Care (2026) ‘Dame Barbara Windsor Dementia Goals’. Available at: </w:t>
      </w:r>
      <w:hyperlink r:id="rId20" w:history="1">
        <w:r>
          <w:rPr>
            <w:rStyle w:val="Hyperlink"/>
            <w:rFonts w:ascii="Arial" w:hAnsi="Arial" w:cs="Arial"/>
            <w:u w:val="none"/>
            <w:lang w:val="en-IN"/>
          </w:rPr>
          <w:t>GOV.UK – Dame Barbara Windsor Dementia Goals</w:t>
        </w:r>
      </w:hyperlink>
      <w:r>
        <w:rPr>
          <w:rFonts w:ascii="Arial" w:hAnsi="Arial" w:cs="Arial"/>
          <w:lang w:val="en-IN"/>
        </w:rPr>
        <w:t xml:space="preserve"> (Accessed: 25 July 2026). </w:t>
      </w:r>
    </w:p>
    <w:p w14:paraId="15F55751" w14:textId="77777777" w:rsidR="00D71800" w:rsidRDefault="009F3583">
      <w:pPr>
        <w:numPr>
          <w:ilvl w:val="0"/>
          <w:numId w:val="7"/>
        </w:numPr>
        <w:spacing w:line="360" w:lineRule="auto"/>
        <w:jc w:val="both"/>
      </w:pPr>
      <w:r>
        <w:rPr>
          <w:rFonts w:ascii="Arial" w:hAnsi="Arial" w:cs="Arial"/>
          <w:lang w:val="en-IN"/>
        </w:rPr>
        <w:t xml:space="preserve">Office for Life Sciences, Department of Health and Social Care and Department for Science, Innovation </w:t>
      </w:r>
      <w:r>
        <w:rPr>
          <w:rFonts w:ascii="Arial" w:hAnsi="Arial" w:cs="Arial"/>
          <w:lang w:val="en-IN"/>
        </w:rPr>
        <w:t xml:space="preserve">and Technology (2026) ‘Life Sciences Healthcare Goals’. Available at: </w:t>
      </w:r>
      <w:hyperlink r:id="rId21" w:history="1">
        <w:r>
          <w:rPr>
            <w:rStyle w:val="Hyperlink"/>
            <w:rFonts w:ascii="Arial" w:hAnsi="Arial" w:cs="Arial"/>
            <w:u w:val="none"/>
            <w:lang w:val="en-IN"/>
          </w:rPr>
          <w:t>GOV.UK – Life Sciences Healthcare Goals</w:t>
        </w:r>
      </w:hyperlink>
      <w:r>
        <w:rPr>
          <w:rFonts w:ascii="Arial" w:hAnsi="Arial" w:cs="Arial"/>
          <w:lang w:val="en-IN"/>
        </w:rPr>
        <w:t xml:space="preserve"> (Accessed: 25 July 2026). </w:t>
      </w:r>
    </w:p>
    <w:p w14:paraId="15F55752" w14:textId="77777777" w:rsidR="00D71800" w:rsidRDefault="009F3583">
      <w:pPr>
        <w:numPr>
          <w:ilvl w:val="0"/>
          <w:numId w:val="8"/>
        </w:numPr>
        <w:spacing w:line="360" w:lineRule="auto"/>
        <w:jc w:val="both"/>
      </w:pPr>
      <w:r>
        <w:rPr>
          <w:rFonts w:ascii="Arial" w:hAnsi="Arial" w:cs="Arial"/>
          <w:lang w:val="en-IN"/>
        </w:rPr>
        <w:t xml:space="preserve">MS Society (2024) ‘MS in the UK’. Available at: </w:t>
      </w:r>
      <w:hyperlink r:id="rId22" w:history="1">
        <w:r>
          <w:rPr>
            <w:rStyle w:val="Hyperlink"/>
            <w:rFonts w:ascii="Arial" w:hAnsi="Arial" w:cs="Arial"/>
            <w:u w:val="none"/>
            <w:lang w:val="en-IN"/>
          </w:rPr>
          <w:t>MS Society – MS in the UK</w:t>
        </w:r>
      </w:hyperlink>
      <w:r>
        <w:rPr>
          <w:rFonts w:ascii="Arial" w:hAnsi="Arial" w:cs="Arial"/>
          <w:lang w:val="en-IN"/>
        </w:rPr>
        <w:t xml:space="preserve"> (Accessed: 25 July 2026). </w:t>
      </w:r>
    </w:p>
    <w:p w14:paraId="15F55753" w14:textId="77777777" w:rsidR="00D71800" w:rsidRDefault="009F3583">
      <w:pPr>
        <w:numPr>
          <w:ilvl w:val="0"/>
          <w:numId w:val="8"/>
        </w:numPr>
        <w:spacing w:line="360" w:lineRule="auto"/>
        <w:jc w:val="both"/>
      </w:pPr>
      <w:r>
        <w:rPr>
          <w:rFonts w:ascii="Arial" w:hAnsi="Arial" w:cs="Arial"/>
          <w:lang w:val="en-IN"/>
        </w:rPr>
        <w:t>MS Society (2024) ‘Number</w:t>
      </w:r>
      <w:r>
        <w:rPr>
          <w:rFonts w:ascii="Arial" w:hAnsi="Arial" w:cs="Arial"/>
          <w:lang w:val="en-IN"/>
        </w:rPr>
        <w:t xml:space="preserve"> of people living with MS in UK </w:t>
      </w:r>
      <w:proofErr w:type="gramStart"/>
      <w:r>
        <w:rPr>
          <w:rFonts w:ascii="Arial" w:hAnsi="Arial" w:cs="Arial"/>
          <w:lang w:val="en-IN"/>
        </w:rPr>
        <w:t>increases’</w:t>
      </w:r>
      <w:proofErr w:type="gramEnd"/>
      <w:r>
        <w:rPr>
          <w:rFonts w:ascii="Arial" w:hAnsi="Arial" w:cs="Arial"/>
          <w:lang w:val="en-IN"/>
        </w:rPr>
        <w:t xml:space="preserve">. Available at: </w:t>
      </w:r>
      <w:hyperlink r:id="rId23" w:history="1">
        <w:r>
          <w:rPr>
            <w:rStyle w:val="Hyperlink"/>
            <w:rFonts w:ascii="Arial" w:hAnsi="Arial" w:cs="Arial"/>
            <w:u w:val="none"/>
            <w:lang w:val="en-IN"/>
          </w:rPr>
          <w:t>MS Society – Number of people living with MS in UK increases</w:t>
        </w:r>
      </w:hyperlink>
      <w:r>
        <w:rPr>
          <w:rFonts w:ascii="Arial" w:hAnsi="Arial" w:cs="Arial"/>
          <w:lang w:val="en-IN"/>
        </w:rPr>
        <w:t xml:space="preserve"> (Accessed: 25 July 2026). </w:t>
      </w:r>
    </w:p>
    <w:p w14:paraId="15F55754" w14:textId="77777777" w:rsidR="00D71800" w:rsidRDefault="009F3583">
      <w:pPr>
        <w:numPr>
          <w:ilvl w:val="0"/>
          <w:numId w:val="8"/>
        </w:numPr>
        <w:spacing w:line="360" w:lineRule="auto"/>
        <w:jc w:val="both"/>
      </w:pPr>
      <w:r>
        <w:rPr>
          <w:rFonts w:ascii="Arial" w:hAnsi="Arial" w:cs="Arial"/>
          <w:lang w:val="en-IN"/>
        </w:rPr>
        <w:t xml:space="preserve">MS Society (2024) ‘What is multiple sclerosis (MS)?’. Available at: </w:t>
      </w:r>
      <w:hyperlink r:id="rId24" w:history="1">
        <w:r>
          <w:rPr>
            <w:rStyle w:val="Hyperlink"/>
            <w:rFonts w:ascii="Arial" w:hAnsi="Arial" w:cs="Arial"/>
            <w:u w:val="none"/>
            <w:lang w:val="en-IN"/>
          </w:rPr>
          <w:t>MS Society – What is MS?</w:t>
        </w:r>
      </w:hyperlink>
      <w:r>
        <w:rPr>
          <w:rFonts w:ascii="Arial" w:hAnsi="Arial" w:cs="Arial"/>
          <w:lang w:val="en-IN"/>
        </w:rPr>
        <w:t xml:space="preserve"> (Accessed: 25 July 2026). </w:t>
      </w:r>
    </w:p>
    <w:p w14:paraId="15F55755" w14:textId="77777777" w:rsidR="00D71800" w:rsidRDefault="009F3583">
      <w:pPr>
        <w:numPr>
          <w:ilvl w:val="0"/>
          <w:numId w:val="8"/>
        </w:numPr>
        <w:spacing w:line="360" w:lineRule="auto"/>
        <w:jc w:val="both"/>
      </w:pPr>
      <w:r>
        <w:rPr>
          <w:rFonts w:ascii="Arial" w:hAnsi="Arial" w:cs="Arial"/>
          <w:lang w:val="en-IN"/>
        </w:rPr>
        <w:t xml:space="preserve">MS Society (2024) ‘Relapsing </w:t>
      </w:r>
      <w:r>
        <w:rPr>
          <w:rFonts w:ascii="Arial" w:hAnsi="Arial" w:cs="Arial"/>
          <w:lang w:val="en-IN"/>
        </w:rPr>
        <w:t xml:space="preserve">remitting MS’. Available at: </w:t>
      </w:r>
      <w:hyperlink r:id="rId25" w:history="1">
        <w:r>
          <w:rPr>
            <w:rStyle w:val="Hyperlink"/>
            <w:rFonts w:ascii="Arial" w:hAnsi="Arial" w:cs="Arial"/>
            <w:u w:val="none"/>
            <w:lang w:val="en-IN"/>
          </w:rPr>
          <w:t>MS Society – Relapsing remitting MS</w:t>
        </w:r>
      </w:hyperlink>
      <w:r>
        <w:rPr>
          <w:rFonts w:ascii="Arial" w:hAnsi="Arial" w:cs="Arial"/>
          <w:lang w:val="en-IN"/>
        </w:rPr>
        <w:t xml:space="preserve"> (Accessed: 25 July 2026). </w:t>
      </w:r>
    </w:p>
    <w:p w14:paraId="15F55756" w14:textId="77777777" w:rsidR="00D71800" w:rsidRDefault="009F3583">
      <w:pPr>
        <w:numPr>
          <w:ilvl w:val="0"/>
          <w:numId w:val="8"/>
        </w:numPr>
        <w:spacing w:line="360" w:lineRule="auto"/>
        <w:jc w:val="both"/>
      </w:pPr>
      <w:r>
        <w:rPr>
          <w:rFonts w:ascii="Arial" w:hAnsi="Arial" w:cs="Arial"/>
          <w:lang w:val="en-IN"/>
        </w:rPr>
        <w:lastRenderedPageBreak/>
        <w:t xml:space="preserve">Walton, C., King, R., Rechtman, L. </w:t>
      </w:r>
      <w:r>
        <w:rPr>
          <w:rFonts w:ascii="Arial" w:hAnsi="Arial" w:cs="Arial"/>
          <w:i/>
          <w:iCs/>
          <w:lang w:val="en-IN"/>
        </w:rPr>
        <w:t>et al.</w:t>
      </w:r>
      <w:r>
        <w:rPr>
          <w:rFonts w:ascii="Arial" w:hAnsi="Arial" w:cs="Arial"/>
          <w:lang w:val="en-IN"/>
        </w:rPr>
        <w:t xml:space="preserve"> (2020) ‘Rising prevalence of multiple sclerosis worldwide: insights from the Atlas of MS, third edition’, </w:t>
      </w:r>
      <w:r>
        <w:rPr>
          <w:rFonts w:ascii="Arial" w:hAnsi="Arial" w:cs="Arial"/>
          <w:i/>
          <w:iCs/>
          <w:lang w:val="en-IN"/>
        </w:rPr>
        <w:t>Multiple Sclerosis Journal</w:t>
      </w:r>
      <w:r>
        <w:rPr>
          <w:rFonts w:ascii="Arial" w:hAnsi="Arial" w:cs="Arial"/>
          <w:lang w:val="en-IN"/>
        </w:rPr>
        <w:t xml:space="preserve">, 26(14). Available at: Multiple Sclerosis Journal – Walton et al. (Accessed: 25 July 2026). </w:t>
      </w:r>
    </w:p>
    <w:p w14:paraId="15F55757" w14:textId="77777777" w:rsidR="00D71800" w:rsidRDefault="009F3583">
      <w:pPr>
        <w:numPr>
          <w:ilvl w:val="0"/>
          <w:numId w:val="8"/>
        </w:numPr>
        <w:spacing w:line="360" w:lineRule="auto"/>
        <w:jc w:val="both"/>
      </w:pPr>
      <w:r>
        <w:rPr>
          <w:rFonts w:ascii="Arial" w:hAnsi="Arial" w:cs="Arial"/>
          <w:lang w:val="en-IN"/>
        </w:rPr>
        <w:t>Public Health England (2020) ‘Multiple</w:t>
      </w:r>
      <w:r>
        <w:rPr>
          <w:rFonts w:ascii="Arial" w:hAnsi="Arial" w:cs="Arial"/>
          <w:lang w:val="en-IN"/>
        </w:rPr>
        <w:t xml:space="preserve"> sclerosis: prevalence, incidence and smoking status’. Available at: </w:t>
      </w:r>
      <w:hyperlink r:id="rId26" w:history="1">
        <w:r>
          <w:rPr>
            <w:rStyle w:val="Hyperlink"/>
            <w:rFonts w:ascii="Arial" w:hAnsi="Arial" w:cs="Arial"/>
            <w:u w:val="none"/>
            <w:lang w:val="en-IN"/>
          </w:rPr>
          <w:t>GOV.UK – Multiple sclerosis prevalence and incidence</w:t>
        </w:r>
      </w:hyperlink>
      <w:r>
        <w:rPr>
          <w:rFonts w:ascii="Arial" w:hAnsi="Arial" w:cs="Arial"/>
          <w:lang w:val="en-IN"/>
        </w:rPr>
        <w:t xml:space="preserve"> (Accessed: 25 July 2026). </w:t>
      </w:r>
    </w:p>
    <w:p w14:paraId="15F55758" w14:textId="77777777" w:rsidR="00D71800" w:rsidRDefault="009F3583">
      <w:pPr>
        <w:numPr>
          <w:ilvl w:val="0"/>
          <w:numId w:val="8"/>
        </w:numPr>
        <w:spacing w:line="360" w:lineRule="auto"/>
        <w:jc w:val="both"/>
      </w:pPr>
      <w:r>
        <w:rPr>
          <w:rFonts w:ascii="Arial" w:hAnsi="Arial" w:cs="Arial"/>
          <w:lang w:val="en-IN"/>
        </w:rPr>
        <w:t xml:space="preserve">Dobson, R. and Giovannoni, G. (2019) ‘Multiple sclerosis – a review’, </w:t>
      </w:r>
      <w:r>
        <w:rPr>
          <w:rFonts w:ascii="Arial" w:hAnsi="Arial" w:cs="Arial"/>
          <w:i/>
          <w:iCs/>
          <w:lang w:val="en-IN"/>
        </w:rPr>
        <w:t>European Journal of Neurology</w:t>
      </w:r>
      <w:r>
        <w:rPr>
          <w:rFonts w:ascii="Arial" w:hAnsi="Arial" w:cs="Arial"/>
          <w:lang w:val="en-IN"/>
        </w:rPr>
        <w:t xml:space="preserve">, 26(1), pp. 27–40. Available at: Wiley – Multiple sclerosis: a review (Accessed: 25 July 2026). </w:t>
      </w:r>
    </w:p>
    <w:p w14:paraId="15F55759" w14:textId="77777777" w:rsidR="00D71800" w:rsidRDefault="009F3583">
      <w:pPr>
        <w:numPr>
          <w:ilvl w:val="0"/>
          <w:numId w:val="8"/>
        </w:numPr>
        <w:spacing w:line="360" w:lineRule="auto"/>
        <w:jc w:val="both"/>
      </w:pPr>
      <w:r>
        <w:rPr>
          <w:rFonts w:ascii="Arial" w:hAnsi="Arial" w:cs="Arial"/>
          <w:lang w:val="en-IN"/>
        </w:rPr>
        <w:t xml:space="preserve">Olsson, T., Barcellos, </w:t>
      </w:r>
      <w:r>
        <w:rPr>
          <w:rFonts w:ascii="Arial" w:hAnsi="Arial" w:cs="Arial"/>
          <w:lang w:val="en-IN"/>
        </w:rPr>
        <w:t xml:space="preserve">L.F. and Alfredsson, L. (2017) ‘Interactions between genetic, lifestyle and environmental risk factors for multiple sclerosis’, </w:t>
      </w:r>
      <w:r>
        <w:rPr>
          <w:rFonts w:ascii="Arial" w:hAnsi="Arial" w:cs="Arial"/>
          <w:i/>
          <w:iCs/>
          <w:lang w:val="en-IN"/>
        </w:rPr>
        <w:t>Nature Reviews Neurology</w:t>
      </w:r>
      <w:r>
        <w:rPr>
          <w:rFonts w:ascii="Arial" w:hAnsi="Arial" w:cs="Arial"/>
          <w:lang w:val="en-IN"/>
        </w:rPr>
        <w:t xml:space="preserve">, 13, pp. 25–36. Available at: Nature – Olsson et al. (Accessed: 25 July 2026). </w:t>
      </w:r>
    </w:p>
    <w:p w14:paraId="15F5575A" w14:textId="77777777" w:rsidR="00D71800" w:rsidRDefault="009F3583">
      <w:pPr>
        <w:numPr>
          <w:ilvl w:val="0"/>
          <w:numId w:val="8"/>
        </w:numPr>
        <w:spacing w:line="360" w:lineRule="auto"/>
        <w:jc w:val="both"/>
      </w:pPr>
      <w:r>
        <w:rPr>
          <w:rFonts w:ascii="Arial" w:hAnsi="Arial" w:cs="Arial"/>
          <w:lang w:val="en-IN"/>
        </w:rPr>
        <w:t xml:space="preserve">NICE (2022, updated 2026) </w:t>
      </w:r>
      <w:r>
        <w:rPr>
          <w:rFonts w:ascii="Arial" w:hAnsi="Arial" w:cs="Arial"/>
          <w:i/>
          <w:iCs/>
          <w:lang w:val="en-IN"/>
        </w:rPr>
        <w:t>Multiple sclerosis in adults: management (NG220)</w:t>
      </w:r>
      <w:r>
        <w:rPr>
          <w:rFonts w:ascii="Arial" w:hAnsi="Arial" w:cs="Arial"/>
          <w:lang w:val="en-IN"/>
        </w:rPr>
        <w:t xml:space="preserve">. Available at: </w:t>
      </w:r>
      <w:hyperlink r:id="rId27" w:history="1">
        <w:r>
          <w:rPr>
            <w:rStyle w:val="Hyperlink"/>
            <w:rFonts w:ascii="Arial" w:hAnsi="Arial" w:cs="Arial"/>
            <w:u w:val="none"/>
            <w:lang w:val="en-IN"/>
          </w:rPr>
          <w:t>NICE – Multiple sclerosis in adults</w:t>
        </w:r>
      </w:hyperlink>
      <w:r>
        <w:rPr>
          <w:rFonts w:ascii="Arial" w:hAnsi="Arial" w:cs="Arial"/>
          <w:lang w:val="en-IN"/>
        </w:rPr>
        <w:t xml:space="preserve"> (Accessed: 25 July 2026). </w:t>
      </w:r>
    </w:p>
    <w:p w14:paraId="15F5575B" w14:textId="77777777" w:rsidR="00D71800" w:rsidRDefault="009F3583">
      <w:pPr>
        <w:numPr>
          <w:ilvl w:val="0"/>
          <w:numId w:val="8"/>
        </w:numPr>
        <w:spacing w:line="360" w:lineRule="auto"/>
        <w:jc w:val="both"/>
      </w:pPr>
      <w:r>
        <w:rPr>
          <w:rFonts w:ascii="Arial" w:hAnsi="Arial" w:cs="Arial"/>
          <w:lang w:val="en-IN"/>
        </w:rPr>
        <w:t xml:space="preserve">Ford, D.V., Jones, K.H., Middleton, R.M. </w:t>
      </w:r>
      <w:r>
        <w:rPr>
          <w:rFonts w:ascii="Arial" w:hAnsi="Arial" w:cs="Arial"/>
          <w:i/>
          <w:iCs/>
          <w:lang w:val="en-IN"/>
        </w:rPr>
        <w:t xml:space="preserve">et </w:t>
      </w:r>
      <w:r>
        <w:rPr>
          <w:rFonts w:ascii="Arial" w:hAnsi="Arial" w:cs="Arial"/>
          <w:i/>
          <w:iCs/>
          <w:lang w:val="en-IN"/>
        </w:rPr>
        <w:t>al.</w:t>
      </w:r>
      <w:r>
        <w:rPr>
          <w:rFonts w:ascii="Arial" w:hAnsi="Arial" w:cs="Arial"/>
          <w:lang w:val="en-IN"/>
        </w:rPr>
        <w:t xml:space="preserve"> (2012) ‘The feasibility of collecting information from people with Multiple Sclerosis for the UK MS Register via a web portal: characterising a cohort of people with MS’, </w:t>
      </w:r>
      <w:r>
        <w:rPr>
          <w:rFonts w:ascii="Arial" w:hAnsi="Arial" w:cs="Arial"/>
          <w:i/>
          <w:iCs/>
          <w:lang w:val="en-IN"/>
        </w:rPr>
        <w:t>BMC Medical Informatics and Decision Making</w:t>
      </w:r>
      <w:r>
        <w:rPr>
          <w:rFonts w:ascii="Arial" w:hAnsi="Arial" w:cs="Arial"/>
          <w:lang w:val="en-IN"/>
        </w:rPr>
        <w:t xml:space="preserve">, 12, 73. Available at: BMC – Ford et al. (Accessed: </w:t>
      </w:r>
      <w:r>
        <w:rPr>
          <w:rFonts w:ascii="Arial" w:hAnsi="Arial" w:cs="Arial"/>
        </w:rPr>
        <w:t xml:space="preserve">25 July </w:t>
      </w:r>
      <w:r>
        <w:rPr>
          <w:rFonts w:ascii="Arial" w:hAnsi="Arial" w:cs="Arial"/>
          <w:lang w:val="en-IN"/>
        </w:rPr>
        <w:t xml:space="preserve">2026). </w:t>
      </w:r>
    </w:p>
    <w:p w14:paraId="15F5575C" w14:textId="77777777" w:rsidR="00D71800" w:rsidRDefault="009F3583">
      <w:pPr>
        <w:numPr>
          <w:ilvl w:val="0"/>
          <w:numId w:val="8"/>
        </w:numPr>
        <w:spacing w:line="360" w:lineRule="auto"/>
        <w:jc w:val="both"/>
      </w:pPr>
      <w:r>
        <w:rPr>
          <w:rFonts w:ascii="Arial" w:hAnsi="Arial" w:cs="Arial"/>
          <w:lang w:val="en-IN"/>
        </w:rPr>
        <w:t xml:space="preserve">UK MS Register (2026) ‘Our Data’. Available at: </w:t>
      </w:r>
      <w:hyperlink r:id="rId28" w:history="1">
        <w:r>
          <w:rPr>
            <w:rStyle w:val="Hyperlink"/>
            <w:rFonts w:ascii="Arial" w:hAnsi="Arial" w:cs="Arial"/>
            <w:u w:val="none"/>
            <w:lang w:val="en-IN"/>
          </w:rPr>
          <w:t>UK MS Register – Our Data</w:t>
        </w:r>
      </w:hyperlink>
      <w:r>
        <w:rPr>
          <w:rFonts w:ascii="Arial" w:hAnsi="Arial" w:cs="Arial"/>
          <w:lang w:val="en-IN"/>
        </w:rPr>
        <w:t xml:space="preserve"> (Accessed: </w:t>
      </w:r>
      <w:r>
        <w:rPr>
          <w:rFonts w:ascii="Arial" w:hAnsi="Arial" w:cs="Arial"/>
        </w:rPr>
        <w:t xml:space="preserve">25 July </w:t>
      </w:r>
      <w:r>
        <w:rPr>
          <w:rFonts w:ascii="Arial" w:hAnsi="Arial" w:cs="Arial"/>
          <w:lang w:val="en-IN"/>
        </w:rPr>
        <w:t xml:space="preserve">2026). </w:t>
      </w:r>
    </w:p>
    <w:p w14:paraId="15F5575D" w14:textId="77777777" w:rsidR="00D71800" w:rsidRDefault="009F3583">
      <w:pPr>
        <w:numPr>
          <w:ilvl w:val="0"/>
          <w:numId w:val="8"/>
        </w:numPr>
        <w:spacing w:line="360" w:lineRule="auto"/>
        <w:jc w:val="both"/>
      </w:pPr>
      <w:r>
        <w:rPr>
          <w:rFonts w:ascii="Arial" w:hAnsi="Arial" w:cs="Arial"/>
          <w:lang w:val="en-IN"/>
        </w:rPr>
        <w:t xml:space="preserve">UK MS Register (2026) ‘Frequently </w:t>
      </w:r>
      <w:r>
        <w:rPr>
          <w:rFonts w:ascii="Arial" w:hAnsi="Arial" w:cs="Arial"/>
          <w:lang w:val="en-IN"/>
        </w:rPr>
        <w:t xml:space="preserve">Asked Questions’. Available at: </w:t>
      </w:r>
      <w:hyperlink r:id="rId29" w:history="1">
        <w:r>
          <w:rPr>
            <w:rStyle w:val="Hyperlink"/>
            <w:rFonts w:ascii="Arial" w:hAnsi="Arial" w:cs="Arial"/>
            <w:u w:val="none"/>
            <w:lang w:val="en-IN"/>
          </w:rPr>
          <w:t>UK MS Register – FAQ</w:t>
        </w:r>
      </w:hyperlink>
      <w:r>
        <w:rPr>
          <w:rFonts w:ascii="Arial" w:hAnsi="Arial" w:cs="Arial"/>
          <w:lang w:val="en-IN"/>
        </w:rPr>
        <w:t xml:space="preserve"> (Accessed: </w:t>
      </w:r>
      <w:r>
        <w:rPr>
          <w:rFonts w:ascii="Arial" w:hAnsi="Arial" w:cs="Arial"/>
        </w:rPr>
        <w:t xml:space="preserve">25 July </w:t>
      </w:r>
      <w:r>
        <w:rPr>
          <w:rFonts w:ascii="Arial" w:hAnsi="Arial" w:cs="Arial"/>
          <w:lang w:val="en-IN"/>
        </w:rPr>
        <w:t xml:space="preserve">2026). </w:t>
      </w:r>
    </w:p>
    <w:p w14:paraId="15F5575E" w14:textId="77777777" w:rsidR="00D71800" w:rsidRDefault="009F3583">
      <w:pPr>
        <w:numPr>
          <w:ilvl w:val="0"/>
          <w:numId w:val="8"/>
        </w:numPr>
        <w:spacing w:line="360" w:lineRule="auto"/>
        <w:jc w:val="both"/>
      </w:pPr>
      <w:r>
        <w:rPr>
          <w:rFonts w:ascii="Arial" w:hAnsi="Arial" w:cs="Arial"/>
          <w:lang w:val="en-IN"/>
        </w:rPr>
        <w:t xml:space="preserve">Jacobs, B.M., Schalk, L., Tregaskis-Daniels, E. </w:t>
      </w:r>
      <w:r>
        <w:rPr>
          <w:rFonts w:ascii="Arial" w:hAnsi="Arial" w:cs="Arial"/>
          <w:i/>
          <w:iCs/>
          <w:lang w:val="en-IN"/>
        </w:rPr>
        <w:t>et al.</w:t>
      </w:r>
      <w:r>
        <w:rPr>
          <w:rFonts w:ascii="Arial" w:hAnsi="Arial" w:cs="Arial"/>
          <w:lang w:val="en-IN"/>
        </w:rPr>
        <w:t xml:space="preserve"> (2024) ‘The relationship between ethnicity and multiple sclerosis characteristics in the United Kingdom: a UK MS Register study’, </w:t>
      </w:r>
      <w:r>
        <w:rPr>
          <w:rFonts w:ascii="Arial" w:hAnsi="Arial" w:cs="Arial"/>
          <w:i/>
          <w:iCs/>
          <w:lang w:val="en-IN"/>
        </w:rPr>
        <w:t>Multiple Sclerosis Journal</w:t>
      </w:r>
      <w:r>
        <w:rPr>
          <w:rFonts w:ascii="Arial" w:hAnsi="Arial" w:cs="Arial"/>
          <w:lang w:val="en-IN"/>
        </w:rPr>
        <w:t>, 30(11–12), pp. 1544–1555. Available at: Multiple Sclerosis Journal – Jacobs et al. (Accessed:</w:t>
      </w:r>
      <w:r>
        <w:rPr>
          <w:rFonts w:ascii="Arial" w:hAnsi="Arial" w:cs="Arial"/>
        </w:rPr>
        <w:t xml:space="preserve"> 25 July</w:t>
      </w:r>
      <w:r>
        <w:rPr>
          <w:rFonts w:ascii="Arial" w:hAnsi="Arial" w:cs="Arial"/>
          <w:lang w:val="en-IN"/>
        </w:rPr>
        <w:t xml:space="preserve"> 2026). </w:t>
      </w:r>
    </w:p>
    <w:p w14:paraId="15F5575F" w14:textId="77777777" w:rsidR="00D71800" w:rsidRDefault="009F3583">
      <w:pPr>
        <w:numPr>
          <w:ilvl w:val="0"/>
          <w:numId w:val="8"/>
        </w:numPr>
        <w:spacing w:line="360" w:lineRule="auto"/>
        <w:jc w:val="both"/>
      </w:pPr>
      <w:r>
        <w:rPr>
          <w:rFonts w:ascii="Arial" w:hAnsi="Arial" w:cs="Arial"/>
          <w:lang w:val="en-IN"/>
        </w:rPr>
        <w:t>Glasgow, R.E., Harden, S.M., Gaglio, B.</w:t>
      </w:r>
      <w:r>
        <w:rPr>
          <w:rFonts w:ascii="Arial" w:hAnsi="Arial" w:cs="Arial"/>
          <w:lang w:val="en-IN"/>
        </w:rPr>
        <w:t xml:space="preserve"> </w:t>
      </w:r>
      <w:r>
        <w:rPr>
          <w:rFonts w:ascii="Arial" w:hAnsi="Arial" w:cs="Arial"/>
          <w:i/>
          <w:iCs/>
          <w:lang w:val="en-IN"/>
        </w:rPr>
        <w:t>et al.</w:t>
      </w:r>
      <w:r>
        <w:rPr>
          <w:rFonts w:ascii="Arial" w:hAnsi="Arial" w:cs="Arial"/>
          <w:lang w:val="en-IN"/>
        </w:rPr>
        <w:t xml:space="preserve"> (2019) ‘RE-AIM planning and evaluation framework: adapting to new science and practice with a 20-year review’, </w:t>
      </w:r>
      <w:r>
        <w:rPr>
          <w:rFonts w:ascii="Arial" w:hAnsi="Arial" w:cs="Arial"/>
          <w:i/>
          <w:iCs/>
          <w:lang w:val="en-IN"/>
        </w:rPr>
        <w:t>Frontiers in Public Health</w:t>
      </w:r>
      <w:r>
        <w:rPr>
          <w:rFonts w:ascii="Arial" w:hAnsi="Arial" w:cs="Arial"/>
          <w:lang w:val="en-IN"/>
        </w:rPr>
        <w:t xml:space="preserve">, 7, 64. Available at: </w:t>
      </w:r>
      <w:hyperlink r:id="rId30" w:history="1">
        <w:r>
          <w:rPr>
            <w:rStyle w:val="Hyperlink"/>
            <w:rFonts w:ascii="Arial" w:hAnsi="Arial" w:cs="Arial"/>
            <w:u w:val="none"/>
            <w:lang w:val="en-IN"/>
          </w:rPr>
          <w:t>Frontiers in Public Health – Glasgow et al.</w:t>
        </w:r>
      </w:hyperlink>
      <w:r>
        <w:rPr>
          <w:rFonts w:ascii="Arial" w:hAnsi="Arial" w:cs="Arial"/>
          <w:lang w:val="en-IN"/>
        </w:rPr>
        <w:t xml:space="preserve"> (Accessed: </w:t>
      </w:r>
      <w:r>
        <w:rPr>
          <w:rFonts w:ascii="Arial" w:hAnsi="Arial" w:cs="Arial"/>
        </w:rPr>
        <w:t xml:space="preserve">25 July </w:t>
      </w:r>
      <w:r>
        <w:rPr>
          <w:rFonts w:ascii="Arial" w:hAnsi="Arial" w:cs="Arial"/>
          <w:lang w:val="en-IN"/>
        </w:rPr>
        <w:t xml:space="preserve">2026). </w:t>
      </w:r>
    </w:p>
    <w:p w14:paraId="15F55760" w14:textId="77777777" w:rsidR="00D71800" w:rsidRDefault="009F3583">
      <w:pPr>
        <w:numPr>
          <w:ilvl w:val="0"/>
          <w:numId w:val="8"/>
        </w:numPr>
        <w:spacing w:line="360" w:lineRule="auto"/>
        <w:jc w:val="both"/>
      </w:pPr>
      <w:r>
        <w:rPr>
          <w:rFonts w:ascii="Arial" w:hAnsi="Arial" w:cs="Arial"/>
          <w:lang w:val="en-IN"/>
        </w:rPr>
        <w:lastRenderedPageBreak/>
        <w:t xml:space="preserve">NHS England (2026) ‘Data sets processed in the National Data Integration Tenant of the NHS Federated Data Platform’. Available at: </w:t>
      </w:r>
      <w:hyperlink r:id="rId31" w:history="1">
        <w:r>
          <w:rPr>
            <w:rStyle w:val="Hyperlink"/>
            <w:rFonts w:ascii="Arial" w:hAnsi="Arial" w:cs="Arial"/>
            <w:u w:val="none"/>
            <w:lang w:val="en-IN"/>
          </w:rPr>
          <w:t>NHS England – Data sets</w:t>
        </w:r>
      </w:hyperlink>
      <w:r>
        <w:rPr>
          <w:rFonts w:ascii="Arial" w:hAnsi="Arial" w:cs="Arial"/>
          <w:lang w:val="en-IN"/>
        </w:rPr>
        <w:t xml:space="preserve"> (Accessed: </w:t>
      </w:r>
      <w:r>
        <w:rPr>
          <w:rFonts w:ascii="Arial" w:hAnsi="Arial" w:cs="Arial"/>
        </w:rPr>
        <w:t xml:space="preserve">25 July </w:t>
      </w:r>
      <w:r>
        <w:rPr>
          <w:rFonts w:ascii="Arial" w:hAnsi="Arial" w:cs="Arial"/>
          <w:lang w:val="en-IN"/>
        </w:rPr>
        <w:t xml:space="preserve">2026). </w:t>
      </w:r>
    </w:p>
    <w:p w14:paraId="15F55761" w14:textId="77777777" w:rsidR="00D71800" w:rsidRDefault="009F3583">
      <w:pPr>
        <w:numPr>
          <w:ilvl w:val="0"/>
          <w:numId w:val="8"/>
        </w:numPr>
        <w:spacing w:line="360" w:lineRule="auto"/>
        <w:jc w:val="both"/>
      </w:pPr>
      <w:r>
        <w:rPr>
          <w:rFonts w:ascii="Arial" w:hAnsi="Arial" w:cs="Arial"/>
          <w:lang w:val="en-IN"/>
        </w:rPr>
        <w:t xml:space="preserve">Alzheimer’s Society (2026) ‘Who we are’. Available at: </w:t>
      </w:r>
      <w:hyperlink r:id="rId32" w:history="1">
        <w:r>
          <w:rPr>
            <w:rStyle w:val="Hyperlink"/>
            <w:rFonts w:ascii="Arial" w:hAnsi="Arial" w:cs="Arial"/>
            <w:u w:val="none"/>
            <w:lang w:val="en-IN"/>
          </w:rPr>
          <w:t>Alzheimer’s Society – Who we are</w:t>
        </w:r>
      </w:hyperlink>
      <w:r>
        <w:rPr>
          <w:rFonts w:ascii="Arial" w:hAnsi="Arial" w:cs="Arial"/>
          <w:lang w:val="en-IN"/>
        </w:rPr>
        <w:t xml:space="preserve"> (Accessed: </w:t>
      </w:r>
      <w:r>
        <w:rPr>
          <w:rFonts w:ascii="Arial" w:hAnsi="Arial" w:cs="Arial"/>
        </w:rPr>
        <w:t xml:space="preserve">25 July </w:t>
      </w:r>
      <w:r>
        <w:rPr>
          <w:rFonts w:ascii="Arial" w:hAnsi="Arial" w:cs="Arial"/>
          <w:lang w:val="en-IN"/>
        </w:rPr>
        <w:t xml:space="preserve">2026). </w:t>
      </w:r>
    </w:p>
    <w:p w14:paraId="15F55762" w14:textId="77777777" w:rsidR="00D71800" w:rsidRDefault="009F3583">
      <w:pPr>
        <w:numPr>
          <w:ilvl w:val="0"/>
          <w:numId w:val="8"/>
        </w:numPr>
        <w:spacing w:line="360" w:lineRule="auto"/>
        <w:jc w:val="both"/>
      </w:pPr>
      <w:r>
        <w:rPr>
          <w:rFonts w:ascii="Arial" w:hAnsi="Arial" w:cs="Arial"/>
          <w:lang w:val="en-IN"/>
        </w:rPr>
        <w:t xml:space="preserve">Alzheimer’s Society (2026) ‘Our research’. Available at: </w:t>
      </w:r>
      <w:hyperlink r:id="rId33" w:history="1">
        <w:r>
          <w:rPr>
            <w:rStyle w:val="Hyperlink"/>
            <w:rFonts w:ascii="Arial" w:hAnsi="Arial" w:cs="Arial"/>
            <w:u w:val="none"/>
            <w:lang w:val="en-IN"/>
          </w:rPr>
          <w:t>Alzheimer’s Society – Our research</w:t>
        </w:r>
      </w:hyperlink>
      <w:r>
        <w:rPr>
          <w:rFonts w:ascii="Arial" w:hAnsi="Arial" w:cs="Arial"/>
          <w:lang w:val="en-IN"/>
        </w:rPr>
        <w:t xml:space="preserve"> (Accessed: </w:t>
      </w:r>
      <w:r>
        <w:rPr>
          <w:rFonts w:ascii="Arial" w:hAnsi="Arial" w:cs="Arial"/>
        </w:rPr>
        <w:t xml:space="preserve">25 July </w:t>
      </w:r>
      <w:r>
        <w:rPr>
          <w:rFonts w:ascii="Arial" w:hAnsi="Arial" w:cs="Arial"/>
          <w:lang w:val="en-IN"/>
        </w:rPr>
        <w:t>2026).</w:t>
      </w:r>
    </w:p>
    <w:p w14:paraId="15F55763" w14:textId="77777777" w:rsidR="00D71800" w:rsidRDefault="009F3583">
      <w:pPr>
        <w:numPr>
          <w:ilvl w:val="0"/>
          <w:numId w:val="8"/>
        </w:numPr>
        <w:spacing w:line="360" w:lineRule="auto"/>
        <w:jc w:val="both"/>
      </w:pPr>
      <w:r>
        <w:rPr>
          <w:rFonts w:ascii="Arial" w:hAnsi="Arial" w:cs="Arial"/>
          <w:b/>
          <w:bCs/>
        </w:rPr>
        <w:t>Simmonds, L., et al. (2018)</w:t>
      </w:r>
      <w:r>
        <w:rPr>
          <w:rFonts w:ascii="Arial" w:hAnsi="Arial" w:cs="Arial"/>
        </w:rPr>
        <w:t xml:space="preserve"> ‘What is the impact of regulatory guidance and expiry of drug patents on dementia drug prescriptions in England? A trend analysis in the Clinical Practice Research Datalink’, </w:t>
      </w:r>
      <w:r>
        <w:rPr>
          <w:rFonts w:ascii="Arial" w:hAnsi="Arial" w:cs="Arial"/>
          <w:i/>
          <w:iCs/>
        </w:rPr>
        <w:t>BMC Medicine</w:t>
      </w:r>
      <w:r>
        <w:rPr>
          <w:rFonts w:ascii="Arial" w:hAnsi="Arial" w:cs="Arial"/>
        </w:rPr>
        <w:t>, 16, 151. Available at: (Accessed: 25 July 2026).</w:t>
      </w:r>
    </w:p>
    <w:p w14:paraId="15F55764" w14:textId="77777777" w:rsidR="00D71800" w:rsidRDefault="009F3583">
      <w:pPr>
        <w:numPr>
          <w:ilvl w:val="0"/>
          <w:numId w:val="8"/>
        </w:numPr>
        <w:spacing w:line="360" w:lineRule="auto"/>
        <w:jc w:val="both"/>
        <w:rPr>
          <w:rFonts w:ascii="Arial" w:hAnsi="Arial" w:cs="Arial"/>
          <w:lang w:val="en-IN"/>
        </w:rPr>
      </w:pPr>
      <w:r>
        <w:rPr>
          <w:rFonts w:ascii="Arial" w:hAnsi="Arial" w:cs="Arial"/>
          <w:lang w:val="en-IN"/>
        </w:rPr>
        <w:t xml:space="preserve">Carnall Farrar (2024) Multiple Sclerosis in England. 24 April. Available at: </w:t>
      </w:r>
      <w:r>
        <w:rPr>
          <w:rFonts w:ascii="Arial" w:hAnsi="Arial" w:cs="Arial"/>
          <w:lang w:val="en-IN"/>
        </w:rPr>
        <w:t>https://www.carnallfarrar.com/multiple-sclerosis-in-england-cf-snapshot/ (Accessed: 25 July 2026)</w:t>
      </w:r>
    </w:p>
    <w:p w14:paraId="15F55765" w14:textId="77777777" w:rsidR="00D71800" w:rsidRDefault="009F3583">
      <w:pPr>
        <w:numPr>
          <w:ilvl w:val="0"/>
          <w:numId w:val="8"/>
        </w:numPr>
        <w:spacing w:line="360" w:lineRule="auto"/>
        <w:jc w:val="both"/>
        <w:rPr>
          <w:rFonts w:ascii="Arial" w:hAnsi="Arial" w:cs="Arial"/>
          <w:lang w:val="en-IN"/>
        </w:rPr>
      </w:pPr>
      <w:r>
        <w:rPr>
          <w:rFonts w:ascii="Arial" w:hAnsi="Arial" w:cs="Arial"/>
          <w:lang w:val="en-IN"/>
        </w:rPr>
        <w:t>Care Quality Commission (2023) The state of health care and adult social care in England 2022/23. London: Care Quality Commission. Available at: CQC – The health and care workforce (Accessed: 25 July 2026).</w:t>
      </w:r>
    </w:p>
    <w:p w14:paraId="15F55766" w14:textId="77777777" w:rsidR="00D71800" w:rsidRDefault="009F3583">
      <w:pPr>
        <w:numPr>
          <w:ilvl w:val="0"/>
          <w:numId w:val="8"/>
        </w:numPr>
        <w:spacing w:line="360" w:lineRule="auto"/>
        <w:jc w:val="both"/>
        <w:rPr>
          <w:rFonts w:ascii="Arial" w:hAnsi="Arial" w:cs="Arial"/>
          <w:lang w:val="en-IN"/>
        </w:rPr>
      </w:pPr>
      <w:r>
        <w:rPr>
          <w:rFonts w:ascii="Arial" w:hAnsi="Arial" w:cs="Arial"/>
          <w:lang w:val="en-IN"/>
        </w:rPr>
        <w:t xml:space="preserve">Evans, J. and Davies, S. (2026) Paying more for less: The poverty premium in 2026. Personal Finance Research Centre, University of Bristol, commissioned by Fair </w:t>
      </w:r>
      <w:proofErr w:type="gramStart"/>
      <w:r>
        <w:rPr>
          <w:rFonts w:ascii="Arial" w:hAnsi="Arial" w:cs="Arial"/>
          <w:lang w:val="en-IN"/>
        </w:rPr>
        <w:t>By</w:t>
      </w:r>
      <w:proofErr w:type="gramEnd"/>
      <w:r>
        <w:rPr>
          <w:rFonts w:ascii="Arial" w:hAnsi="Arial" w:cs="Arial"/>
          <w:lang w:val="en-IN"/>
        </w:rPr>
        <w:t xml:space="preserve"> Design. Available at: University of Bristol</w:t>
      </w:r>
      <w:r>
        <w:rPr>
          <w:rFonts w:ascii="Arial" w:hAnsi="Arial" w:cs="Arial"/>
          <w:lang w:val="en-IN"/>
        </w:rPr>
        <w:t xml:space="preserve"> – Paying more for less: The poverty premium in 2026 (Accessed: 25 July 2026).</w:t>
      </w:r>
    </w:p>
    <w:p w14:paraId="15F55767" w14:textId="77777777" w:rsidR="00D71800" w:rsidRDefault="00D71800">
      <w:pPr>
        <w:spacing w:line="360" w:lineRule="auto"/>
        <w:jc w:val="both"/>
        <w:rPr>
          <w:rFonts w:ascii="Arial" w:hAnsi="Arial" w:cs="Arial"/>
          <w:b/>
          <w:bCs/>
          <w:u w:val="single"/>
        </w:rPr>
      </w:pPr>
    </w:p>
    <w:p w14:paraId="15F55768" w14:textId="77777777" w:rsidR="00D71800" w:rsidRDefault="00D71800">
      <w:pPr>
        <w:spacing w:before="240" w:line="360" w:lineRule="auto"/>
        <w:jc w:val="both"/>
        <w:rPr>
          <w:rFonts w:ascii="Arial" w:eastAsia="Arial" w:hAnsi="Arial" w:cs="Arial"/>
          <w:b/>
          <w:bCs/>
          <w:lang w:val="en-IN"/>
        </w:rPr>
      </w:pPr>
    </w:p>
    <w:p w14:paraId="15F55769" w14:textId="77777777" w:rsidR="00D71800" w:rsidRDefault="00D71800">
      <w:pPr>
        <w:spacing w:before="240" w:line="360" w:lineRule="auto"/>
        <w:jc w:val="both"/>
        <w:rPr>
          <w:rFonts w:ascii="Arial" w:eastAsia="Arial" w:hAnsi="Arial" w:cs="Arial"/>
          <w:lang w:val="en-IN"/>
        </w:rPr>
      </w:pPr>
    </w:p>
    <w:p w14:paraId="15F5576A" w14:textId="77777777" w:rsidR="00D71800" w:rsidRDefault="009F3583">
      <w:pPr>
        <w:spacing w:before="240" w:line="360" w:lineRule="auto"/>
        <w:jc w:val="both"/>
      </w:pPr>
      <w:r>
        <w:rPr>
          <w:rFonts w:ascii="Arial" w:eastAsia="Arial" w:hAnsi="Arial" w:cs="Arial"/>
        </w:rPr>
        <w:t xml:space="preserve">    </w:t>
      </w:r>
    </w:p>
    <w:p w14:paraId="15F5576B" w14:textId="77777777" w:rsidR="00D71800" w:rsidRDefault="00D71800">
      <w:pPr>
        <w:pStyle w:val="ListParagraph"/>
        <w:spacing w:before="240" w:line="360" w:lineRule="auto"/>
        <w:jc w:val="both"/>
        <w:rPr>
          <w:rFonts w:ascii="Arial" w:hAnsi="Arial" w:cs="Arial"/>
        </w:rPr>
      </w:pPr>
    </w:p>
    <w:p w14:paraId="15F5576C" w14:textId="77777777" w:rsidR="00D71800" w:rsidRDefault="00D71800">
      <w:pPr>
        <w:spacing w:before="240" w:line="360" w:lineRule="auto"/>
        <w:jc w:val="both"/>
        <w:rPr>
          <w:rFonts w:ascii="Arial" w:hAnsi="Arial" w:cs="Arial"/>
          <w:b/>
          <w:u w:val="single"/>
        </w:rPr>
      </w:pPr>
    </w:p>
    <w:p w14:paraId="15F5576D" w14:textId="77777777" w:rsidR="00D71800" w:rsidRDefault="00D71800">
      <w:pPr>
        <w:spacing w:line="360" w:lineRule="auto"/>
        <w:jc w:val="both"/>
        <w:rPr>
          <w:rFonts w:ascii="Arial" w:hAnsi="Arial" w:cs="Arial"/>
        </w:rPr>
      </w:pPr>
    </w:p>
    <w:sectPr w:rsidR="00D7180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5CB78" w14:textId="77777777" w:rsidR="009F3583" w:rsidRDefault="009F3583">
      <w:pPr>
        <w:spacing w:after="0" w:line="240" w:lineRule="auto"/>
      </w:pPr>
      <w:r>
        <w:separator/>
      </w:r>
    </w:p>
  </w:endnote>
  <w:endnote w:type="continuationSeparator" w:id="0">
    <w:p w14:paraId="2139A6D0" w14:textId="77777777" w:rsidR="009F3583" w:rsidRDefault="009F3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89124" w14:textId="77777777" w:rsidR="009F3583" w:rsidRDefault="009F3583">
      <w:pPr>
        <w:spacing w:after="0" w:line="240" w:lineRule="auto"/>
      </w:pPr>
      <w:r>
        <w:rPr>
          <w:color w:val="000000"/>
        </w:rPr>
        <w:separator/>
      </w:r>
    </w:p>
  </w:footnote>
  <w:footnote w:type="continuationSeparator" w:id="0">
    <w:p w14:paraId="2ADB533D" w14:textId="77777777" w:rsidR="009F3583" w:rsidRDefault="009F3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E764C"/>
    <w:multiLevelType w:val="multilevel"/>
    <w:tmpl w:val="19C02FCE"/>
    <w:lvl w:ilvl="0">
      <w:start w:val="5"/>
      <w:numFmt w:val="decimal"/>
      <w:lvlText w:val="%1."/>
      <w:lvlJc w:val="left"/>
      <w:pPr>
        <w:ind w:left="786" w:hanging="360"/>
      </w:pPr>
    </w:lvl>
    <w:lvl w:ilvl="1">
      <w:start w:val="1"/>
      <w:numFmt w:val="lowerLetter"/>
      <w:lvlText w:val="."/>
      <w:lvlJc w:val="left"/>
      <w:pPr>
        <w:ind w:left="1506" w:hanging="360"/>
      </w:pPr>
    </w:lvl>
    <w:lvl w:ilvl="2">
      <w:start w:val="1"/>
      <w:numFmt w:val="lowerRoman"/>
      <w:lvlText w:val="."/>
      <w:lvlJc w:val="right"/>
      <w:pPr>
        <w:ind w:left="2226" w:hanging="180"/>
      </w:pPr>
    </w:lvl>
    <w:lvl w:ilvl="3">
      <w:start w:val="1"/>
      <w:numFmt w:val="decimal"/>
      <w:lvlText w:val="."/>
      <w:lvlJc w:val="left"/>
      <w:pPr>
        <w:ind w:left="2946" w:hanging="360"/>
      </w:pPr>
    </w:lvl>
    <w:lvl w:ilvl="4">
      <w:start w:val="1"/>
      <w:numFmt w:val="lowerLetter"/>
      <w:lvlText w:val="."/>
      <w:lvlJc w:val="left"/>
      <w:pPr>
        <w:ind w:left="3666" w:hanging="360"/>
      </w:pPr>
    </w:lvl>
    <w:lvl w:ilvl="5">
      <w:start w:val="1"/>
      <w:numFmt w:val="lowerRoman"/>
      <w:lvlText w:val="."/>
      <w:lvlJc w:val="right"/>
      <w:pPr>
        <w:ind w:left="4386" w:hanging="180"/>
      </w:pPr>
    </w:lvl>
    <w:lvl w:ilvl="6">
      <w:start w:val="1"/>
      <w:numFmt w:val="decimal"/>
      <w:lvlText w:val="."/>
      <w:lvlJc w:val="left"/>
      <w:pPr>
        <w:ind w:left="5106" w:hanging="360"/>
      </w:pPr>
    </w:lvl>
    <w:lvl w:ilvl="7">
      <w:start w:val="1"/>
      <w:numFmt w:val="lowerLetter"/>
      <w:lvlText w:val="."/>
      <w:lvlJc w:val="left"/>
      <w:pPr>
        <w:ind w:left="5826" w:hanging="360"/>
      </w:pPr>
    </w:lvl>
    <w:lvl w:ilvl="8">
      <w:start w:val="1"/>
      <w:numFmt w:val="lowerRoman"/>
      <w:lvlText w:val="."/>
      <w:lvlJc w:val="right"/>
      <w:pPr>
        <w:ind w:left="6546" w:hanging="180"/>
      </w:pPr>
    </w:lvl>
  </w:abstractNum>
  <w:abstractNum w:abstractNumId="1" w15:restartNumberingAfterBreak="0">
    <w:nsid w:val="1F077F25"/>
    <w:multiLevelType w:val="multilevel"/>
    <w:tmpl w:val="22209000"/>
    <w:lvl w:ilvl="0">
      <w:start w:val="1"/>
      <w:numFmt w:val="decimal"/>
      <w:lvlText w:val="%1."/>
      <w:lvlJc w:val="left"/>
      <w:pPr>
        <w:ind w:left="643" w:hanging="360"/>
      </w:pPr>
      <w:rPr>
        <w:rFonts w:eastAsia="Arial"/>
        <w:b/>
        <w:bC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20AF13D9"/>
    <w:multiLevelType w:val="multilevel"/>
    <w:tmpl w:val="46BC0FB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 w15:restartNumberingAfterBreak="0">
    <w:nsid w:val="445E11C7"/>
    <w:multiLevelType w:val="multilevel"/>
    <w:tmpl w:val="45228A5C"/>
    <w:lvl w:ilvl="0">
      <w:start w:val="14"/>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 w15:restartNumberingAfterBreak="0">
    <w:nsid w:val="5EE41165"/>
    <w:multiLevelType w:val="multilevel"/>
    <w:tmpl w:val="1B3046B6"/>
    <w:lvl w:ilvl="0">
      <w:start w:val="1"/>
      <w:numFmt w:val="decimal"/>
      <w:lvlText w:val="%1."/>
      <w:lvlJc w:val="left"/>
      <w:pPr>
        <w:ind w:left="420" w:hanging="360"/>
      </w:pPr>
    </w:lvl>
    <w:lvl w:ilvl="1">
      <w:start w:val="1"/>
      <w:numFmt w:val="lowerLetter"/>
      <w:lvlText w:val="."/>
      <w:lvlJc w:val="left"/>
      <w:pPr>
        <w:ind w:left="1140" w:hanging="360"/>
      </w:pPr>
    </w:lvl>
    <w:lvl w:ilvl="2">
      <w:start w:val="1"/>
      <w:numFmt w:val="lowerRoman"/>
      <w:lvlText w:val="."/>
      <w:lvlJc w:val="right"/>
      <w:pPr>
        <w:ind w:left="1860" w:hanging="180"/>
      </w:pPr>
    </w:lvl>
    <w:lvl w:ilvl="3">
      <w:start w:val="1"/>
      <w:numFmt w:val="decimal"/>
      <w:lvlText w:val="."/>
      <w:lvlJc w:val="left"/>
      <w:pPr>
        <w:ind w:left="2580" w:hanging="360"/>
      </w:pPr>
    </w:lvl>
    <w:lvl w:ilvl="4">
      <w:start w:val="1"/>
      <w:numFmt w:val="lowerLetter"/>
      <w:lvlText w:val="."/>
      <w:lvlJc w:val="left"/>
      <w:pPr>
        <w:ind w:left="3300" w:hanging="360"/>
      </w:pPr>
    </w:lvl>
    <w:lvl w:ilvl="5">
      <w:start w:val="1"/>
      <w:numFmt w:val="lowerRoman"/>
      <w:lvlText w:val="."/>
      <w:lvlJc w:val="right"/>
      <w:pPr>
        <w:ind w:left="4020" w:hanging="180"/>
      </w:pPr>
    </w:lvl>
    <w:lvl w:ilvl="6">
      <w:start w:val="1"/>
      <w:numFmt w:val="decimal"/>
      <w:lvlText w:val="."/>
      <w:lvlJc w:val="left"/>
      <w:pPr>
        <w:ind w:left="4740" w:hanging="360"/>
      </w:pPr>
    </w:lvl>
    <w:lvl w:ilvl="7">
      <w:start w:val="1"/>
      <w:numFmt w:val="lowerLetter"/>
      <w:lvlText w:val="."/>
      <w:lvlJc w:val="left"/>
      <w:pPr>
        <w:ind w:left="5460" w:hanging="360"/>
      </w:pPr>
    </w:lvl>
    <w:lvl w:ilvl="8">
      <w:start w:val="1"/>
      <w:numFmt w:val="lowerRoman"/>
      <w:lvlText w:val="."/>
      <w:lvlJc w:val="right"/>
      <w:pPr>
        <w:ind w:left="6180" w:hanging="180"/>
      </w:pPr>
    </w:lvl>
  </w:abstractNum>
  <w:abstractNum w:abstractNumId="5" w15:restartNumberingAfterBreak="0">
    <w:nsid w:val="63C67C06"/>
    <w:multiLevelType w:val="multilevel"/>
    <w:tmpl w:val="6C349664"/>
    <w:lvl w:ilvl="0">
      <w:start w:val="2"/>
      <w:numFmt w:val="decimal"/>
      <w:lvlText w:val="%1"/>
      <w:lvlJc w:val="left"/>
      <w:pPr>
        <w:ind w:left="360" w:hanging="360"/>
      </w:pPr>
    </w:lvl>
    <w:lvl w:ilvl="1">
      <w:start w:val="1"/>
      <w:numFmt w:val="decimal"/>
      <w:lvlText w:val="%1.%2"/>
      <w:lvlJc w:val="left"/>
      <w:pPr>
        <w:ind w:left="780" w:hanging="360"/>
      </w:pPr>
      <w:rPr>
        <w:b/>
        <w:bCs/>
      </w:rPr>
    </w:lvl>
    <w:lvl w:ilvl="2">
      <w:start w:val="1"/>
      <w:numFmt w:val="decimal"/>
      <w:lvlText w:val="%1.%2.%3"/>
      <w:lvlJc w:val="left"/>
      <w:pPr>
        <w:ind w:left="1712" w:hanging="720"/>
      </w:pPr>
      <w:rPr>
        <w:b/>
        <w:bCs/>
      </w:r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6" w15:restartNumberingAfterBreak="0">
    <w:nsid w:val="7963173C"/>
    <w:multiLevelType w:val="multilevel"/>
    <w:tmpl w:val="09BE1ECC"/>
    <w:lvl w:ilvl="0">
      <w:start w:val="2"/>
      <w:numFmt w:val="decimal"/>
      <w:lvlText w:val="%1"/>
      <w:lvlJc w:val="left"/>
      <w:pPr>
        <w:ind w:left="360" w:hanging="360"/>
      </w:pPr>
    </w:lvl>
    <w:lvl w:ilvl="1">
      <w:start w:val="1"/>
      <w:numFmt w:val="decimal"/>
      <w:lvlText w:val="%1.%2"/>
      <w:lvlJc w:val="left"/>
      <w:pPr>
        <w:ind w:left="780" w:hanging="360"/>
      </w:pPr>
      <w:rPr>
        <w:b/>
        <w:bCs/>
      </w:rPr>
    </w:lvl>
    <w:lvl w:ilvl="2">
      <w:start w:val="1"/>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7" w15:restartNumberingAfterBreak="0">
    <w:nsid w:val="7E2236F3"/>
    <w:multiLevelType w:val="multilevel"/>
    <w:tmpl w:val="9788ACE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1849326853">
    <w:abstractNumId w:val="1"/>
  </w:num>
  <w:num w:numId="2" w16cid:durableId="247664933">
    <w:abstractNumId w:val="4"/>
  </w:num>
  <w:num w:numId="3" w16cid:durableId="2131894903">
    <w:abstractNumId w:val="5"/>
  </w:num>
  <w:num w:numId="4" w16cid:durableId="789713034">
    <w:abstractNumId w:val="0"/>
  </w:num>
  <w:num w:numId="5" w16cid:durableId="1792942945">
    <w:abstractNumId w:val="6"/>
  </w:num>
  <w:num w:numId="6" w16cid:durableId="1449003448">
    <w:abstractNumId w:val="7"/>
  </w:num>
  <w:num w:numId="7" w16cid:durableId="756024413">
    <w:abstractNumId w:val="2"/>
  </w:num>
  <w:num w:numId="8" w16cid:durableId="8780532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71800"/>
    <w:rsid w:val="00882B9F"/>
    <w:rsid w:val="009B0113"/>
    <w:rsid w:val="009F3583"/>
    <w:rsid w:val="00D718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55663"/>
  <w15:docId w15:val="{977019AB-807B-4B23-852D-336CFF1F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IN"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lang w:val="en-GB"/>
    </w:rPr>
  </w:style>
  <w:style w:type="character" w:customStyle="1" w:styleId="Heading2Char">
    <w:name w:val="Heading 2 Char"/>
    <w:basedOn w:val="DefaultParagraphFont"/>
    <w:rPr>
      <w:rFonts w:ascii="Calibri Light" w:eastAsia="Times New Roman" w:hAnsi="Calibri Light" w:cs="Times New Roman"/>
      <w:color w:val="2F5496"/>
      <w:sz w:val="32"/>
      <w:szCs w:val="32"/>
      <w:lang w:val="en-GB"/>
    </w:rPr>
  </w:style>
  <w:style w:type="character" w:customStyle="1" w:styleId="Heading3Char">
    <w:name w:val="Heading 3 Char"/>
    <w:basedOn w:val="DefaultParagraphFont"/>
    <w:rPr>
      <w:rFonts w:eastAsia="Times New Roman" w:cs="Times New Roman"/>
      <w:color w:val="2F5496"/>
      <w:sz w:val="28"/>
      <w:szCs w:val="28"/>
      <w:lang w:val="en-GB"/>
    </w:rPr>
  </w:style>
  <w:style w:type="character" w:customStyle="1" w:styleId="Heading4Char">
    <w:name w:val="Heading 4 Char"/>
    <w:basedOn w:val="DefaultParagraphFont"/>
    <w:rPr>
      <w:rFonts w:eastAsia="Times New Roman" w:cs="Times New Roman"/>
      <w:i/>
      <w:iCs/>
      <w:color w:val="2F5496"/>
      <w:lang w:val="en-GB"/>
    </w:rPr>
  </w:style>
  <w:style w:type="character" w:customStyle="1" w:styleId="Heading5Char">
    <w:name w:val="Heading 5 Char"/>
    <w:basedOn w:val="DefaultParagraphFont"/>
    <w:rPr>
      <w:rFonts w:eastAsia="Times New Roman" w:cs="Times New Roman"/>
      <w:color w:val="2F5496"/>
      <w:lang w:val="en-GB"/>
    </w:rPr>
  </w:style>
  <w:style w:type="character" w:customStyle="1" w:styleId="Heading6Char">
    <w:name w:val="Heading 6 Char"/>
    <w:basedOn w:val="DefaultParagraphFont"/>
    <w:rPr>
      <w:rFonts w:eastAsia="Times New Roman" w:cs="Times New Roman"/>
      <w:i/>
      <w:iCs/>
      <w:color w:val="595959"/>
      <w:lang w:val="en-GB"/>
    </w:rPr>
  </w:style>
  <w:style w:type="character" w:customStyle="1" w:styleId="Heading7Char">
    <w:name w:val="Heading 7 Char"/>
    <w:basedOn w:val="DefaultParagraphFont"/>
    <w:rPr>
      <w:rFonts w:eastAsia="Times New Roman" w:cs="Times New Roman"/>
      <w:color w:val="595959"/>
      <w:lang w:val="en-GB"/>
    </w:rPr>
  </w:style>
  <w:style w:type="character" w:customStyle="1" w:styleId="Heading8Char">
    <w:name w:val="Heading 8 Char"/>
    <w:basedOn w:val="DefaultParagraphFont"/>
    <w:rPr>
      <w:rFonts w:eastAsia="Times New Roman" w:cs="Times New Roman"/>
      <w:i/>
      <w:iCs/>
      <w:color w:val="272727"/>
      <w:lang w:val="en-GB"/>
    </w:rPr>
  </w:style>
  <w:style w:type="character" w:customStyle="1" w:styleId="Heading9Char">
    <w:name w:val="Heading 9 Char"/>
    <w:basedOn w:val="DefaultParagraphFont"/>
    <w:rPr>
      <w:rFonts w:eastAsia="Times New Roman" w:cs="Times New Roman"/>
      <w:color w:val="272727"/>
      <w:lang w:val="en-GB"/>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val="en-GB"/>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lang w:val="en-GB"/>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lang w:val="en-GB"/>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lang w:val="en-GB"/>
    </w:rPr>
  </w:style>
  <w:style w:type="character" w:styleId="IntenseReference">
    <w:name w:val="Intense Reference"/>
    <w:basedOn w:val="DefaultParagraphFont"/>
    <w:rPr>
      <w:b/>
      <w:bCs/>
      <w:smallCaps/>
      <w:color w:val="2F5496"/>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ons.gov.uk/peoplepopulationandcommunity/healthandsocialcare/healthandwellbeing/bulletins/disabilityenglandandwales/census2021?utm_source=chatgpt.com" TargetMode="External"/><Relationship Id="rId18" Type="http://schemas.openxmlformats.org/officeDocument/2006/relationships/hyperlink" Target="https://www.ons.gov.uk/peoplepopulationandcommunity/birthsdeathsandmarriages/lifeexpectancies/bulletins/nationallifetablesunitedkingdom/2022to2024?utm_source=chatgpt.com" TargetMode="External"/><Relationship Id="rId26" Type="http://schemas.openxmlformats.org/officeDocument/2006/relationships/hyperlink" Target="https://www.gov.uk/government/publications/multiple-sclerosis-prevalence-incidence-and-smoking-status?utm_source=chatgpt.com" TargetMode="External"/><Relationship Id="rId3" Type="http://schemas.openxmlformats.org/officeDocument/2006/relationships/settings" Target="settings.xml"/><Relationship Id="rId21" Type="http://schemas.openxmlformats.org/officeDocument/2006/relationships/hyperlink" Target="https://www.gov.uk/government/publications/life-sciences-vision-missions/addiction-mission/?utm_source=chatgpt.com"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ons.gov.uk/peoplepopulationandcommunity/healthandsocialcare/disability/articles/outcomesfordisabledpeopleintheuk/2021?utm_source=chatgpt.com" TargetMode="External"/><Relationship Id="rId17" Type="http://schemas.openxmlformats.org/officeDocument/2006/relationships/hyperlink" Target="https://www.ons.gov.uk/peoplepopulationandcommunity/birthsdeathsandmarriages/deaths/bulletins/deathregistrationsummarystatisticsenglandandwales/2024?utm_source=chatgpt.com" TargetMode="External"/><Relationship Id="rId25" Type="http://schemas.openxmlformats.org/officeDocument/2006/relationships/hyperlink" Target="https://www.mssociety.org.uk/about-ms/types-of-ms/relapsing-remitting-ms?utm_source=chatgpt.com" TargetMode="External"/><Relationship Id="rId33" Type="http://schemas.openxmlformats.org/officeDocument/2006/relationships/hyperlink" Target="https://www.alzheimers.org.uk/what-we-do/our-research?utm_source=chatgpt.com" TargetMode="External"/><Relationship Id="rId2" Type="http://schemas.openxmlformats.org/officeDocument/2006/relationships/styles" Target="styles.xml"/><Relationship Id="rId16" Type="http://schemas.openxmlformats.org/officeDocument/2006/relationships/hyperlink" Target="https://www.england.nhs.uk/long-read/performance-report-24-25/?utm_source=chatgpt.com" TargetMode="External"/><Relationship Id="rId20" Type="http://schemas.openxmlformats.org/officeDocument/2006/relationships/hyperlink" Target="https://www.gov.uk/government/publications/life-sciences-healthcare-goals/dame-barbara-windsor-dementia-goals?utm_source=chatgpt.com" TargetMode="External"/><Relationship Id="rId29" Type="http://schemas.openxmlformats.org/officeDocument/2006/relationships/hyperlink" Target="https://ukmsregister.org/FAQ?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mssociety.org.uk/about-ms/what-is-ms?utm_source=chatgpt.com" TargetMode="External"/><Relationship Id="rId32" Type="http://schemas.openxmlformats.org/officeDocument/2006/relationships/hyperlink" Target="https://www.alzheimers.org.uk/about-us/who-we-are?utm_source=chatgpt.com" TargetMode="External"/><Relationship Id="rId5" Type="http://schemas.openxmlformats.org/officeDocument/2006/relationships/footnotes" Target="footnotes.xml"/><Relationship Id="rId15" Type="http://schemas.openxmlformats.org/officeDocument/2006/relationships/hyperlink" Target="https://www.gov.uk/government/statistics/dementia-profile-march-2025-update/dementia-profile-prevalence-and-supporting-well-topics-statistical-commentary-march-2025?utm_source=chatgpt.com" TargetMode="External"/><Relationship Id="rId23" Type="http://schemas.openxmlformats.org/officeDocument/2006/relationships/hyperlink" Target="https://www.mssociety.org.uk/research/news/number-people-living-ms-uk-increases?utm_source=chatgpt.com" TargetMode="External"/><Relationship Id="rId28" Type="http://schemas.openxmlformats.org/officeDocument/2006/relationships/hyperlink" Target="https://www.ukmsregister.org/Research/OurData?utm_source=chatgpt.com" TargetMode="External"/><Relationship Id="rId10" Type="http://schemas.openxmlformats.org/officeDocument/2006/relationships/image" Target="media/image4.jpeg"/><Relationship Id="rId19" Type="http://schemas.openxmlformats.org/officeDocument/2006/relationships/hyperlink" Target="https://www.ageuk.org.uk/discover/2024/december/building-on-success-to-beat-loneliness/?utm_source=chatgpt.com" TargetMode="External"/><Relationship Id="rId31" Type="http://schemas.openxmlformats.org/officeDocument/2006/relationships/hyperlink" Target="https://www.england.nhs.uk/long-read/data-sets-processed-in-the-national-data-integration-tenant-of-the-nhs-federated-data-platform/?utm_source=chatgpt.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gital.nhs.uk/data-and-information/publications/statistical/primary-care-dementia-data/march-2025?utm_source=chatgpt.com" TargetMode="External"/><Relationship Id="rId22" Type="http://schemas.openxmlformats.org/officeDocument/2006/relationships/hyperlink" Target="https://www.mssociety.org.uk/what-we-do/our-work/our-evidence/ms-in-the-uk?utm_source=chatgpt.com" TargetMode="External"/><Relationship Id="rId27" Type="http://schemas.openxmlformats.org/officeDocument/2006/relationships/hyperlink" Target="https://www.nice.org.uk/guidance/ng220?utm_source=chatgpt.com" TargetMode="External"/><Relationship Id="rId30" Type="http://schemas.openxmlformats.org/officeDocument/2006/relationships/hyperlink" Target="https://doi.org/10.3389/fpubh.2019.00064?utm_source=chatgpt.com" TargetMode="External"/><Relationship Id="rId35" Type="http://schemas.openxmlformats.org/officeDocument/2006/relationships/theme" Target="theme/theme1.xml"/><Relationship Id="rId8"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4387</Words>
  <Characters>25010</Characters>
  <Application>Microsoft Office Word</Application>
  <DocSecurity>0</DocSecurity>
  <Lines>208</Lines>
  <Paragraphs>58</Paragraphs>
  <ScaleCrop>false</ScaleCrop>
  <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kashish ardeshna</dc:creator>
  <dc:description/>
  <cp:lastModifiedBy>kashish ardeshna</cp:lastModifiedBy>
  <cp:revision>2</cp:revision>
  <dcterms:created xsi:type="dcterms:W3CDTF">2026-08-18T13:21:00Z</dcterms:created>
  <dcterms:modified xsi:type="dcterms:W3CDTF">2026-08-18T13:21:00Z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1fd0fc9d-4a8b-4ff5-bec6-b2210d946147</vt:lpwstr>
  </property>
</Properties>
</file>