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25DDD" w14:textId="77777777" w:rsidR="004626A1" w:rsidRDefault="00F51DF2" w:rsidP="005A62A5">
      <w:pPr>
        <w:spacing w:before="100" w:beforeAutospacing="1" w:after="100" w:afterAutospacing="1"/>
        <w:ind w:left="284"/>
        <w:rPr>
          <w:rFonts w:ascii="Times New Roman" w:hAnsi="Times New Roman"/>
          <w:color w:val="auto"/>
          <w:szCs w:val="24"/>
        </w:rPr>
      </w:pPr>
      <w:r>
        <w:rPr>
          <w:b/>
          <w:bCs/>
        </w:rPr>
        <w:t>Academic Journal Review – Sports Management</w:t>
      </w:r>
    </w:p>
    <w:tbl>
      <w:tblPr>
        <w:tblW w:w="4555" w:type="pct"/>
        <w:jc w:val="center"/>
        <w:tblBorders>
          <w:top w:val="single" w:sz="12" w:space="0" w:color="000000"/>
          <w:left w:val="single" w:sz="12" w:space="0" w:color="000000"/>
          <w:bottom w:val="single" w:sz="12" w:space="0" w:color="000000"/>
          <w:right w:val="single" w:sz="12" w:space="0" w:color="000000"/>
        </w:tblBorders>
        <w:tblLook w:val="0000" w:firstRow="0" w:lastRow="0" w:firstColumn="0" w:lastColumn="0" w:noHBand="0" w:noVBand="0"/>
      </w:tblPr>
      <w:tblGrid>
        <w:gridCol w:w="9922"/>
      </w:tblGrid>
      <w:tr w:rsidR="004626A1" w14:paraId="3700A79E" w14:textId="77777777">
        <w:trPr>
          <w:trHeight w:val="360"/>
          <w:jc w:val="center"/>
        </w:trPr>
        <w:tc>
          <w:tcPr>
            <w:tcW w:w="5000" w:type="pct"/>
            <w:tcBorders>
              <w:top w:val="single" w:sz="12" w:space="0" w:color="000000"/>
              <w:left w:val="single" w:sz="12" w:space="0" w:color="000000"/>
              <w:bottom w:val="single" w:sz="6" w:space="0" w:color="000000"/>
              <w:right w:val="single" w:sz="6" w:space="0" w:color="000000"/>
            </w:tcBorders>
          </w:tcPr>
          <w:p w14:paraId="4827B968" w14:textId="4DEBE3CF" w:rsidR="004626A1" w:rsidRPr="004E3212" w:rsidRDefault="005A62A5">
            <w:pPr>
              <w:spacing w:before="100" w:beforeAutospacing="1" w:after="100" w:afterAutospacing="1"/>
              <w:rPr>
                <w:rFonts w:cs="Arial"/>
                <w:sz w:val="20"/>
              </w:rPr>
            </w:pPr>
            <w:r w:rsidRPr="004E3212">
              <w:rPr>
                <w:rFonts w:cs="Arial"/>
                <w:b/>
                <w:sz w:val="20"/>
              </w:rPr>
              <w:t xml:space="preserve">Student </w:t>
            </w:r>
            <w:r w:rsidR="00F51DF2" w:rsidRPr="004E3212">
              <w:rPr>
                <w:rFonts w:cs="Arial"/>
                <w:b/>
                <w:sz w:val="20"/>
              </w:rPr>
              <w:t>Name:</w:t>
            </w:r>
            <w:r w:rsidR="004626A1" w:rsidRPr="004E3212">
              <w:rPr>
                <w:rFonts w:cs="Arial"/>
                <w:b/>
                <w:sz w:val="20"/>
              </w:rPr>
              <w:t xml:space="preserve"> </w:t>
            </w:r>
            <w:r w:rsidR="004E3212" w:rsidRPr="004E3212">
              <w:rPr>
                <w:rFonts w:cs="Arial"/>
                <w:bCs/>
                <w:sz w:val="20"/>
              </w:rPr>
              <w:t>Ifan Rossiter</w:t>
            </w:r>
          </w:p>
        </w:tc>
      </w:tr>
      <w:tr w:rsidR="004626A1" w14:paraId="2780BC58" w14:textId="77777777">
        <w:trPr>
          <w:trHeight w:val="360"/>
          <w:jc w:val="center"/>
        </w:trPr>
        <w:tc>
          <w:tcPr>
            <w:tcW w:w="5000" w:type="pct"/>
            <w:tcBorders>
              <w:top w:val="single" w:sz="6" w:space="0" w:color="000000"/>
              <w:left w:val="single" w:sz="12" w:space="0" w:color="000000"/>
              <w:bottom w:val="single" w:sz="6" w:space="0" w:color="000000"/>
              <w:right w:val="single" w:sz="6" w:space="0" w:color="000000"/>
            </w:tcBorders>
          </w:tcPr>
          <w:p w14:paraId="2F2B3443" w14:textId="74A7676F" w:rsidR="004626A1" w:rsidRPr="004E3212" w:rsidRDefault="004626A1" w:rsidP="004E3212">
            <w:pPr>
              <w:rPr>
                <w:rFonts w:cs="Arial"/>
                <w:sz w:val="20"/>
              </w:rPr>
            </w:pPr>
            <w:r w:rsidRPr="004E3212">
              <w:rPr>
                <w:rFonts w:cs="Arial"/>
                <w:b/>
                <w:bCs/>
                <w:sz w:val="20"/>
              </w:rPr>
              <w:t xml:space="preserve">Title </w:t>
            </w:r>
            <w:r w:rsidR="005A62A5" w:rsidRPr="004E3212">
              <w:rPr>
                <w:rFonts w:cs="Arial"/>
                <w:b/>
                <w:bCs/>
                <w:sz w:val="20"/>
              </w:rPr>
              <w:t>of Work</w:t>
            </w:r>
            <w:r w:rsidRPr="004E3212">
              <w:rPr>
                <w:rFonts w:cs="Arial"/>
                <w:sz w:val="20"/>
              </w:rPr>
              <w:t xml:space="preserve">: </w:t>
            </w:r>
            <w:r w:rsidR="004E3212" w:rsidRPr="004E3212">
              <w:rPr>
                <w:rFonts w:cs="Arial"/>
                <w:sz w:val="20"/>
              </w:rPr>
              <w:t>Implications for Training in Youth: Is Specialization Benefiting Kids?</w:t>
            </w:r>
          </w:p>
        </w:tc>
      </w:tr>
      <w:tr w:rsidR="004626A1" w14:paraId="1E985445" w14:textId="77777777">
        <w:trPr>
          <w:trHeight w:val="360"/>
          <w:jc w:val="center"/>
        </w:trPr>
        <w:tc>
          <w:tcPr>
            <w:tcW w:w="5000" w:type="pct"/>
            <w:tcBorders>
              <w:top w:val="single" w:sz="6" w:space="0" w:color="000000"/>
              <w:left w:val="single" w:sz="12" w:space="0" w:color="000000"/>
              <w:bottom w:val="single" w:sz="6" w:space="0" w:color="000000"/>
              <w:right w:val="single" w:sz="6" w:space="0" w:color="000000"/>
            </w:tcBorders>
          </w:tcPr>
          <w:p w14:paraId="10C632D2" w14:textId="242FC2D5" w:rsidR="004626A1" w:rsidRPr="004E3212" w:rsidRDefault="004626A1" w:rsidP="005A62A5">
            <w:pPr>
              <w:spacing w:before="100" w:beforeAutospacing="1" w:after="100" w:afterAutospacing="1"/>
              <w:rPr>
                <w:rFonts w:cs="Arial"/>
                <w:sz w:val="20"/>
              </w:rPr>
            </w:pPr>
            <w:r w:rsidRPr="004E3212">
              <w:rPr>
                <w:rFonts w:cs="Arial"/>
                <w:b/>
                <w:bCs/>
                <w:sz w:val="20"/>
              </w:rPr>
              <w:t>Author:</w:t>
            </w:r>
            <w:r w:rsidRPr="004E3212">
              <w:rPr>
                <w:rFonts w:cs="Arial"/>
                <w:sz w:val="20"/>
              </w:rPr>
              <w:t xml:space="preserve"> </w:t>
            </w:r>
            <w:r w:rsidR="004E3212" w:rsidRPr="004E3212">
              <w:rPr>
                <w:rFonts w:cs="Arial"/>
                <w:sz w:val="20"/>
              </w:rPr>
              <w:t>Dai Sugimoto et. al,</w:t>
            </w:r>
          </w:p>
        </w:tc>
      </w:tr>
      <w:tr w:rsidR="004626A1" w14:paraId="067D51F4" w14:textId="77777777">
        <w:trPr>
          <w:trHeight w:val="525"/>
          <w:jc w:val="center"/>
        </w:trPr>
        <w:tc>
          <w:tcPr>
            <w:tcW w:w="5000" w:type="pct"/>
            <w:tcBorders>
              <w:top w:val="single" w:sz="6" w:space="0" w:color="000000"/>
              <w:left w:val="single" w:sz="12" w:space="0" w:color="000000"/>
              <w:bottom w:val="single" w:sz="6" w:space="0" w:color="000000"/>
              <w:right w:val="single" w:sz="6" w:space="0" w:color="000000"/>
            </w:tcBorders>
          </w:tcPr>
          <w:p w14:paraId="54E59476" w14:textId="468722FA" w:rsidR="004626A1" w:rsidRPr="004E3212" w:rsidRDefault="00F51DF2" w:rsidP="004E3212">
            <w:pPr>
              <w:pStyle w:val="NormalWeb"/>
              <w:ind w:left="567" w:hanging="567"/>
              <w:rPr>
                <w:rFonts w:ascii="Arial" w:hAnsi="Arial" w:cs="Arial"/>
                <w:color w:val="000000"/>
                <w:sz w:val="20"/>
                <w:szCs w:val="20"/>
                <w:lang w:val="en-GB" w:eastAsia="en-GB"/>
              </w:rPr>
            </w:pPr>
            <w:r w:rsidRPr="004E3212">
              <w:rPr>
                <w:rFonts w:ascii="Arial" w:hAnsi="Arial" w:cs="Arial"/>
                <w:b/>
                <w:sz w:val="20"/>
                <w:szCs w:val="20"/>
              </w:rPr>
              <w:t>Reference:</w:t>
            </w:r>
            <w:r w:rsidR="004626A1" w:rsidRPr="004E3212">
              <w:rPr>
                <w:rFonts w:ascii="Arial" w:hAnsi="Arial" w:cs="Arial"/>
                <w:sz w:val="20"/>
                <w:szCs w:val="20"/>
              </w:rPr>
              <w:t xml:space="preserve"> </w:t>
            </w:r>
            <w:r w:rsidR="004E3212" w:rsidRPr="004E3212">
              <w:rPr>
                <w:rFonts w:ascii="Arial" w:hAnsi="Arial" w:cs="Arial"/>
                <w:color w:val="000000"/>
                <w:sz w:val="20"/>
                <w:szCs w:val="20"/>
              </w:rPr>
              <w:t>Sugimoto, D.</w:t>
            </w:r>
            <w:r w:rsidR="004E3212" w:rsidRPr="004E3212">
              <w:rPr>
                <w:rStyle w:val="apple-converted-space"/>
                <w:rFonts w:ascii="Arial" w:hAnsi="Arial" w:cs="Arial"/>
                <w:color w:val="000000"/>
                <w:sz w:val="20"/>
                <w:szCs w:val="20"/>
              </w:rPr>
              <w:t> </w:t>
            </w:r>
            <w:r w:rsidR="004E3212" w:rsidRPr="004E3212">
              <w:rPr>
                <w:rFonts w:ascii="Arial" w:hAnsi="Arial" w:cs="Arial"/>
                <w:color w:val="000000"/>
                <w:sz w:val="20"/>
                <w:szCs w:val="20"/>
              </w:rPr>
              <w:t>et al.</w:t>
            </w:r>
            <w:r w:rsidR="004E3212" w:rsidRPr="004E3212">
              <w:rPr>
                <w:rStyle w:val="apple-converted-space"/>
                <w:rFonts w:ascii="Arial" w:hAnsi="Arial" w:cs="Arial"/>
                <w:color w:val="000000"/>
                <w:sz w:val="20"/>
                <w:szCs w:val="20"/>
              </w:rPr>
              <w:t> </w:t>
            </w:r>
            <w:r w:rsidR="004E3212" w:rsidRPr="004E3212">
              <w:rPr>
                <w:rFonts w:ascii="Arial" w:hAnsi="Arial" w:cs="Arial"/>
                <w:color w:val="000000"/>
                <w:sz w:val="20"/>
                <w:szCs w:val="20"/>
              </w:rPr>
              <w:t>(2017) ‘Implications for training in youth: Is specialization benefiting kids?’,</w:t>
            </w:r>
            <w:r w:rsidR="004E3212" w:rsidRPr="004E3212">
              <w:rPr>
                <w:rStyle w:val="apple-converted-space"/>
                <w:rFonts w:ascii="Arial" w:hAnsi="Arial" w:cs="Arial"/>
                <w:color w:val="000000"/>
                <w:sz w:val="20"/>
                <w:szCs w:val="20"/>
              </w:rPr>
              <w:t> </w:t>
            </w:r>
            <w:r w:rsidR="004E3212" w:rsidRPr="004E3212">
              <w:rPr>
                <w:rFonts w:ascii="Arial" w:hAnsi="Arial" w:cs="Arial"/>
                <w:color w:val="000000"/>
                <w:sz w:val="20"/>
                <w:szCs w:val="20"/>
              </w:rPr>
              <w:t>Strength &amp;amp; Conditioning Journal, 39(2), pp. 77–81. doi:10.1519/ssc.0000000000000289.</w:t>
            </w:r>
          </w:p>
        </w:tc>
      </w:tr>
      <w:tr w:rsidR="004626A1" w14:paraId="5B235C55" w14:textId="77777777">
        <w:trPr>
          <w:trHeight w:val="255"/>
          <w:jc w:val="center"/>
        </w:trPr>
        <w:tc>
          <w:tcPr>
            <w:tcW w:w="5000" w:type="pct"/>
            <w:tcBorders>
              <w:top w:val="single" w:sz="6" w:space="0" w:color="000000"/>
              <w:left w:val="single" w:sz="12" w:space="0" w:color="000000"/>
              <w:bottom w:val="single" w:sz="6" w:space="0" w:color="000000"/>
              <w:right w:val="single" w:sz="6" w:space="0" w:color="000000"/>
            </w:tcBorders>
          </w:tcPr>
          <w:p w14:paraId="10BDC460" w14:textId="77777777" w:rsidR="00F51DF2" w:rsidRPr="004E3212" w:rsidRDefault="004626A1">
            <w:pPr>
              <w:spacing w:before="100" w:beforeAutospacing="1" w:after="100" w:afterAutospacing="1"/>
              <w:rPr>
                <w:rFonts w:cs="Arial"/>
                <w:sz w:val="20"/>
              </w:rPr>
            </w:pPr>
            <w:r w:rsidRPr="004E3212">
              <w:rPr>
                <w:rFonts w:cs="Arial"/>
                <w:b/>
                <w:sz w:val="20"/>
              </w:rPr>
              <w:t xml:space="preserve">Date of </w:t>
            </w:r>
            <w:r w:rsidR="00F51DF2" w:rsidRPr="004E3212">
              <w:rPr>
                <w:rFonts w:cs="Arial"/>
                <w:b/>
                <w:sz w:val="20"/>
              </w:rPr>
              <w:t>Article:</w:t>
            </w:r>
            <w:r w:rsidRPr="004E3212">
              <w:rPr>
                <w:rFonts w:cs="Arial"/>
                <w:sz w:val="20"/>
              </w:rPr>
              <w:t xml:space="preserve"> </w:t>
            </w:r>
          </w:p>
        </w:tc>
      </w:tr>
      <w:tr w:rsidR="004626A1" w14:paraId="0F97A54D" w14:textId="77777777">
        <w:trPr>
          <w:trHeight w:val="345"/>
          <w:jc w:val="center"/>
        </w:trPr>
        <w:tc>
          <w:tcPr>
            <w:tcW w:w="5000" w:type="pct"/>
            <w:tcBorders>
              <w:top w:val="single" w:sz="6" w:space="0" w:color="000000"/>
              <w:left w:val="single" w:sz="12" w:space="0" w:color="000000"/>
              <w:bottom w:val="single" w:sz="6" w:space="0" w:color="000000"/>
              <w:right w:val="single" w:sz="12" w:space="0" w:color="000000"/>
            </w:tcBorders>
            <w:shd w:val="clear" w:color="auto" w:fill="C0C0C0"/>
          </w:tcPr>
          <w:p w14:paraId="769A1153" w14:textId="77777777" w:rsidR="004626A1" w:rsidRPr="004E3212" w:rsidRDefault="005A62A5" w:rsidP="005A62A5">
            <w:pPr>
              <w:spacing w:before="100" w:beforeAutospacing="1" w:after="100" w:afterAutospacing="1"/>
              <w:rPr>
                <w:rFonts w:cs="Arial"/>
                <w:sz w:val="20"/>
              </w:rPr>
            </w:pPr>
            <w:r w:rsidRPr="004E3212">
              <w:rPr>
                <w:rFonts w:cs="Arial"/>
                <w:b/>
                <w:bCs/>
                <w:sz w:val="20"/>
              </w:rPr>
              <w:t xml:space="preserve">PERSONAL </w:t>
            </w:r>
            <w:r w:rsidR="004626A1" w:rsidRPr="004E3212">
              <w:rPr>
                <w:rFonts w:cs="Arial"/>
                <w:b/>
                <w:bCs/>
                <w:sz w:val="20"/>
              </w:rPr>
              <w:t>REVIEW</w:t>
            </w:r>
          </w:p>
        </w:tc>
      </w:tr>
      <w:tr w:rsidR="004626A1" w14:paraId="0CF7B4A9" w14:textId="77777777" w:rsidTr="00F51DF2">
        <w:trPr>
          <w:trHeight w:val="1932"/>
          <w:jc w:val="center"/>
        </w:trPr>
        <w:tc>
          <w:tcPr>
            <w:tcW w:w="5000" w:type="pct"/>
            <w:tcBorders>
              <w:top w:val="single" w:sz="6" w:space="0" w:color="000000"/>
              <w:left w:val="single" w:sz="12" w:space="0" w:color="000000"/>
              <w:bottom w:val="single" w:sz="6" w:space="0" w:color="000000"/>
              <w:right w:val="single" w:sz="12" w:space="0" w:color="000000"/>
            </w:tcBorders>
          </w:tcPr>
          <w:p w14:paraId="47AD3019" w14:textId="77777777" w:rsidR="004626A1" w:rsidRPr="004E3212" w:rsidRDefault="0064190B">
            <w:pPr>
              <w:pStyle w:val="NormalWeb"/>
              <w:spacing w:before="0" w:beforeAutospacing="0" w:after="0" w:afterAutospacing="0"/>
              <w:rPr>
                <w:rFonts w:ascii="Arial" w:hAnsi="Arial" w:cs="Arial"/>
                <w:sz w:val="20"/>
                <w:szCs w:val="20"/>
              </w:rPr>
            </w:pPr>
            <w:r w:rsidRPr="004E3212">
              <w:rPr>
                <w:rFonts w:ascii="Arial" w:hAnsi="Arial" w:cs="Arial"/>
                <w:b/>
                <w:bCs/>
                <w:sz w:val="20"/>
                <w:szCs w:val="20"/>
                <w:u w:val="single"/>
              </w:rPr>
              <w:t>Review</w:t>
            </w:r>
            <w:r w:rsidR="00F51DF2" w:rsidRPr="004E3212">
              <w:rPr>
                <w:rFonts w:ascii="Arial" w:hAnsi="Arial" w:cs="Arial"/>
                <w:b/>
                <w:bCs/>
                <w:sz w:val="20"/>
                <w:szCs w:val="20"/>
                <w:u w:val="single"/>
              </w:rPr>
              <w:t xml:space="preserve"> Suggestions</w:t>
            </w:r>
          </w:p>
          <w:p w14:paraId="5A1B009A" w14:textId="77777777" w:rsidR="004626A1" w:rsidRPr="004E3212" w:rsidRDefault="004626A1" w:rsidP="00F51DF2">
            <w:pPr>
              <w:pStyle w:val="NormalWeb"/>
              <w:numPr>
                <w:ilvl w:val="0"/>
                <w:numId w:val="13"/>
              </w:numPr>
              <w:spacing w:before="0" w:beforeAutospacing="0" w:after="0" w:afterAutospacing="0"/>
              <w:rPr>
                <w:rFonts w:ascii="Arial" w:hAnsi="Arial" w:cs="Arial"/>
                <w:color w:val="000000"/>
                <w:sz w:val="20"/>
                <w:szCs w:val="20"/>
              </w:rPr>
            </w:pPr>
            <w:r w:rsidRPr="004E3212">
              <w:rPr>
                <w:rFonts w:ascii="Arial" w:hAnsi="Arial" w:cs="Arial"/>
                <w:color w:val="000000"/>
                <w:sz w:val="20"/>
                <w:szCs w:val="20"/>
              </w:rPr>
              <w:t>Give an overview of the article.</w:t>
            </w:r>
          </w:p>
          <w:p w14:paraId="58F305C3" w14:textId="77777777" w:rsidR="0064190B" w:rsidRPr="004E3212" w:rsidRDefault="0064190B" w:rsidP="00F51DF2">
            <w:pPr>
              <w:pStyle w:val="NormalWeb"/>
              <w:numPr>
                <w:ilvl w:val="0"/>
                <w:numId w:val="13"/>
              </w:numPr>
              <w:spacing w:before="0" w:beforeAutospacing="0" w:after="0" w:afterAutospacing="0"/>
              <w:rPr>
                <w:rFonts w:ascii="Arial" w:hAnsi="Arial" w:cs="Arial"/>
                <w:color w:val="000000"/>
                <w:sz w:val="20"/>
                <w:szCs w:val="20"/>
              </w:rPr>
            </w:pPr>
            <w:r w:rsidRPr="004E3212">
              <w:rPr>
                <w:rFonts w:ascii="Arial" w:hAnsi="Arial" w:cs="Arial"/>
                <w:color w:val="000000"/>
                <w:sz w:val="20"/>
                <w:szCs w:val="20"/>
              </w:rPr>
              <w:t>What are the key points in this article?</w:t>
            </w:r>
          </w:p>
          <w:p w14:paraId="7E30E04E" w14:textId="77777777" w:rsidR="0064190B" w:rsidRPr="004E3212" w:rsidRDefault="0064190B" w:rsidP="00F51DF2">
            <w:pPr>
              <w:pStyle w:val="NormalWeb"/>
              <w:numPr>
                <w:ilvl w:val="0"/>
                <w:numId w:val="13"/>
              </w:numPr>
              <w:spacing w:before="0" w:beforeAutospacing="0" w:after="0" w:afterAutospacing="0"/>
              <w:rPr>
                <w:rFonts w:ascii="Arial" w:hAnsi="Arial" w:cs="Arial"/>
                <w:color w:val="000000"/>
                <w:sz w:val="20"/>
                <w:szCs w:val="20"/>
              </w:rPr>
            </w:pPr>
            <w:r w:rsidRPr="004E3212">
              <w:rPr>
                <w:rFonts w:ascii="Arial" w:hAnsi="Arial" w:cs="Arial"/>
                <w:color w:val="000000"/>
                <w:sz w:val="20"/>
                <w:szCs w:val="20"/>
              </w:rPr>
              <w:t>Who is intended audience – academics/ practitioners – why do you come to that conclusion?</w:t>
            </w:r>
          </w:p>
          <w:p w14:paraId="341A01B4" w14:textId="77777777" w:rsidR="00F51DF2" w:rsidRPr="004E3212" w:rsidRDefault="0064190B" w:rsidP="00F51DF2">
            <w:pPr>
              <w:pStyle w:val="NormalWeb"/>
              <w:numPr>
                <w:ilvl w:val="0"/>
                <w:numId w:val="13"/>
              </w:numPr>
              <w:spacing w:before="0" w:beforeAutospacing="0" w:after="0" w:afterAutospacing="0"/>
              <w:rPr>
                <w:rFonts w:ascii="Arial" w:hAnsi="Arial" w:cs="Arial"/>
                <w:color w:val="000000"/>
                <w:sz w:val="20"/>
                <w:szCs w:val="20"/>
              </w:rPr>
            </w:pPr>
            <w:r w:rsidRPr="004E3212">
              <w:rPr>
                <w:rFonts w:ascii="Arial" w:hAnsi="Arial" w:cs="Arial"/>
                <w:color w:val="000000"/>
                <w:sz w:val="20"/>
                <w:szCs w:val="20"/>
              </w:rPr>
              <w:t>Does the author define any terms? Are the definitions specific, useful, circular?</w:t>
            </w:r>
          </w:p>
          <w:p w14:paraId="64C0297C" w14:textId="77777777" w:rsidR="0064190B" w:rsidRPr="004E3212" w:rsidRDefault="00F51DF2" w:rsidP="00F51DF2">
            <w:pPr>
              <w:pStyle w:val="NormalWeb"/>
              <w:numPr>
                <w:ilvl w:val="0"/>
                <w:numId w:val="13"/>
              </w:numPr>
              <w:spacing w:before="0" w:beforeAutospacing="0" w:after="0" w:afterAutospacing="0"/>
              <w:rPr>
                <w:rFonts w:ascii="Arial" w:hAnsi="Arial" w:cs="Arial"/>
                <w:color w:val="000000"/>
                <w:sz w:val="20"/>
                <w:szCs w:val="20"/>
              </w:rPr>
            </w:pPr>
            <w:r w:rsidRPr="004E3212">
              <w:rPr>
                <w:rFonts w:ascii="Arial" w:hAnsi="Arial" w:cs="Arial"/>
                <w:color w:val="000000"/>
                <w:sz w:val="20"/>
                <w:szCs w:val="20"/>
              </w:rPr>
              <w:t>What are the key findings?</w:t>
            </w:r>
            <w:r w:rsidR="0064190B" w:rsidRPr="004E3212">
              <w:rPr>
                <w:rFonts w:ascii="Arial" w:hAnsi="Arial" w:cs="Arial"/>
                <w:color w:val="000000"/>
                <w:sz w:val="20"/>
                <w:szCs w:val="20"/>
              </w:rPr>
              <w:t xml:space="preserve"> </w:t>
            </w:r>
          </w:p>
          <w:p w14:paraId="3B0464BF" w14:textId="77777777" w:rsidR="00F51DF2" w:rsidRPr="004E3212" w:rsidRDefault="00F51DF2" w:rsidP="00F51DF2">
            <w:pPr>
              <w:pStyle w:val="NormalWeb"/>
              <w:numPr>
                <w:ilvl w:val="0"/>
                <w:numId w:val="13"/>
              </w:numPr>
              <w:spacing w:before="0" w:beforeAutospacing="0" w:after="0" w:afterAutospacing="0"/>
              <w:rPr>
                <w:rFonts w:ascii="Arial" w:hAnsi="Arial" w:cs="Arial"/>
                <w:color w:val="000000"/>
                <w:sz w:val="20"/>
                <w:szCs w:val="20"/>
              </w:rPr>
            </w:pPr>
            <w:r w:rsidRPr="004E3212">
              <w:rPr>
                <w:rFonts w:ascii="Arial" w:hAnsi="Arial" w:cs="Arial"/>
                <w:color w:val="000000"/>
                <w:sz w:val="20"/>
                <w:szCs w:val="20"/>
              </w:rPr>
              <w:t>What did I find striking or interesting about these key points?</w:t>
            </w:r>
          </w:p>
          <w:p w14:paraId="3299C00A" w14:textId="54DB64CB" w:rsidR="00F51DF2" w:rsidRPr="004E3212" w:rsidRDefault="00F51DF2" w:rsidP="00F51DF2">
            <w:pPr>
              <w:pStyle w:val="NormalWeb"/>
              <w:numPr>
                <w:ilvl w:val="0"/>
                <w:numId w:val="13"/>
              </w:numPr>
              <w:spacing w:before="0" w:beforeAutospacing="0" w:after="0" w:afterAutospacing="0"/>
              <w:rPr>
                <w:rFonts w:ascii="Arial" w:hAnsi="Arial" w:cs="Arial"/>
                <w:color w:val="000000"/>
                <w:sz w:val="20"/>
                <w:szCs w:val="20"/>
              </w:rPr>
            </w:pPr>
            <w:r w:rsidRPr="004E3212">
              <w:rPr>
                <w:rFonts w:ascii="Arial" w:hAnsi="Arial" w:cs="Arial"/>
                <w:color w:val="000000"/>
                <w:sz w:val="20"/>
                <w:szCs w:val="20"/>
              </w:rPr>
              <w:t xml:space="preserve">How has this article influenced me in thinking deeply about my values, </w:t>
            </w:r>
            <w:r w:rsidR="004E3212" w:rsidRPr="004E3212">
              <w:rPr>
                <w:rFonts w:ascii="Arial" w:hAnsi="Arial" w:cs="Arial"/>
                <w:color w:val="000000"/>
                <w:sz w:val="20"/>
                <w:szCs w:val="20"/>
              </w:rPr>
              <w:t>beliefs,</w:t>
            </w:r>
            <w:r w:rsidRPr="004E3212">
              <w:rPr>
                <w:rFonts w:ascii="Arial" w:hAnsi="Arial" w:cs="Arial"/>
                <w:color w:val="000000"/>
                <w:sz w:val="20"/>
                <w:szCs w:val="20"/>
              </w:rPr>
              <w:t xml:space="preserve"> and assumptions?</w:t>
            </w:r>
          </w:p>
          <w:p w14:paraId="4F691281" w14:textId="77777777" w:rsidR="0064190B" w:rsidRPr="004E3212" w:rsidRDefault="0064190B" w:rsidP="00F51DF2">
            <w:pPr>
              <w:pStyle w:val="NormalWeb"/>
              <w:numPr>
                <w:ilvl w:val="0"/>
                <w:numId w:val="13"/>
              </w:numPr>
              <w:spacing w:before="0" w:beforeAutospacing="0" w:after="0" w:afterAutospacing="0"/>
              <w:rPr>
                <w:rFonts w:ascii="Arial" w:hAnsi="Arial" w:cs="Arial"/>
                <w:color w:val="000000"/>
                <w:sz w:val="20"/>
                <w:szCs w:val="20"/>
              </w:rPr>
            </w:pPr>
            <w:r w:rsidRPr="004E3212">
              <w:rPr>
                <w:rFonts w:ascii="Arial" w:hAnsi="Arial" w:cs="Arial"/>
                <w:color w:val="000000"/>
                <w:sz w:val="20"/>
                <w:szCs w:val="20"/>
              </w:rPr>
              <w:t xml:space="preserve">Does the author suggest areas for further research or discussion? </w:t>
            </w:r>
          </w:p>
        </w:tc>
      </w:tr>
      <w:tr w:rsidR="004626A1" w14:paraId="34A01B79" w14:textId="77777777" w:rsidTr="0064190B">
        <w:trPr>
          <w:trHeight w:val="2399"/>
          <w:jc w:val="center"/>
        </w:trPr>
        <w:tc>
          <w:tcPr>
            <w:tcW w:w="5000" w:type="pct"/>
            <w:tcBorders>
              <w:top w:val="single" w:sz="6" w:space="0" w:color="000000"/>
              <w:left w:val="single" w:sz="12" w:space="0" w:color="000000"/>
              <w:bottom w:val="single" w:sz="12" w:space="0" w:color="000000"/>
              <w:right w:val="single" w:sz="12" w:space="0" w:color="000000"/>
            </w:tcBorders>
          </w:tcPr>
          <w:p w14:paraId="15DA6A0D" w14:textId="77777777" w:rsidR="004626A1" w:rsidRPr="004E3212" w:rsidRDefault="0064190B">
            <w:pPr>
              <w:pStyle w:val="NormalWeb"/>
              <w:spacing w:before="0" w:beforeAutospacing="0" w:after="0" w:afterAutospacing="0"/>
              <w:rPr>
                <w:rFonts w:ascii="Arial" w:hAnsi="Arial" w:cs="Arial"/>
                <w:sz w:val="20"/>
                <w:szCs w:val="20"/>
              </w:rPr>
            </w:pPr>
            <w:r w:rsidRPr="004E3212">
              <w:rPr>
                <w:rFonts w:ascii="Arial" w:hAnsi="Arial" w:cs="Arial"/>
                <w:b/>
                <w:bCs/>
                <w:sz w:val="20"/>
                <w:szCs w:val="20"/>
                <w:u w:val="single"/>
              </w:rPr>
              <w:t xml:space="preserve">Personal </w:t>
            </w:r>
            <w:r w:rsidR="00F51DF2" w:rsidRPr="004E3212">
              <w:rPr>
                <w:rFonts w:ascii="Arial" w:hAnsi="Arial" w:cs="Arial"/>
                <w:b/>
                <w:bCs/>
                <w:sz w:val="20"/>
                <w:szCs w:val="20"/>
                <w:u w:val="single"/>
              </w:rPr>
              <w:t>Review (300 words)</w:t>
            </w:r>
          </w:p>
          <w:p w14:paraId="7723201A" w14:textId="77777777" w:rsidR="0064190B" w:rsidRPr="004E3212" w:rsidRDefault="0064190B" w:rsidP="0064190B">
            <w:pPr>
              <w:pStyle w:val="NormalWeb"/>
              <w:spacing w:before="0" w:beforeAutospacing="0" w:after="0" w:afterAutospacing="0"/>
              <w:rPr>
                <w:rFonts w:ascii="Arial" w:hAnsi="Arial" w:cs="Arial"/>
                <w:color w:val="000000"/>
                <w:sz w:val="20"/>
                <w:szCs w:val="20"/>
              </w:rPr>
            </w:pPr>
          </w:p>
          <w:p w14:paraId="31BA1B0E" w14:textId="77777777" w:rsidR="00DF133D" w:rsidRPr="004E3212" w:rsidRDefault="00DF133D" w:rsidP="00DF133D">
            <w:pPr>
              <w:rPr>
                <w:rFonts w:cs="Arial"/>
                <w:sz w:val="20"/>
              </w:rPr>
            </w:pPr>
            <w:r w:rsidRPr="004E3212">
              <w:rPr>
                <w:rFonts w:cs="Arial"/>
                <w:sz w:val="20"/>
              </w:rPr>
              <w:t>This article examines the effects of early sports specialization on youth athletes, evaluating its advantages and risks. The authors argue that while specialization can lead to skill mastery and competitive success, it also increases the likelihood of overuse injuries, burnout, and limited overall athletic development. They advocate for a balanced approach, recommending multi-sport participation to enhance long-term performance and reduce injury risk.</w:t>
            </w:r>
          </w:p>
          <w:p w14:paraId="4BACB629" w14:textId="77777777" w:rsidR="00DF133D" w:rsidRPr="004E3212" w:rsidRDefault="00DF133D" w:rsidP="00DF133D">
            <w:pPr>
              <w:rPr>
                <w:rFonts w:cs="Arial"/>
                <w:sz w:val="20"/>
              </w:rPr>
            </w:pPr>
            <w:r w:rsidRPr="004E3212">
              <w:rPr>
                <w:rFonts w:cs="Arial"/>
                <w:sz w:val="20"/>
              </w:rPr>
              <w:t>The intended audience includes both academics and practitioners, such as sports scientists, athletic trainers, and pediatricians. This is evident in the article’s research-based approach, clinical insights, and focus on training recommendations. The formal tone and reliance on empirical data indicate an academic orientation, while the practical implications make it relevant for professionals working directly with young athletes.</w:t>
            </w:r>
          </w:p>
          <w:p w14:paraId="5955BC5B" w14:textId="77777777" w:rsidR="00DF133D" w:rsidRPr="004E3212" w:rsidRDefault="00DF133D" w:rsidP="00DF133D">
            <w:pPr>
              <w:rPr>
                <w:rFonts w:cs="Arial"/>
                <w:sz w:val="20"/>
              </w:rPr>
            </w:pPr>
          </w:p>
          <w:p w14:paraId="3BD52713" w14:textId="77777777" w:rsidR="00DF133D" w:rsidRPr="004E3212" w:rsidRDefault="00DF133D" w:rsidP="00DF133D">
            <w:pPr>
              <w:rPr>
                <w:rFonts w:cs="Arial"/>
                <w:sz w:val="20"/>
              </w:rPr>
            </w:pPr>
            <w:r w:rsidRPr="004E3212">
              <w:rPr>
                <w:rFonts w:cs="Arial"/>
                <w:sz w:val="20"/>
              </w:rPr>
              <w:t>The authors define key terms, including sports specialization (intense focus on a single sport at a young age) and overuse injuries (injuries caused by repetitive stress rather than acute trauma). These definitions are precise and useful, helping clarify the risks associated with specialized training.</w:t>
            </w:r>
          </w:p>
          <w:p w14:paraId="39AAC619" w14:textId="77777777" w:rsidR="004E3212" w:rsidRPr="004E3212" w:rsidRDefault="004E3212" w:rsidP="00DF133D">
            <w:pPr>
              <w:rPr>
                <w:rFonts w:cs="Arial"/>
                <w:sz w:val="20"/>
              </w:rPr>
            </w:pPr>
          </w:p>
          <w:p w14:paraId="7B48D81E" w14:textId="77777777" w:rsidR="00DF133D" w:rsidRPr="004E3212" w:rsidRDefault="00DF133D" w:rsidP="00DF133D">
            <w:pPr>
              <w:rPr>
                <w:rFonts w:cs="Arial"/>
                <w:sz w:val="20"/>
              </w:rPr>
            </w:pPr>
            <w:r w:rsidRPr="004E3212">
              <w:rPr>
                <w:rFonts w:cs="Arial"/>
                <w:sz w:val="20"/>
              </w:rPr>
              <w:t>The key findings reveal that early specialization correlates with higher injury rates, psychological stress, and even a lower chance of long-term success in sports. Notably, multi-sport participation is linked to improved motor development, enhanced athletic performance, and fewer injuries. This challenges the assumption that early specialization is the best route to elite athletic achievement.</w:t>
            </w:r>
          </w:p>
          <w:p w14:paraId="7867874E" w14:textId="77777777" w:rsidR="004E3212" w:rsidRPr="004E3212" w:rsidRDefault="004E3212" w:rsidP="00DF133D">
            <w:pPr>
              <w:rPr>
                <w:rFonts w:cs="Arial"/>
                <w:sz w:val="20"/>
              </w:rPr>
            </w:pPr>
          </w:p>
          <w:p w14:paraId="3497FD65" w14:textId="77777777" w:rsidR="00DF133D" w:rsidRPr="004E3212" w:rsidRDefault="00DF133D" w:rsidP="00DF133D">
            <w:pPr>
              <w:rPr>
                <w:rFonts w:cs="Arial"/>
                <w:sz w:val="20"/>
              </w:rPr>
            </w:pPr>
            <w:r w:rsidRPr="004E3212">
              <w:rPr>
                <w:rFonts w:cs="Arial"/>
                <w:sz w:val="20"/>
              </w:rPr>
              <w:t>I found it particularly striking that early specialization can reduce long-term athletic potential rather than enhance it. This challenges a common belief in youth sports culture and reinforces my perspective on the importance of varied physical activity.</w:t>
            </w:r>
          </w:p>
          <w:p w14:paraId="45E0E754" w14:textId="77777777" w:rsidR="00DF133D" w:rsidRPr="004E3212" w:rsidRDefault="00DF133D" w:rsidP="00DF133D">
            <w:pPr>
              <w:rPr>
                <w:rFonts w:cs="Arial"/>
                <w:sz w:val="20"/>
              </w:rPr>
            </w:pPr>
            <w:r w:rsidRPr="004E3212">
              <w:rPr>
                <w:rFonts w:cs="Arial"/>
                <w:sz w:val="20"/>
              </w:rPr>
              <w:t>The article has deepened my understanding of youth training, encouraging me to value holistic development over early specialization. The authors call for further research on long-term athletic development and psychological impacts, emphasizing the need for more longitudinal studies to guide athletes, parents, and coaches.</w:t>
            </w:r>
          </w:p>
          <w:p w14:paraId="3778E96F" w14:textId="77777777" w:rsidR="0064190B" w:rsidRPr="004E3212" w:rsidRDefault="0064190B" w:rsidP="0064190B">
            <w:pPr>
              <w:pStyle w:val="NormalWeb"/>
              <w:spacing w:before="0" w:beforeAutospacing="0" w:after="0" w:afterAutospacing="0"/>
              <w:rPr>
                <w:rFonts w:ascii="Arial" w:hAnsi="Arial" w:cs="Arial"/>
                <w:sz w:val="20"/>
                <w:szCs w:val="20"/>
              </w:rPr>
            </w:pPr>
          </w:p>
        </w:tc>
      </w:tr>
    </w:tbl>
    <w:p w14:paraId="7D4ABAC2" w14:textId="77777777" w:rsidR="004626A1" w:rsidRDefault="004626A1">
      <w:pPr>
        <w:rPr>
          <w:rFonts w:cs="Arial"/>
          <w:sz w:val="20"/>
        </w:rPr>
      </w:pPr>
    </w:p>
    <w:p w14:paraId="36EBA175" w14:textId="77777777" w:rsidR="004626A1" w:rsidRDefault="004626A1">
      <w:pPr>
        <w:ind w:right="329"/>
        <w:rPr>
          <w:rFonts w:cs="Arial"/>
          <w:sz w:val="20"/>
        </w:rPr>
      </w:pPr>
    </w:p>
    <w:sectPr w:rsidR="004626A1" w:rsidSect="0064190B">
      <w:pgSz w:w="11909" w:h="16834" w:code="9"/>
      <w:pgMar w:top="567" w:right="569" w:bottom="1440" w:left="426" w:header="720" w:footer="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774A9"/>
    <w:multiLevelType w:val="hybridMultilevel"/>
    <w:tmpl w:val="802C8812"/>
    <w:lvl w:ilvl="0" w:tplc="8020DE58">
      <w:start w:val="1"/>
      <w:numFmt w:val="bullet"/>
      <w:lvlText w:val=""/>
      <w:lvlJc w:val="left"/>
      <w:pPr>
        <w:tabs>
          <w:tab w:val="num" w:pos="720"/>
        </w:tabs>
        <w:ind w:left="720" w:hanging="360"/>
      </w:pPr>
      <w:rPr>
        <w:rFonts w:ascii="Symbol" w:hAnsi="Symbol" w:hint="default"/>
        <w:sz w:val="20"/>
      </w:rPr>
    </w:lvl>
    <w:lvl w:ilvl="1" w:tplc="83584A30" w:tentative="1">
      <w:start w:val="1"/>
      <w:numFmt w:val="bullet"/>
      <w:lvlText w:val="o"/>
      <w:lvlJc w:val="left"/>
      <w:pPr>
        <w:tabs>
          <w:tab w:val="num" w:pos="1440"/>
        </w:tabs>
        <w:ind w:left="1440" w:hanging="360"/>
      </w:pPr>
      <w:rPr>
        <w:rFonts w:ascii="Courier New" w:hAnsi="Courier New" w:hint="default"/>
        <w:sz w:val="20"/>
      </w:rPr>
    </w:lvl>
    <w:lvl w:ilvl="2" w:tplc="6E8EBEE4" w:tentative="1">
      <w:start w:val="1"/>
      <w:numFmt w:val="bullet"/>
      <w:lvlText w:val=""/>
      <w:lvlJc w:val="left"/>
      <w:pPr>
        <w:tabs>
          <w:tab w:val="num" w:pos="2160"/>
        </w:tabs>
        <w:ind w:left="2160" w:hanging="360"/>
      </w:pPr>
      <w:rPr>
        <w:rFonts w:ascii="Wingdings" w:hAnsi="Wingdings" w:hint="default"/>
        <w:sz w:val="20"/>
      </w:rPr>
    </w:lvl>
    <w:lvl w:ilvl="3" w:tplc="C924FDF6" w:tentative="1">
      <w:start w:val="1"/>
      <w:numFmt w:val="bullet"/>
      <w:lvlText w:val=""/>
      <w:lvlJc w:val="left"/>
      <w:pPr>
        <w:tabs>
          <w:tab w:val="num" w:pos="2880"/>
        </w:tabs>
        <w:ind w:left="2880" w:hanging="360"/>
      </w:pPr>
      <w:rPr>
        <w:rFonts w:ascii="Wingdings" w:hAnsi="Wingdings" w:hint="default"/>
        <w:sz w:val="20"/>
      </w:rPr>
    </w:lvl>
    <w:lvl w:ilvl="4" w:tplc="8D8843B8" w:tentative="1">
      <w:start w:val="1"/>
      <w:numFmt w:val="bullet"/>
      <w:lvlText w:val=""/>
      <w:lvlJc w:val="left"/>
      <w:pPr>
        <w:tabs>
          <w:tab w:val="num" w:pos="3600"/>
        </w:tabs>
        <w:ind w:left="3600" w:hanging="360"/>
      </w:pPr>
      <w:rPr>
        <w:rFonts w:ascii="Wingdings" w:hAnsi="Wingdings" w:hint="default"/>
        <w:sz w:val="20"/>
      </w:rPr>
    </w:lvl>
    <w:lvl w:ilvl="5" w:tplc="3BFE13A8" w:tentative="1">
      <w:start w:val="1"/>
      <w:numFmt w:val="bullet"/>
      <w:lvlText w:val=""/>
      <w:lvlJc w:val="left"/>
      <w:pPr>
        <w:tabs>
          <w:tab w:val="num" w:pos="4320"/>
        </w:tabs>
        <w:ind w:left="4320" w:hanging="360"/>
      </w:pPr>
      <w:rPr>
        <w:rFonts w:ascii="Wingdings" w:hAnsi="Wingdings" w:hint="default"/>
        <w:sz w:val="20"/>
      </w:rPr>
    </w:lvl>
    <w:lvl w:ilvl="6" w:tplc="60AADFFC" w:tentative="1">
      <w:start w:val="1"/>
      <w:numFmt w:val="bullet"/>
      <w:lvlText w:val=""/>
      <w:lvlJc w:val="left"/>
      <w:pPr>
        <w:tabs>
          <w:tab w:val="num" w:pos="5040"/>
        </w:tabs>
        <w:ind w:left="5040" w:hanging="360"/>
      </w:pPr>
      <w:rPr>
        <w:rFonts w:ascii="Wingdings" w:hAnsi="Wingdings" w:hint="default"/>
        <w:sz w:val="20"/>
      </w:rPr>
    </w:lvl>
    <w:lvl w:ilvl="7" w:tplc="42D4532E" w:tentative="1">
      <w:start w:val="1"/>
      <w:numFmt w:val="bullet"/>
      <w:lvlText w:val=""/>
      <w:lvlJc w:val="left"/>
      <w:pPr>
        <w:tabs>
          <w:tab w:val="num" w:pos="5760"/>
        </w:tabs>
        <w:ind w:left="5760" w:hanging="360"/>
      </w:pPr>
      <w:rPr>
        <w:rFonts w:ascii="Wingdings" w:hAnsi="Wingdings" w:hint="default"/>
        <w:sz w:val="20"/>
      </w:rPr>
    </w:lvl>
    <w:lvl w:ilvl="8" w:tplc="68AAD826"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A001B"/>
    <w:multiLevelType w:val="hybridMultilevel"/>
    <w:tmpl w:val="64EAC65C"/>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A91167"/>
    <w:multiLevelType w:val="hybridMultilevel"/>
    <w:tmpl w:val="90E649CC"/>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A915E9E"/>
    <w:multiLevelType w:val="hybridMultilevel"/>
    <w:tmpl w:val="3BBE5954"/>
    <w:lvl w:ilvl="0" w:tplc="43FA33AA">
      <w:start w:val="1"/>
      <w:numFmt w:val="bullet"/>
      <w:lvlText w:val=""/>
      <w:lvlJc w:val="left"/>
      <w:pPr>
        <w:tabs>
          <w:tab w:val="num" w:pos="720"/>
        </w:tabs>
        <w:ind w:left="720" w:hanging="360"/>
      </w:pPr>
      <w:rPr>
        <w:rFonts w:ascii="Symbol" w:hAnsi="Symbol" w:hint="default"/>
        <w:sz w:val="20"/>
      </w:rPr>
    </w:lvl>
    <w:lvl w:ilvl="1" w:tplc="8C1EF1D8" w:tentative="1">
      <w:start w:val="1"/>
      <w:numFmt w:val="bullet"/>
      <w:lvlText w:val="o"/>
      <w:lvlJc w:val="left"/>
      <w:pPr>
        <w:tabs>
          <w:tab w:val="num" w:pos="1440"/>
        </w:tabs>
        <w:ind w:left="1440" w:hanging="360"/>
      </w:pPr>
      <w:rPr>
        <w:rFonts w:ascii="Courier New" w:hAnsi="Courier New" w:hint="default"/>
        <w:sz w:val="20"/>
      </w:rPr>
    </w:lvl>
    <w:lvl w:ilvl="2" w:tplc="B3204438" w:tentative="1">
      <w:start w:val="1"/>
      <w:numFmt w:val="bullet"/>
      <w:lvlText w:val=""/>
      <w:lvlJc w:val="left"/>
      <w:pPr>
        <w:tabs>
          <w:tab w:val="num" w:pos="2160"/>
        </w:tabs>
        <w:ind w:left="2160" w:hanging="360"/>
      </w:pPr>
      <w:rPr>
        <w:rFonts w:ascii="Wingdings" w:hAnsi="Wingdings" w:hint="default"/>
        <w:sz w:val="20"/>
      </w:rPr>
    </w:lvl>
    <w:lvl w:ilvl="3" w:tplc="AECC7098" w:tentative="1">
      <w:start w:val="1"/>
      <w:numFmt w:val="bullet"/>
      <w:lvlText w:val=""/>
      <w:lvlJc w:val="left"/>
      <w:pPr>
        <w:tabs>
          <w:tab w:val="num" w:pos="2880"/>
        </w:tabs>
        <w:ind w:left="2880" w:hanging="360"/>
      </w:pPr>
      <w:rPr>
        <w:rFonts w:ascii="Wingdings" w:hAnsi="Wingdings" w:hint="default"/>
        <w:sz w:val="20"/>
      </w:rPr>
    </w:lvl>
    <w:lvl w:ilvl="4" w:tplc="D0F29156" w:tentative="1">
      <w:start w:val="1"/>
      <w:numFmt w:val="bullet"/>
      <w:lvlText w:val=""/>
      <w:lvlJc w:val="left"/>
      <w:pPr>
        <w:tabs>
          <w:tab w:val="num" w:pos="3600"/>
        </w:tabs>
        <w:ind w:left="3600" w:hanging="360"/>
      </w:pPr>
      <w:rPr>
        <w:rFonts w:ascii="Wingdings" w:hAnsi="Wingdings" w:hint="default"/>
        <w:sz w:val="20"/>
      </w:rPr>
    </w:lvl>
    <w:lvl w:ilvl="5" w:tplc="0BC8345A" w:tentative="1">
      <w:start w:val="1"/>
      <w:numFmt w:val="bullet"/>
      <w:lvlText w:val=""/>
      <w:lvlJc w:val="left"/>
      <w:pPr>
        <w:tabs>
          <w:tab w:val="num" w:pos="4320"/>
        </w:tabs>
        <w:ind w:left="4320" w:hanging="360"/>
      </w:pPr>
      <w:rPr>
        <w:rFonts w:ascii="Wingdings" w:hAnsi="Wingdings" w:hint="default"/>
        <w:sz w:val="20"/>
      </w:rPr>
    </w:lvl>
    <w:lvl w:ilvl="6" w:tplc="B8CA9550" w:tentative="1">
      <w:start w:val="1"/>
      <w:numFmt w:val="bullet"/>
      <w:lvlText w:val=""/>
      <w:lvlJc w:val="left"/>
      <w:pPr>
        <w:tabs>
          <w:tab w:val="num" w:pos="5040"/>
        </w:tabs>
        <w:ind w:left="5040" w:hanging="360"/>
      </w:pPr>
      <w:rPr>
        <w:rFonts w:ascii="Wingdings" w:hAnsi="Wingdings" w:hint="default"/>
        <w:sz w:val="20"/>
      </w:rPr>
    </w:lvl>
    <w:lvl w:ilvl="7" w:tplc="89F85848" w:tentative="1">
      <w:start w:val="1"/>
      <w:numFmt w:val="bullet"/>
      <w:lvlText w:val=""/>
      <w:lvlJc w:val="left"/>
      <w:pPr>
        <w:tabs>
          <w:tab w:val="num" w:pos="5760"/>
        </w:tabs>
        <w:ind w:left="5760" w:hanging="360"/>
      </w:pPr>
      <w:rPr>
        <w:rFonts w:ascii="Wingdings" w:hAnsi="Wingdings" w:hint="default"/>
        <w:sz w:val="20"/>
      </w:rPr>
    </w:lvl>
    <w:lvl w:ilvl="8" w:tplc="2ACE78E0"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8E340F"/>
    <w:multiLevelType w:val="hybridMultilevel"/>
    <w:tmpl w:val="D598E306"/>
    <w:lvl w:ilvl="0" w:tplc="03BA3298">
      <w:start w:val="1"/>
      <w:numFmt w:val="bullet"/>
      <w:lvlText w:val=""/>
      <w:lvlJc w:val="left"/>
      <w:pPr>
        <w:tabs>
          <w:tab w:val="num" w:pos="720"/>
        </w:tabs>
        <w:ind w:left="720" w:hanging="360"/>
      </w:pPr>
      <w:rPr>
        <w:rFonts w:ascii="Symbol" w:hAnsi="Symbol" w:hint="default"/>
        <w:sz w:val="20"/>
      </w:rPr>
    </w:lvl>
    <w:lvl w:ilvl="1" w:tplc="4C167C8C" w:tentative="1">
      <w:start w:val="1"/>
      <w:numFmt w:val="bullet"/>
      <w:lvlText w:val="o"/>
      <w:lvlJc w:val="left"/>
      <w:pPr>
        <w:tabs>
          <w:tab w:val="num" w:pos="1440"/>
        </w:tabs>
        <w:ind w:left="1440" w:hanging="360"/>
      </w:pPr>
      <w:rPr>
        <w:rFonts w:ascii="Courier New" w:hAnsi="Courier New" w:hint="default"/>
        <w:sz w:val="20"/>
      </w:rPr>
    </w:lvl>
    <w:lvl w:ilvl="2" w:tplc="A9D013D2" w:tentative="1">
      <w:start w:val="1"/>
      <w:numFmt w:val="bullet"/>
      <w:lvlText w:val=""/>
      <w:lvlJc w:val="left"/>
      <w:pPr>
        <w:tabs>
          <w:tab w:val="num" w:pos="2160"/>
        </w:tabs>
        <w:ind w:left="2160" w:hanging="360"/>
      </w:pPr>
      <w:rPr>
        <w:rFonts w:ascii="Wingdings" w:hAnsi="Wingdings" w:hint="default"/>
        <w:sz w:val="20"/>
      </w:rPr>
    </w:lvl>
    <w:lvl w:ilvl="3" w:tplc="D56635F0" w:tentative="1">
      <w:start w:val="1"/>
      <w:numFmt w:val="bullet"/>
      <w:lvlText w:val=""/>
      <w:lvlJc w:val="left"/>
      <w:pPr>
        <w:tabs>
          <w:tab w:val="num" w:pos="2880"/>
        </w:tabs>
        <w:ind w:left="2880" w:hanging="360"/>
      </w:pPr>
      <w:rPr>
        <w:rFonts w:ascii="Wingdings" w:hAnsi="Wingdings" w:hint="default"/>
        <w:sz w:val="20"/>
      </w:rPr>
    </w:lvl>
    <w:lvl w:ilvl="4" w:tplc="9C96977E" w:tentative="1">
      <w:start w:val="1"/>
      <w:numFmt w:val="bullet"/>
      <w:lvlText w:val=""/>
      <w:lvlJc w:val="left"/>
      <w:pPr>
        <w:tabs>
          <w:tab w:val="num" w:pos="3600"/>
        </w:tabs>
        <w:ind w:left="3600" w:hanging="360"/>
      </w:pPr>
      <w:rPr>
        <w:rFonts w:ascii="Wingdings" w:hAnsi="Wingdings" w:hint="default"/>
        <w:sz w:val="20"/>
      </w:rPr>
    </w:lvl>
    <w:lvl w:ilvl="5" w:tplc="2F74C5D0" w:tentative="1">
      <w:start w:val="1"/>
      <w:numFmt w:val="bullet"/>
      <w:lvlText w:val=""/>
      <w:lvlJc w:val="left"/>
      <w:pPr>
        <w:tabs>
          <w:tab w:val="num" w:pos="4320"/>
        </w:tabs>
        <w:ind w:left="4320" w:hanging="360"/>
      </w:pPr>
      <w:rPr>
        <w:rFonts w:ascii="Wingdings" w:hAnsi="Wingdings" w:hint="default"/>
        <w:sz w:val="20"/>
      </w:rPr>
    </w:lvl>
    <w:lvl w:ilvl="6" w:tplc="4AB0A9B8" w:tentative="1">
      <w:start w:val="1"/>
      <w:numFmt w:val="bullet"/>
      <w:lvlText w:val=""/>
      <w:lvlJc w:val="left"/>
      <w:pPr>
        <w:tabs>
          <w:tab w:val="num" w:pos="5040"/>
        </w:tabs>
        <w:ind w:left="5040" w:hanging="360"/>
      </w:pPr>
      <w:rPr>
        <w:rFonts w:ascii="Wingdings" w:hAnsi="Wingdings" w:hint="default"/>
        <w:sz w:val="20"/>
      </w:rPr>
    </w:lvl>
    <w:lvl w:ilvl="7" w:tplc="774899E8" w:tentative="1">
      <w:start w:val="1"/>
      <w:numFmt w:val="bullet"/>
      <w:lvlText w:val=""/>
      <w:lvlJc w:val="left"/>
      <w:pPr>
        <w:tabs>
          <w:tab w:val="num" w:pos="5760"/>
        </w:tabs>
        <w:ind w:left="5760" w:hanging="360"/>
      </w:pPr>
      <w:rPr>
        <w:rFonts w:ascii="Wingdings" w:hAnsi="Wingdings" w:hint="default"/>
        <w:sz w:val="20"/>
      </w:rPr>
    </w:lvl>
    <w:lvl w:ilvl="8" w:tplc="077EAAC0"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47C8E"/>
    <w:multiLevelType w:val="hybridMultilevel"/>
    <w:tmpl w:val="36EC7110"/>
    <w:lvl w:ilvl="0" w:tplc="DA5A6CA0">
      <w:start w:val="1"/>
      <w:numFmt w:val="bullet"/>
      <w:lvlText w:val=""/>
      <w:lvlJc w:val="left"/>
      <w:pPr>
        <w:tabs>
          <w:tab w:val="num" w:pos="720"/>
        </w:tabs>
        <w:ind w:left="720" w:hanging="360"/>
      </w:pPr>
      <w:rPr>
        <w:rFonts w:ascii="Symbol" w:hAnsi="Symbol" w:hint="default"/>
        <w:sz w:val="20"/>
      </w:rPr>
    </w:lvl>
    <w:lvl w:ilvl="1" w:tplc="AC32A4D4" w:tentative="1">
      <w:start w:val="1"/>
      <w:numFmt w:val="bullet"/>
      <w:lvlText w:val="o"/>
      <w:lvlJc w:val="left"/>
      <w:pPr>
        <w:tabs>
          <w:tab w:val="num" w:pos="1440"/>
        </w:tabs>
        <w:ind w:left="1440" w:hanging="360"/>
      </w:pPr>
      <w:rPr>
        <w:rFonts w:ascii="Courier New" w:hAnsi="Courier New" w:hint="default"/>
        <w:sz w:val="20"/>
      </w:rPr>
    </w:lvl>
    <w:lvl w:ilvl="2" w:tplc="05562238" w:tentative="1">
      <w:start w:val="1"/>
      <w:numFmt w:val="bullet"/>
      <w:lvlText w:val=""/>
      <w:lvlJc w:val="left"/>
      <w:pPr>
        <w:tabs>
          <w:tab w:val="num" w:pos="2160"/>
        </w:tabs>
        <w:ind w:left="2160" w:hanging="360"/>
      </w:pPr>
      <w:rPr>
        <w:rFonts w:ascii="Wingdings" w:hAnsi="Wingdings" w:hint="default"/>
        <w:sz w:val="20"/>
      </w:rPr>
    </w:lvl>
    <w:lvl w:ilvl="3" w:tplc="0EE6C95A" w:tentative="1">
      <w:start w:val="1"/>
      <w:numFmt w:val="bullet"/>
      <w:lvlText w:val=""/>
      <w:lvlJc w:val="left"/>
      <w:pPr>
        <w:tabs>
          <w:tab w:val="num" w:pos="2880"/>
        </w:tabs>
        <w:ind w:left="2880" w:hanging="360"/>
      </w:pPr>
      <w:rPr>
        <w:rFonts w:ascii="Wingdings" w:hAnsi="Wingdings" w:hint="default"/>
        <w:sz w:val="20"/>
      </w:rPr>
    </w:lvl>
    <w:lvl w:ilvl="4" w:tplc="F9560BFE" w:tentative="1">
      <w:start w:val="1"/>
      <w:numFmt w:val="bullet"/>
      <w:lvlText w:val=""/>
      <w:lvlJc w:val="left"/>
      <w:pPr>
        <w:tabs>
          <w:tab w:val="num" w:pos="3600"/>
        </w:tabs>
        <w:ind w:left="3600" w:hanging="360"/>
      </w:pPr>
      <w:rPr>
        <w:rFonts w:ascii="Wingdings" w:hAnsi="Wingdings" w:hint="default"/>
        <w:sz w:val="20"/>
      </w:rPr>
    </w:lvl>
    <w:lvl w:ilvl="5" w:tplc="81B8D1E6" w:tentative="1">
      <w:start w:val="1"/>
      <w:numFmt w:val="bullet"/>
      <w:lvlText w:val=""/>
      <w:lvlJc w:val="left"/>
      <w:pPr>
        <w:tabs>
          <w:tab w:val="num" w:pos="4320"/>
        </w:tabs>
        <w:ind w:left="4320" w:hanging="360"/>
      </w:pPr>
      <w:rPr>
        <w:rFonts w:ascii="Wingdings" w:hAnsi="Wingdings" w:hint="default"/>
        <w:sz w:val="20"/>
      </w:rPr>
    </w:lvl>
    <w:lvl w:ilvl="6" w:tplc="EA26369E" w:tentative="1">
      <w:start w:val="1"/>
      <w:numFmt w:val="bullet"/>
      <w:lvlText w:val=""/>
      <w:lvlJc w:val="left"/>
      <w:pPr>
        <w:tabs>
          <w:tab w:val="num" w:pos="5040"/>
        </w:tabs>
        <w:ind w:left="5040" w:hanging="360"/>
      </w:pPr>
      <w:rPr>
        <w:rFonts w:ascii="Wingdings" w:hAnsi="Wingdings" w:hint="default"/>
        <w:sz w:val="20"/>
      </w:rPr>
    </w:lvl>
    <w:lvl w:ilvl="7" w:tplc="B232C564" w:tentative="1">
      <w:start w:val="1"/>
      <w:numFmt w:val="bullet"/>
      <w:lvlText w:val=""/>
      <w:lvlJc w:val="left"/>
      <w:pPr>
        <w:tabs>
          <w:tab w:val="num" w:pos="5760"/>
        </w:tabs>
        <w:ind w:left="5760" w:hanging="360"/>
      </w:pPr>
      <w:rPr>
        <w:rFonts w:ascii="Wingdings" w:hAnsi="Wingdings" w:hint="default"/>
        <w:sz w:val="20"/>
      </w:rPr>
    </w:lvl>
    <w:lvl w:ilvl="8" w:tplc="43185DA6"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400AE1"/>
    <w:multiLevelType w:val="hybridMultilevel"/>
    <w:tmpl w:val="F2D215F4"/>
    <w:lvl w:ilvl="0" w:tplc="1F8A384E">
      <w:start w:val="1"/>
      <w:numFmt w:val="bullet"/>
      <w:lvlText w:val=""/>
      <w:lvlJc w:val="left"/>
      <w:pPr>
        <w:tabs>
          <w:tab w:val="num" w:pos="360"/>
        </w:tabs>
        <w:ind w:left="360" w:hanging="360"/>
      </w:pPr>
      <w:rPr>
        <w:rFonts w:ascii="Wingdings" w:hAnsi="Wingdings" w:hint="default"/>
        <w:sz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367C6ACA"/>
    <w:multiLevelType w:val="hybridMultilevel"/>
    <w:tmpl w:val="130ABCDA"/>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43F6502"/>
    <w:multiLevelType w:val="hybridMultilevel"/>
    <w:tmpl w:val="8586D77C"/>
    <w:lvl w:ilvl="0" w:tplc="1F8A384E">
      <w:start w:val="1"/>
      <w:numFmt w:val="bullet"/>
      <w:lvlText w:val=""/>
      <w:lvlJc w:val="left"/>
      <w:pPr>
        <w:tabs>
          <w:tab w:val="num" w:pos="360"/>
        </w:tabs>
        <w:ind w:left="360" w:hanging="360"/>
      </w:pPr>
      <w:rPr>
        <w:rFonts w:ascii="Wingdings" w:hAnsi="Wingdings" w:hint="default"/>
        <w:sz w:val="22"/>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4EF5804"/>
    <w:multiLevelType w:val="hybridMultilevel"/>
    <w:tmpl w:val="9D8C9EF0"/>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6AC07B7"/>
    <w:multiLevelType w:val="hybridMultilevel"/>
    <w:tmpl w:val="30E87A3E"/>
    <w:lvl w:ilvl="0" w:tplc="1F8A384E">
      <w:start w:val="1"/>
      <w:numFmt w:val="bullet"/>
      <w:lvlText w:val=""/>
      <w:lvlJc w:val="left"/>
      <w:pPr>
        <w:tabs>
          <w:tab w:val="num" w:pos="720"/>
        </w:tabs>
        <w:ind w:left="720" w:hanging="360"/>
      </w:pPr>
      <w:rPr>
        <w:rFonts w:ascii="Wingdings" w:hAnsi="Wingdings" w:hint="default"/>
        <w:sz w:val="22"/>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36B099A"/>
    <w:multiLevelType w:val="multilevel"/>
    <w:tmpl w:val="EA52C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67D3280"/>
    <w:multiLevelType w:val="hybridMultilevel"/>
    <w:tmpl w:val="34A4DAE6"/>
    <w:lvl w:ilvl="0" w:tplc="1F8A384E">
      <w:start w:val="1"/>
      <w:numFmt w:val="bullet"/>
      <w:lvlText w:val=""/>
      <w:lvlJc w:val="left"/>
      <w:pPr>
        <w:tabs>
          <w:tab w:val="num" w:pos="1080"/>
        </w:tabs>
        <w:ind w:left="1080" w:hanging="360"/>
      </w:pPr>
      <w:rPr>
        <w:rFonts w:ascii="Wingdings" w:hAnsi="Wingdings" w:hint="default"/>
        <w:sz w:val="22"/>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7B107974"/>
    <w:multiLevelType w:val="hybridMultilevel"/>
    <w:tmpl w:val="5434E0D4"/>
    <w:lvl w:ilvl="0" w:tplc="C4B0499E">
      <w:start w:val="1"/>
      <w:numFmt w:val="bullet"/>
      <w:lvlText w:val=""/>
      <w:lvlJc w:val="left"/>
      <w:pPr>
        <w:tabs>
          <w:tab w:val="num" w:pos="720"/>
        </w:tabs>
        <w:ind w:left="720" w:hanging="360"/>
      </w:pPr>
      <w:rPr>
        <w:rFonts w:ascii="Symbol" w:hAnsi="Symbol" w:hint="default"/>
        <w:sz w:val="20"/>
      </w:rPr>
    </w:lvl>
    <w:lvl w:ilvl="1" w:tplc="8E608F6C" w:tentative="1">
      <w:start w:val="1"/>
      <w:numFmt w:val="bullet"/>
      <w:lvlText w:val="o"/>
      <w:lvlJc w:val="left"/>
      <w:pPr>
        <w:tabs>
          <w:tab w:val="num" w:pos="1440"/>
        </w:tabs>
        <w:ind w:left="1440" w:hanging="360"/>
      </w:pPr>
      <w:rPr>
        <w:rFonts w:ascii="Courier New" w:hAnsi="Courier New" w:hint="default"/>
        <w:sz w:val="20"/>
      </w:rPr>
    </w:lvl>
    <w:lvl w:ilvl="2" w:tplc="C706D754" w:tentative="1">
      <w:start w:val="1"/>
      <w:numFmt w:val="bullet"/>
      <w:lvlText w:val=""/>
      <w:lvlJc w:val="left"/>
      <w:pPr>
        <w:tabs>
          <w:tab w:val="num" w:pos="2160"/>
        </w:tabs>
        <w:ind w:left="2160" w:hanging="360"/>
      </w:pPr>
      <w:rPr>
        <w:rFonts w:ascii="Wingdings" w:hAnsi="Wingdings" w:hint="default"/>
        <w:sz w:val="20"/>
      </w:rPr>
    </w:lvl>
    <w:lvl w:ilvl="3" w:tplc="5FB8A6F2" w:tentative="1">
      <w:start w:val="1"/>
      <w:numFmt w:val="bullet"/>
      <w:lvlText w:val=""/>
      <w:lvlJc w:val="left"/>
      <w:pPr>
        <w:tabs>
          <w:tab w:val="num" w:pos="2880"/>
        </w:tabs>
        <w:ind w:left="2880" w:hanging="360"/>
      </w:pPr>
      <w:rPr>
        <w:rFonts w:ascii="Wingdings" w:hAnsi="Wingdings" w:hint="default"/>
        <w:sz w:val="20"/>
      </w:rPr>
    </w:lvl>
    <w:lvl w:ilvl="4" w:tplc="12129D18" w:tentative="1">
      <w:start w:val="1"/>
      <w:numFmt w:val="bullet"/>
      <w:lvlText w:val=""/>
      <w:lvlJc w:val="left"/>
      <w:pPr>
        <w:tabs>
          <w:tab w:val="num" w:pos="3600"/>
        </w:tabs>
        <w:ind w:left="3600" w:hanging="360"/>
      </w:pPr>
      <w:rPr>
        <w:rFonts w:ascii="Wingdings" w:hAnsi="Wingdings" w:hint="default"/>
        <w:sz w:val="20"/>
      </w:rPr>
    </w:lvl>
    <w:lvl w:ilvl="5" w:tplc="5082EE88" w:tentative="1">
      <w:start w:val="1"/>
      <w:numFmt w:val="bullet"/>
      <w:lvlText w:val=""/>
      <w:lvlJc w:val="left"/>
      <w:pPr>
        <w:tabs>
          <w:tab w:val="num" w:pos="4320"/>
        </w:tabs>
        <w:ind w:left="4320" w:hanging="360"/>
      </w:pPr>
      <w:rPr>
        <w:rFonts w:ascii="Wingdings" w:hAnsi="Wingdings" w:hint="default"/>
        <w:sz w:val="20"/>
      </w:rPr>
    </w:lvl>
    <w:lvl w:ilvl="6" w:tplc="973A2E06" w:tentative="1">
      <w:start w:val="1"/>
      <w:numFmt w:val="bullet"/>
      <w:lvlText w:val=""/>
      <w:lvlJc w:val="left"/>
      <w:pPr>
        <w:tabs>
          <w:tab w:val="num" w:pos="5040"/>
        </w:tabs>
        <w:ind w:left="5040" w:hanging="360"/>
      </w:pPr>
      <w:rPr>
        <w:rFonts w:ascii="Wingdings" w:hAnsi="Wingdings" w:hint="default"/>
        <w:sz w:val="20"/>
      </w:rPr>
    </w:lvl>
    <w:lvl w:ilvl="7" w:tplc="F6164EB8" w:tentative="1">
      <w:start w:val="1"/>
      <w:numFmt w:val="bullet"/>
      <w:lvlText w:val=""/>
      <w:lvlJc w:val="left"/>
      <w:pPr>
        <w:tabs>
          <w:tab w:val="num" w:pos="5760"/>
        </w:tabs>
        <w:ind w:left="5760" w:hanging="360"/>
      </w:pPr>
      <w:rPr>
        <w:rFonts w:ascii="Wingdings" w:hAnsi="Wingdings" w:hint="default"/>
        <w:sz w:val="20"/>
      </w:rPr>
    </w:lvl>
    <w:lvl w:ilvl="8" w:tplc="46488BC2" w:tentative="1">
      <w:start w:val="1"/>
      <w:numFmt w:val="bullet"/>
      <w:lvlText w:val=""/>
      <w:lvlJc w:val="left"/>
      <w:pPr>
        <w:tabs>
          <w:tab w:val="num" w:pos="6480"/>
        </w:tabs>
        <w:ind w:left="6480" w:hanging="360"/>
      </w:pPr>
      <w:rPr>
        <w:rFonts w:ascii="Wingdings" w:hAnsi="Wingdings" w:hint="default"/>
        <w:sz w:val="20"/>
      </w:rPr>
    </w:lvl>
  </w:abstractNum>
  <w:num w:numId="1" w16cid:durableId="582841765">
    <w:abstractNumId w:val="4"/>
  </w:num>
  <w:num w:numId="2" w16cid:durableId="116796762">
    <w:abstractNumId w:val="13"/>
  </w:num>
  <w:num w:numId="3" w16cid:durableId="129324699">
    <w:abstractNumId w:val="0"/>
  </w:num>
  <w:num w:numId="4" w16cid:durableId="1342505715">
    <w:abstractNumId w:val="10"/>
  </w:num>
  <w:num w:numId="5" w16cid:durableId="1334722729">
    <w:abstractNumId w:val="1"/>
  </w:num>
  <w:num w:numId="6" w16cid:durableId="1112289323">
    <w:abstractNumId w:val="2"/>
  </w:num>
  <w:num w:numId="7" w16cid:durableId="334963796">
    <w:abstractNumId w:val="12"/>
  </w:num>
  <w:num w:numId="8" w16cid:durableId="1732384671">
    <w:abstractNumId w:val="7"/>
  </w:num>
  <w:num w:numId="9" w16cid:durableId="1464811295">
    <w:abstractNumId w:val="9"/>
  </w:num>
  <w:num w:numId="10" w16cid:durableId="1417903272">
    <w:abstractNumId w:val="5"/>
  </w:num>
  <w:num w:numId="11" w16cid:durableId="2055228948">
    <w:abstractNumId w:val="3"/>
  </w:num>
  <w:num w:numId="12" w16cid:durableId="332726583">
    <w:abstractNumId w:val="8"/>
  </w:num>
  <w:num w:numId="13" w16cid:durableId="1371884025">
    <w:abstractNumId w:val="6"/>
  </w:num>
  <w:num w:numId="14" w16cid:durableId="4509759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drawingGridHorizontalSpacing w:val="10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2A5"/>
    <w:rsid w:val="004626A1"/>
    <w:rsid w:val="004E3212"/>
    <w:rsid w:val="005A62A5"/>
    <w:rsid w:val="0064190B"/>
    <w:rsid w:val="00DE3228"/>
    <w:rsid w:val="00DF133D"/>
    <w:rsid w:val="00DF4F4C"/>
    <w:rsid w:val="00F51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707EA47"/>
  <w15:chartTrackingRefBased/>
  <w15:docId w15:val="{DD307A4C-0299-1D49-B7C7-EC305B418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olor w:val="000000"/>
      <w:sz w:val="24"/>
      <w:lang w:val="en-US" w:eastAsia="en-US"/>
    </w:rPr>
  </w:style>
  <w:style w:type="paragraph" w:styleId="Heading1">
    <w:name w:val="heading 1"/>
    <w:basedOn w:val="Normal"/>
    <w:next w:val="Normal"/>
    <w:qFormat/>
    <w:pPr>
      <w:keepNext/>
      <w:outlineLvl w:val="0"/>
    </w:pPr>
    <w:rPr>
      <w:rFonts w:cs="Arial"/>
      <w:b/>
      <w:bCs/>
      <w:sz w:val="20"/>
    </w:rPr>
  </w:style>
  <w:style w:type="paragraph" w:styleId="Heading2">
    <w:name w:val="heading 2"/>
    <w:basedOn w:val="Normal"/>
    <w:next w:val="Normal"/>
    <w:qFormat/>
    <w:pPr>
      <w:keepNext/>
      <w:outlineLvl w:val="1"/>
    </w:pPr>
    <w:rPr>
      <w:rFonts w:cs="Arial"/>
      <w:bCs/>
      <w:sz w:val="20"/>
      <w:u w:val="single"/>
    </w:rPr>
  </w:style>
  <w:style w:type="paragraph" w:styleId="Heading3">
    <w:name w:val="heading 3"/>
    <w:basedOn w:val="Normal"/>
    <w:next w:val="Normal"/>
    <w:qFormat/>
    <w:pPr>
      <w:keepNext/>
      <w:ind w:right="329"/>
      <w:jc w:val="center"/>
      <w:outlineLvl w:val="2"/>
    </w:pPr>
    <w:rPr>
      <w:rFonts w:cs="Arial"/>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pPr>
      <w:spacing w:before="100" w:beforeAutospacing="1" w:after="100" w:afterAutospacing="1"/>
    </w:pPr>
    <w:rPr>
      <w:rFonts w:ascii="Times New Roman" w:hAnsi="Times New Roman"/>
      <w:color w:val="auto"/>
      <w:szCs w:val="24"/>
    </w:rPr>
  </w:style>
  <w:style w:type="paragraph" w:styleId="BodyText">
    <w:name w:val="Body Text"/>
    <w:basedOn w:val="Normal"/>
    <w:semiHidden/>
    <w:rPr>
      <w:rFonts w:cs="Arial"/>
      <w:b/>
      <w:sz w:val="20"/>
    </w:rPr>
  </w:style>
  <w:style w:type="paragraph" w:styleId="BodyText2">
    <w:name w:val="Body Text 2"/>
    <w:basedOn w:val="Normal"/>
    <w:semiHidden/>
    <w:pPr>
      <w:jc w:val="both"/>
    </w:pPr>
    <w:rPr>
      <w:rFonts w:cs="Arial"/>
      <w:bCs/>
      <w:sz w:val="20"/>
    </w:rPr>
  </w:style>
  <w:style w:type="paragraph" w:styleId="BodyText3">
    <w:name w:val="Body Text 3"/>
    <w:basedOn w:val="Normal"/>
    <w:semiHidden/>
    <w:pPr>
      <w:spacing w:before="100" w:beforeAutospacing="1" w:after="100" w:afterAutospacing="1"/>
    </w:pPr>
    <w:rPr>
      <w:b/>
      <w:bCs/>
    </w:rPr>
  </w:style>
  <w:style w:type="character" w:styleId="Hyperlink">
    <w:name w:val="Hyperlink"/>
    <w:rsid w:val="0064190B"/>
    <w:rPr>
      <w:strike w:val="0"/>
      <w:dstrike w:val="0"/>
      <w:color w:val="0000FF"/>
      <w:u w:val="none"/>
      <w:effect w:val="none"/>
    </w:rPr>
  </w:style>
  <w:style w:type="paragraph" w:styleId="BalloonText">
    <w:name w:val="Balloon Text"/>
    <w:basedOn w:val="Normal"/>
    <w:link w:val="BalloonTextChar"/>
    <w:uiPriority w:val="99"/>
    <w:semiHidden/>
    <w:unhideWhenUsed/>
    <w:rsid w:val="00DE3228"/>
    <w:rPr>
      <w:rFonts w:ascii="Tahoma" w:hAnsi="Tahoma" w:cs="Tahoma"/>
      <w:sz w:val="16"/>
      <w:szCs w:val="16"/>
    </w:rPr>
  </w:style>
  <w:style w:type="character" w:customStyle="1" w:styleId="BalloonTextChar">
    <w:name w:val="Balloon Text Char"/>
    <w:link w:val="BalloonText"/>
    <w:uiPriority w:val="99"/>
    <w:semiHidden/>
    <w:rsid w:val="00DE3228"/>
    <w:rPr>
      <w:rFonts w:ascii="Tahoma" w:hAnsi="Tahoma" w:cs="Tahoma"/>
      <w:color w:val="000000"/>
      <w:sz w:val="16"/>
      <w:szCs w:val="16"/>
      <w:lang w:val="en-US" w:eastAsia="en-US"/>
    </w:rPr>
  </w:style>
  <w:style w:type="character" w:customStyle="1" w:styleId="apple-converted-space">
    <w:name w:val="apple-converted-space"/>
    <w:basedOn w:val="DefaultParagraphFont"/>
    <w:rsid w:val="00DF133D"/>
  </w:style>
  <w:style w:type="character" w:styleId="Emphasis">
    <w:name w:val="Emphasis"/>
    <w:uiPriority w:val="20"/>
    <w:qFormat/>
    <w:rsid w:val="00DF13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6429">
      <w:bodyDiv w:val="1"/>
      <w:marLeft w:val="0"/>
      <w:marRight w:val="0"/>
      <w:marTop w:val="0"/>
      <w:marBottom w:val="0"/>
      <w:divBdr>
        <w:top w:val="none" w:sz="0" w:space="0" w:color="auto"/>
        <w:left w:val="none" w:sz="0" w:space="0" w:color="auto"/>
        <w:bottom w:val="none" w:sz="0" w:space="0" w:color="auto"/>
        <w:right w:val="none" w:sz="0" w:space="0" w:color="auto"/>
      </w:divBdr>
    </w:div>
    <w:div w:id="172668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471</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Review of Journal Article</vt:lpstr>
    </vt:vector>
  </TitlesOfParts>
  <Company>ITE</Company>
  <LinksUpToDate>false</LinksUpToDate>
  <CharactersWithSpaces>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of Journal Article</dc:title>
  <dc:subject/>
  <dc:creator>Peggy Leong</dc:creator>
  <cp:keywords/>
  <dc:description/>
  <cp:lastModifiedBy>Ifan Rossiter (2304255)</cp:lastModifiedBy>
  <cp:revision>2</cp:revision>
  <cp:lastPrinted>2012-11-05T16:54:00Z</cp:lastPrinted>
  <dcterms:created xsi:type="dcterms:W3CDTF">2025-02-28T01:14:00Z</dcterms:created>
  <dcterms:modified xsi:type="dcterms:W3CDTF">2025-02-28T01:14:00Z</dcterms:modified>
</cp:coreProperties>
</file>