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74580B"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5FB110B0"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6F731C">
        <w:rPr>
          <w:rFonts w:ascii="Arial" w:hAnsi="Arial" w:cs="Arial"/>
          <w:sz w:val="28"/>
          <w:szCs w:val="28"/>
          <w:lang w:val="nl-NL"/>
        </w:rPr>
        <w:t>Introduction to Health and</w:t>
      </w:r>
      <w:r w:rsidR="00BB0A82">
        <w:rPr>
          <w:rFonts w:ascii="Arial" w:hAnsi="Arial" w:cs="Arial"/>
          <w:sz w:val="28"/>
          <w:szCs w:val="28"/>
          <w:lang w:val="nl-NL"/>
        </w:rPr>
        <w:t xml:space="preserve"> Social Care </w:t>
      </w:r>
    </w:p>
    <w:p w14:paraId="537571AF" w14:textId="789A9A1A"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6F731C">
        <w:rPr>
          <w:rFonts w:ascii="Arial" w:hAnsi="Arial" w:cs="Arial"/>
          <w:sz w:val="28"/>
          <w:szCs w:val="28"/>
        </w:rPr>
        <w:t>LCHS4003</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4C9AC12D"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9D3814">
        <w:rPr>
          <w:rFonts w:ascii="Arial" w:hAnsi="Arial" w:cs="Arial"/>
          <w:sz w:val="28"/>
          <w:szCs w:val="28"/>
          <w:lang w:val="nl-NL"/>
        </w:rPr>
        <w:t>Brend</w:t>
      </w:r>
      <w:r w:rsidR="00331B99">
        <w:rPr>
          <w:rFonts w:ascii="Arial" w:hAnsi="Arial" w:cs="Arial"/>
          <w:sz w:val="28"/>
          <w:szCs w:val="28"/>
          <w:lang w:val="nl-NL"/>
        </w:rPr>
        <w:t xml:space="preserve">a da Silva Rodrigues Marciano </w:t>
      </w:r>
    </w:p>
    <w:p w14:paraId="39AA4413" w14:textId="6D276094"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331B99">
        <w:rPr>
          <w:rFonts w:ascii="Arial" w:hAnsi="Arial" w:cs="Arial"/>
          <w:sz w:val="28"/>
          <w:szCs w:val="28"/>
          <w:lang w:val="nl-NL"/>
        </w:rPr>
        <w:t>2509114</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1D931D67"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 xml:space="preserve">Lecturer’s </w:t>
      </w:r>
      <w:proofErr w:type="spellStart"/>
      <w:r>
        <w:rPr>
          <w:rFonts w:ascii="Arial" w:hAnsi="Arial" w:cs="Arial"/>
          <w:b/>
          <w:bCs/>
          <w:sz w:val="28"/>
          <w:szCs w:val="28"/>
        </w:rPr>
        <w:t>name</w:t>
      </w:r>
      <w:r w:rsidR="00074402" w:rsidRPr="00CD33A8">
        <w:rPr>
          <w:rFonts w:ascii="Arial" w:hAnsi="Arial" w:cs="Arial"/>
          <w:sz w:val="28"/>
          <w:szCs w:val="28"/>
        </w:rPr>
        <w:t>:</w:t>
      </w:r>
      <w:r w:rsidR="00331B99">
        <w:rPr>
          <w:rFonts w:ascii="Arial" w:hAnsi="Arial" w:cs="Arial"/>
          <w:sz w:val="28"/>
          <w:szCs w:val="28"/>
        </w:rPr>
        <w:t>Eleni</w:t>
      </w:r>
      <w:proofErr w:type="spellEnd"/>
      <w:r w:rsidR="00331B99">
        <w:rPr>
          <w:rFonts w:ascii="Arial" w:hAnsi="Arial" w:cs="Arial"/>
          <w:sz w:val="28"/>
          <w:szCs w:val="28"/>
        </w:rPr>
        <w:t xml:space="preserve"> </w:t>
      </w:r>
      <w:proofErr w:type="spellStart"/>
      <w:r w:rsidR="00BB0A82">
        <w:rPr>
          <w:rFonts w:ascii="Arial" w:hAnsi="Arial" w:cs="Arial"/>
          <w:sz w:val="28"/>
          <w:szCs w:val="28"/>
        </w:rPr>
        <w:t>Koutsogeorgou-Andreou</w:t>
      </w:r>
      <w:proofErr w:type="spellEnd"/>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6FAD1B4E" w14:textId="77777777" w:rsidR="003A261A" w:rsidRDefault="005035C7">
      <w:r>
        <w:lastRenderedPageBreak/>
        <w:t xml:space="preserve"> </w:t>
      </w:r>
    </w:p>
    <w:sdt>
      <w:sdtPr>
        <w:rPr>
          <w:color w:val="000000" w:themeColor="text1"/>
        </w:rPr>
        <w:id w:val="-1212107221"/>
        <w:docPartObj>
          <w:docPartGallery w:val="Table of Contents"/>
          <w:docPartUnique/>
        </w:docPartObj>
      </w:sdtPr>
      <w:sdtEndPr>
        <w:rPr>
          <w:rFonts w:ascii="Times New Roman" w:eastAsiaTheme="minorHAnsi" w:hAnsi="Times New Roman" w:cstheme="minorBidi"/>
          <w:noProof/>
          <w:color w:val="auto"/>
          <w:sz w:val="24"/>
          <w:szCs w:val="22"/>
          <w:lang w:val="en-GB"/>
        </w:rPr>
      </w:sdtEndPr>
      <w:sdtContent>
        <w:p w14:paraId="5EFD7EB6" w14:textId="501F4D2F" w:rsidR="003A261A" w:rsidRDefault="003A261A">
          <w:pPr>
            <w:pStyle w:val="TOCHeading"/>
            <w:rPr>
              <w:color w:val="000000" w:themeColor="text1"/>
            </w:rPr>
          </w:pPr>
          <w:r w:rsidRPr="00F10559">
            <w:rPr>
              <w:color w:val="000000" w:themeColor="text1"/>
            </w:rPr>
            <w:t>Table of Contents</w:t>
          </w:r>
        </w:p>
        <w:p w14:paraId="15D10913" w14:textId="77777777" w:rsidR="00275812" w:rsidRDefault="00275812" w:rsidP="00275812">
          <w:pPr>
            <w:rPr>
              <w:lang w:val="en-US"/>
            </w:rPr>
          </w:pPr>
        </w:p>
        <w:p w14:paraId="00E5ADED" w14:textId="77777777" w:rsidR="00275812" w:rsidRPr="00275812" w:rsidRDefault="00275812" w:rsidP="00275812">
          <w:pPr>
            <w:rPr>
              <w:lang w:val="en-US"/>
            </w:rPr>
          </w:pPr>
        </w:p>
        <w:p w14:paraId="6E7AE686" w14:textId="35F84026" w:rsidR="003A261A" w:rsidRDefault="003A261A">
          <w:pPr>
            <w:pStyle w:val="TOC2"/>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6972301" w:history="1">
            <w:r w:rsidRPr="00C82240">
              <w:rPr>
                <w:rStyle w:val="Hyperlink"/>
                <w:rFonts w:ascii="Arial" w:eastAsia="Times New Roman" w:hAnsi="Arial" w:cs="Arial"/>
                <w:b/>
                <w:bCs/>
                <w:noProof/>
                <w:lang w:eastAsia="en-GB"/>
              </w:rPr>
              <w:t>1. Introduction</w:t>
            </w:r>
            <w:r>
              <w:rPr>
                <w:noProof/>
                <w:webHidden/>
              </w:rPr>
              <w:tab/>
            </w:r>
            <w:r>
              <w:rPr>
                <w:noProof/>
                <w:webHidden/>
              </w:rPr>
              <w:fldChar w:fldCharType="begin"/>
            </w:r>
            <w:r>
              <w:rPr>
                <w:noProof/>
                <w:webHidden/>
              </w:rPr>
              <w:instrText xml:space="preserve"> PAGEREF _Toc226972301 \h </w:instrText>
            </w:r>
            <w:r>
              <w:rPr>
                <w:noProof/>
                <w:webHidden/>
              </w:rPr>
            </w:r>
            <w:r>
              <w:rPr>
                <w:noProof/>
                <w:webHidden/>
              </w:rPr>
              <w:fldChar w:fldCharType="separate"/>
            </w:r>
            <w:r>
              <w:rPr>
                <w:noProof/>
                <w:webHidden/>
              </w:rPr>
              <w:t>3</w:t>
            </w:r>
            <w:r>
              <w:rPr>
                <w:noProof/>
                <w:webHidden/>
              </w:rPr>
              <w:fldChar w:fldCharType="end"/>
            </w:r>
          </w:hyperlink>
        </w:p>
        <w:p w14:paraId="7BEA9CE2" w14:textId="14F6D56C" w:rsidR="003A261A" w:rsidRDefault="003A261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972302" w:history="1">
            <w:r w:rsidRPr="00C82240">
              <w:rPr>
                <w:rStyle w:val="Hyperlink"/>
                <w:rFonts w:ascii="Arial" w:eastAsia="Times New Roman" w:hAnsi="Arial" w:cs="Arial"/>
                <w:b/>
                <w:bCs/>
                <w:noProof/>
                <w:lang w:eastAsia="en-GB"/>
              </w:rPr>
              <w:t>2. The Importance of Effective Communication</w:t>
            </w:r>
            <w:r>
              <w:rPr>
                <w:noProof/>
                <w:webHidden/>
              </w:rPr>
              <w:tab/>
            </w:r>
            <w:r>
              <w:rPr>
                <w:noProof/>
                <w:webHidden/>
              </w:rPr>
              <w:fldChar w:fldCharType="begin"/>
            </w:r>
            <w:r>
              <w:rPr>
                <w:noProof/>
                <w:webHidden/>
              </w:rPr>
              <w:instrText xml:space="preserve"> PAGEREF _Toc226972302 \h </w:instrText>
            </w:r>
            <w:r>
              <w:rPr>
                <w:noProof/>
                <w:webHidden/>
              </w:rPr>
            </w:r>
            <w:r>
              <w:rPr>
                <w:noProof/>
                <w:webHidden/>
              </w:rPr>
              <w:fldChar w:fldCharType="separate"/>
            </w:r>
            <w:r>
              <w:rPr>
                <w:noProof/>
                <w:webHidden/>
              </w:rPr>
              <w:t>3</w:t>
            </w:r>
            <w:r>
              <w:rPr>
                <w:noProof/>
                <w:webHidden/>
              </w:rPr>
              <w:fldChar w:fldCharType="end"/>
            </w:r>
          </w:hyperlink>
        </w:p>
        <w:p w14:paraId="72919431" w14:textId="5D626AB5" w:rsidR="003A261A" w:rsidRDefault="003A261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972303" w:history="1">
            <w:r w:rsidRPr="00C82240">
              <w:rPr>
                <w:rStyle w:val="Hyperlink"/>
                <w:rFonts w:ascii="Arial" w:eastAsia="Times New Roman" w:hAnsi="Arial" w:cs="Arial"/>
                <w:b/>
                <w:bCs/>
                <w:noProof/>
                <w:lang w:eastAsia="en-GB"/>
              </w:rPr>
              <w:t>3. Importance of good administrative skills.</w:t>
            </w:r>
            <w:r>
              <w:rPr>
                <w:noProof/>
                <w:webHidden/>
              </w:rPr>
              <w:tab/>
            </w:r>
            <w:r>
              <w:rPr>
                <w:noProof/>
                <w:webHidden/>
              </w:rPr>
              <w:fldChar w:fldCharType="begin"/>
            </w:r>
            <w:r>
              <w:rPr>
                <w:noProof/>
                <w:webHidden/>
              </w:rPr>
              <w:instrText xml:space="preserve"> PAGEREF _Toc226972303 \h </w:instrText>
            </w:r>
            <w:r>
              <w:rPr>
                <w:noProof/>
                <w:webHidden/>
              </w:rPr>
            </w:r>
            <w:r>
              <w:rPr>
                <w:noProof/>
                <w:webHidden/>
              </w:rPr>
              <w:fldChar w:fldCharType="separate"/>
            </w:r>
            <w:r>
              <w:rPr>
                <w:noProof/>
                <w:webHidden/>
              </w:rPr>
              <w:t>3</w:t>
            </w:r>
            <w:r>
              <w:rPr>
                <w:noProof/>
                <w:webHidden/>
              </w:rPr>
              <w:fldChar w:fldCharType="end"/>
            </w:r>
          </w:hyperlink>
        </w:p>
        <w:p w14:paraId="55EF1303" w14:textId="784026B9" w:rsidR="003A261A" w:rsidRDefault="003A261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972304" w:history="1">
            <w:r w:rsidRPr="00C82240">
              <w:rPr>
                <w:rStyle w:val="Hyperlink"/>
                <w:rFonts w:ascii="Arial" w:eastAsia="Times New Roman" w:hAnsi="Arial" w:cs="Arial"/>
                <w:b/>
                <w:bCs/>
                <w:noProof/>
                <w:lang w:eastAsia="en-GB"/>
              </w:rPr>
              <w:t>4. Importance of working collaboratively.</w:t>
            </w:r>
            <w:r>
              <w:rPr>
                <w:noProof/>
                <w:webHidden/>
              </w:rPr>
              <w:tab/>
            </w:r>
            <w:r>
              <w:rPr>
                <w:noProof/>
                <w:webHidden/>
              </w:rPr>
              <w:fldChar w:fldCharType="begin"/>
            </w:r>
            <w:r>
              <w:rPr>
                <w:noProof/>
                <w:webHidden/>
              </w:rPr>
              <w:instrText xml:space="preserve"> PAGEREF _Toc226972304 \h </w:instrText>
            </w:r>
            <w:r>
              <w:rPr>
                <w:noProof/>
                <w:webHidden/>
              </w:rPr>
            </w:r>
            <w:r>
              <w:rPr>
                <w:noProof/>
                <w:webHidden/>
              </w:rPr>
              <w:fldChar w:fldCharType="separate"/>
            </w:r>
            <w:r>
              <w:rPr>
                <w:noProof/>
                <w:webHidden/>
              </w:rPr>
              <w:t>4</w:t>
            </w:r>
            <w:r>
              <w:rPr>
                <w:noProof/>
                <w:webHidden/>
              </w:rPr>
              <w:fldChar w:fldCharType="end"/>
            </w:r>
          </w:hyperlink>
        </w:p>
        <w:p w14:paraId="4FB933A1" w14:textId="24E93765" w:rsidR="003A261A" w:rsidRDefault="003A261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972305" w:history="1">
            <w:r w:rsidRPr="00C82240">
              <w:rPr>
                <w:rStyle w:val="Hyperlink"/>
                <w:rFonts w:ascii="Arial" w:eastAsia="Times New Roman" w:hAnsi="Arial" w:cs="Arial"/>
                <w:b/>
                <w:bCs/>
                <w:noProof/>
                <w:lang w:eastAsia="en-GB"/>
              </w:rPr>
              <w:t>5. Conclusion.</w:t>
            </w:r>
            <w:r>
              <w:rPr>
                <w:noProof/>
                <w:webHidden/>
              </w:rPr>
              <w:tab/>
            </w:r>
            <w:r>
              <w:rPr>
                <w:noProof/>
                <w:webHidden/>
              </w:rPr>
              <w:fldChar w:fldCharType="begin"/>
            </w:r>
            <w:r>
              <w:rPr>
                <w:noProof/>
                <w:webHidden/>
              </w:rPr>
              <w:instrText xml:space="preserve"> PAGEREF _Toc226972305 \h </w:instrText>
            </w:r>
            <w:r>
              <w:rPr>
                <w:noProof/>
                <w:webHidden/>
              </w:rPr>
            </w:r>
            <w:r>
              <w:rPr>
                <w:noProof/>
                <w:webHidden/>
              </w:rPr>
              <w:fldChar w:fldCharType="separate"/>
            </w:r>
            <w:r>
              <w:rPr>
                <w:noProof/>
                <w:webHidden/>
              </w:rPr>
              <w:t>5</w:t>
            </w:r>
            <w:r>
              <w:rPr>
                <w:noProof/>
                <w:webHidden/>
              </w:rPr>
              <w:fldChar w:fldCharType="end"/>
            </w:r>
          </w:hyperlink>
        </w:p>
        <w:p w14:paraId="0EFE83A7" w14:textId="4C4E5AE2" w:rsidR="003A261A" w:rsidRDefault="003A261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6972306" w:history="1">
            <w:r w:rsidRPr="00C82240">
              <w:rPr>
                <w:rStyle w:val="Hyperlink"/>
                <w:rFonts w:ascii="Arial" w:eastAsia="Times New Roman" w:hAnsi="Arial" w:cs="Arial"/>
                <w:b/>
                <w:bCs/>
                <w:noProof/>
                <w:lang w:eastAsia="en-GB"/>
              </w:rPr>
              <w:t xml:space="preserve">References </w:t>
            </w:r>
            <w:r w:rsidRPr="00C82240">
              <w:rPr>
                <w:rStyle w:val="Hyperlink"/>
                <w:rFonts w:ascii="Arial" w:hAnsi="Arial" w:cs="Arial"/>
                <w:noProof/>
                <w:lang w:eastAsia="en-GB"/>
              </w:rPr>
              <w:t>(Accessed: 13 April 2026)</w:t>
            </w:r>
            <w:r>
              <w:rPr>
                <w:noProof/>
                <w:webHidden/>
              </w:rPr>
              <w:tab/>
            </w:r>
            <w:r>
              <w:rPr>
                <w:noProof/>
                <w:webHidden/>
              </w:rPr>
              <w:fldChar w:fldCharType="begin"/>
            </w:r>
            <w:r>
              <w:rPr>
                <w:noProof/>
                <w:webHidden/>
              </w:rPr>
              <w:instrText xml:space="preserve"> PAGEREF _Toc226972306 \h </w:instrText>
            </w:r>
            <w:r>
              <w:rPr>
                <w:noProof/>
                <w:webHidden/>
              </w:rPr>
            </w:r>
            <w:r>
              <w:rPr>
                <w:noProof/>
                <w:webHidden/>
              </w:rPr>
              <w:fldChar w:fldCharType="separate"/>
            </w:r>
            <w:r>
              <w:rPr>
                <w:noProof/>
                <w:webHidden/>
              </w:rPr>
              <w:t>6</w:t>
            </w:r>
            <w:r>
              <w:rPr>
                <w:noProof/>
                <w:webHidden/>
              </w:rPr>
              <w:fldChar w:fldCharType="end"/>
            </w:r>
          </w:hyperlink>
        </w:p>
        <w:p w14:paraId="3DF3043A" w14:textId="75015B7A" w:rsidR="003A261A" w:rsidRDefault="003A261A">
          <w:r>
            <w:rPr>
              <w:b/>
              <w:bCs/>
              <w:noProof/>
            </w:rPr>
            <w:fldChar w:fldCharType="end"/>
          </w:r>
        </w:p>
      </w:sdtContent>
    </w:sdt>
    <w:p w14:paraId="61DB32C4" w14:textId="3E697B54" w:rsidR="005035C7" w:rsidRDefault="005035C7"/>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60086AAE" w14:textId="77777777" w:rsidR="002F1DBA" w:rsidRPr="003E58E9" w:rsidRDefault="002F1DBA" w:rsidP="002F1DBA">
      <w:pPr>
        <w:spacing w:before="100" w:beforeAutospacing="1" w:after="100" w:afterAutospacing="1" w:line="240" w:lineRule="auto"/>
        <w:outlineLvl w:val="1"/>
        <w:rPr>
          <w:rFonts w:ascii="Arial" w:eastAsia="Times New Roman" w:hAnsi="Arial" w:cs="Arial"/>
          <w:b/>
          <w:bCs/>
          <w:color w:val="000000"/>
          <w:sz w:val="22"/>
          <w:lang w:eastAsia="en-GB"/>
        </w:rPr>
      </w:pPr>
      <w:bookmarkStart w:id="0" w:name="_Toc226971067"/>
      <w:bookmarkStart w:id="1" w:name="_Toc226972301"/>
      <w:r w:rsidRPr="003E58E9">
        <w:rPr>
          <w:rFonts w:ascii="Arial" w:eastAsia="Times New Roman" w:hAnsi="Arial" w:cs="Arial"/>
          <w:b/>
          <w:bCs/>
          <w:color w:val="000000"/>
          <w:sz w:val="22"/>
          <w:lang w:eastAsia="en-GB"/>
        </w:rPr>
        <w:lastRenderedPageBreak/>
        <w:t>1. Introduction</w:t>
      </w:r>
      <w:bookmarkEnd w:id="0"/>
      <w:bookmarkEnd w:id="1"/>
    </w:p>
    <w:p w14:paraId="40FD86F3" w14:textId="4B9F3B0B" w:rsidR="00644D3D" w:rsidRPr="00597D08" w:rsidRDefault="00644D3D">
      <w:pPr>
        <w:pStyle w:val="NormalWeb"/>
        <w:rPr>
          <w:rFonts w:ascii="Arial" w:hAnsi="Arial" w:cs="Arial"/>
          <w:color w:val="000000"/>
          <w:sz w:val="22"/>
          <w:szCs w:val="22"/>
        </w:rPr>
      </w:pPr>
      <w:r w:rsidRPr="00597D08">
        <w:rPr>
          <w:rFonts w:ascii="Arial" w:hAnsi="Arial" w:cs="Arial"/>
          <w:color w:val="000000"/>
          <w:sz w:val="22"/>
          <w:szCs w:val="22"/>
        </w:rPr>
        <w:t>The provision of health and social care for individuals with complex needs requires a multidimensional approach that transcends simple medical intervention. This report provides a comprehensive analysis of the care provision for Mr. Ahmed, a 68year old stroke survivor living in a domiciliary setting. Mr. Ahmed’s situation is multifaceted, involving physical disability, neurological impairment aphasia, and cultural and linguistic barriers.</w:t>
      </w:r>
    </w:p>
    <w:p w14:paraId="592EE394" w14:textId="77777777" w:rsidR="00644D3D" w:rsidRPr="00597D08" w:rsidRDefault="00644D3D">
      <w:pPr>
        <w:pStyle w:val="NormalWeb"/>
        <w:rPr>
          <w:rFonts w:ascii="Arial" w:hAnsi="Arial" w:cs="Arial"/>
          <w:color w:val="000000"/>
          <w:sz w:val="22"/>
          <w:szCs w:val="22"/>
        </w:rPr>
      </w:pPr>
      <w:r w:rsidRPr="00597D08">
        <w:rPr>
          <w:rFonts w:ascii="Arial" w:hAnsi="Arial" w:cs="Arial"/>
          <w:color w:val="000000"/>
          <w:sz w:val="22"/>
          <w:szCs w:val="22"/>
        </w:rPr>
        <w:t>The primary objective of this analysis is to examine three critical pillars of professional practice:</w:t>
      </w:r>
      <w:r w:rsidRPr="00597D08">
        <w:rPr>
          <w:rStyle w:val="apple-converted-space"/>
          <w:rFonts w:ascii="Arial" w:hAnsi="Arial" w:cs="Arial"/>
          <w:color w:val="000000"/>
          <w:sz w:val="22"/>
          <w:szCs w:val="22"/>
        </w:rPr>
        <w:t> </w:t>
      </w:r>
      <w:r w:rsidRPr="00597D08">
        <w:rPr>
          <w:rFonts w:ascii="Arial" w:hAnsi="Arial" w:cs="Arial"/>
          <w:color w:val="000000"/>
          <w:sz w:val="22"/>
          <w:szCs w:val="22"/>
        </w:rPr>
        <w:t>effective communication, administrative proficiency, and collaborative multi-agency working.</w:t>
      </w:r>
      <w:r w:rsidRPr="00597D08">
        <w:rPr>
          <w:rStyle w:val="apple-converted-space"/>
          <w:rFonts w:ascii="Arial" w:hAnsi="Arial" w:cs="Arial"/>
          <w:color w:val="000000"/>
          <w:sz w:val="22"/>
          <w:szCs w:val="22"/>
        </w:rPr>
        <w:t> </w:t>
      </w:r>
      <w:r w:rsidRPr="00597D08">
        <w:rPr>
          <w:rFonts w:ascii="Arial" w:hAnsi="Arial" w:cs="Arial"/>
          <w:color w:val="000000"/>
          <w:sz w:val="22"/>
          <w:szCs w:val="22"/>
        </w:rPr>
        <w:t>The report evaluates the critical role of communication in overcoming language barriers and fulfilling the legal mandates of the</w:t>
      </w:r>
      <w:r w:rsidRPr="00597D08">
        <w:rPr>
          <w:rStyle w:val="apple-converted-space"/>
          <w:rFonts w:ascii="Arial" w:hAnsi="Arial" w:cs="Arial"/>
          <w:color w:val="000000"/>
          <w:sz w:val="22"/>
          <w:szCs w:val="22"/>
        </w:rPr>
        <w:t> </w:t>
      </w:r>
      <w:r w:rsidRPr="00597D08">
        <w:rPr>
          <w:rFonts w:ascii="Arial" w:hAnsi="Arial" w:cs="Arial"/>
          <w:color w:val="000000"/>
          <w:sz w:val="22"/>
          <w:szCs w:val="22"/>
        </w:rPr>
        <w:t>Equality Act 2010. Furthermore, it scrutinises the significance of rigorous record-keeping and data management in alignment with the</w:t>
      </w:r>
      <w:r w:rsidRPr="00597D08">
        <w:rPr>
          <w:rStyle w:val="apple-converted-space"/>
          <w:rFonts w:ascii="Arial" w:hAnsi="Arial" w:cs="Arial"/>
          <w:color w:val="000000"/>
          <w:sz w:val="22"/>
          <w:szCs w:val="22"/>
        </w:rPr>
        <w:t> </w:t>
      </w:r>
      <w:r w:rsidRPr="00597D08">
        <w:rPr>
          <w:rFonts w:ascii="Arial" w:hAnsi="Arial" w:cs="Arial"/>
          <w:color w:val="000000"/>
          <w:sz w:val="22"/>
          <w:szCs w:val="22"/>
        </w:rPr>
        <w:t>Data Protection Act 2018 (DPA)</w:t>
      </w:r>
      <w:r w:rsidRPr="00597D08">
        <w:rPr>
          <w:rStyle w:val="apple-converted-space"/>
          <w:rFonts w:ascii="Arial" w:hAnsi="Arial" w:cs="Arial"/>
          <w:color w:val="000000"/>
          <w:sz w:val="22"/>
          <w:szCs w:val="22"/>
        </w:rPr>
        <w:t> </w:t>
      </w:r>
      <w:r w:rsidRPr="00597D08">
        <w:rPr>
          <w:rFonts w:ascii="Arial" w:hAnsi="Arial" w:cs="Arial"/>
          <w:color w:val="000000"/>
          <w:sz w:val="22"/>
          <w:szCs w:val="22"/>
        </w:rPr>
        <w:t>and</w:t>
      </w:r>
      <w:r w:rsidRPr="00597D08">
        <w:rPr>
          <w:rStyle w:val="apple-converted-space"/>
          <w:rFonts w:ascii="Arial" w:hAnsi="Arial" w:cs="Arial"/>
          <w:color w:val="000000"/>
          <w:sz w:val="22"/>
          <w:szCs w:val="22"/>
        </w:rPr>
        <w:t> </w:t>
      </w:r>
      <w:r w:rsidRPr="00597D08">
        <w:rPr>
          <w:rFonts w:ascii="Arial" w:hAnsi="Arial" w:cs="Arial"/>
          <w:color w:val="000000"/>
          <w:sz w:val="22"/>
          <w:szCs w:val="22"/>
        </w:rPr>
        <w:t>UK GDPR, particularly in light of a serious medication error. Finally, it discusses how integrated working between GPs, district nurses, therapists, and social care providers is essential to safeguard the dignity, autonomy, and recovery of service users. By synthesising academic models with legislative frameworks, this case demonstrates that patient safety is an emergent property of a well-coordinated system.</w:t>
      </w:r>
    </w:p>
    <w:p w14:paraId="74B95AD0" w14:textId="77777777" w:rsidR="002F1DBA" w:rsidRPr="003E58E9" w:rsidRDefault="002F1DBA" w:rsidP="002F1DBA">
      <w:pPr>
        <w:spacing w:before="100" w:beforeAutospacing="1" w:after="100" w:afterAutospacing="1" w:line="240" w:lineRule="auto"/>
        <w:outlineLvl w:val="1"/>
        <w:rPr>
          <w:rFonts w:ascii="Arial" w:eastAsia="Times New Roman" w:hAnsi="Arial" w:cs="Arial"/>
          <w:b/>
          <w:bCs/>
          <w:color w:val="000000"/>
          <w:sz w:val="22"/>
          <w:lang w:eastAsia="en-GB"/>
        </w:rPr>
      </w:pPr>
      <w:bookmarkStart w:id="2" w:name="_Toc226971068"/>
      <w:bookmarkStart w:id="3" w:name="_Toc226972302"/>
      <w:r w:rsidRPr="003E58E9">
        <w:rPr>
          <w:rFonts w:ascii="Arial" w:eastAsia="Times New Roman" w:hAnsi="Arial" w:cs="Arial"/>
          <w:b/>
          <w:bCs/>
          <w:color w:val="000000"/>
          <w:sz w:val="22"/>
          <w:lang w:eastAsia="en-GB"/>
        </w:rPr>
        <w:t>2. The Importance of Effective Communication</w:t>
      </w:r>
      <w:bookmarkEnd w:id="2"/>
      <w:bookmarkEnd w:id="3"/>
    </w:p>
    <w:p w14:paraId="05DDC0EC" w14:textId="332A058E" w:rsidR="002F1DBA" w:rsidRPr="00B95B52" w:rsidRDefault="002F1DBA" w:rsidP="002F1DBA">
      <w:pPr>
        <w:spacing w:before="100" w:beforeAutospacing="1" w:after="100" w:afterAutospacing="1" w:line="240" w:lineRule="auto"/>
        <w:rPr>
          <w:rFonts w:ascii="Arial" w:eastAsiaTheme="minorEastAsia" w:hAnsi="Arial" w:cs="Arial"/>
          <w:color w:val="000000"/>
          <w:sz w:val="22"/>
          <w:lang w:eastAsia="en-GB"/>
        </w:rPr>
      </w:pPr>
      <w:r w:rsidRPr="00B95B52">
        <w:rPr>
          <w:rFonts w:ascii="Arial" w:eastAsiaTheme="minorEastAsia" w:hAnsi="Arial" w:cs="Arial"/>
          <w:color w:val="000000"/>
          <w:sz w:val="22"/>
          <w:lang w:eastAsia="en-GB"/>
        </w:rPr>
        <w:t>Communication is the foundation of the human connection in care. For Mr. Ahmed, aphasia and a language barrier create a double silence that can lead to profound frustration and isolation. Humanising his care means seeing past the stroke to the man who needs to be heard. Under the Equality Act 2010, Mr. Ahmed is protected against discrimination based on his disability and race. These reasonable adjustments are not just legal boxes to tick but moral imperatives. Relying on his wife to translate medical information might seem convenient, but it strips Mr. Ahmed of his privacy and autonomy. To truly respect him, care providers must use professional interpreters or translated materials, ensuring that Mr. Ahmed remains the protagonist of his own recovery journey.</w:t>
      </w:r>
    </w:p>
    <w:p w14:paraId="273ECBAB" w14:textId="1EF9F4F6" w:rsidR="002F1DBA" w:rsidRPr="00B95B52" w:rsidRDefault="002F1DBA" w:rsidP="002F1DBA">
      <w:pPr>
        <w:spacing w:before="100" w:beforeAutospacing="1" w:after="100" w:afterAutospacing="1" w:line="240" w:lineRule="auto"/>
        <w:rPr>
          <w:rFonts w:ascii="Arial" w:eastAsiaTheme="minorEastAsia" w:hAnsi="Arial" w:cs="Arial"/>
          <w:color w:val="000000"/>
          <w:sz w:val="22"/>
          <w:lang w:eastAsia="en-GB"/>
        </w:rPr>
      </w:pPr>
      <w:r w:rsidRPr="00B95B52">
        <w:rPr>
          <w:rFonts w:ascii="Arial" w:eastAsiaTheme="minorEastAsia" w:hAnsi="Arial" w:cs="Arial"/>
          <w:color w:val="000000"/>
          <w:sz w:val="22"/>
          <w:lang w:eastAsia="en-GB"/>
        </w:rPr>
        <w:t xml:space="preserve">To understand why communication often fails, we can apply </w:t>
      </w:r>
      <w:r w:rsidR="002B0112" w:rsidRPr="00B95B52">
        <w:rPr>
          <w:rFonts w:ascii="Arial" w:eastAsiaTheme="minorEastAsia" w:hAnsi="Arial" w:cs="Arial"/>
          <w:color w:val="000000"/>
          <w:sz w:val="22"/>
          <w:lang w:eastAsia="en-GB"/>
        </w:rPr>
        <w:t>Schema’s</w:t>
      </w:r>
      <w:r w:rsidRPr="00B95B52">
        <w:rPr>
          <w:rFonts w:ascii="Arial" w:eastAsiaTheme="minorEastAsia" w:hAnsi="Arial" w:cs="Arial"/>
          <w:color w:val="000000"/>
          <w:sz w:val="22"/>
          <w:lang w:eastAsia="en-GB"/>
        </w:rPr>
        <w:t xml:space="preserve"> Model of Communication, which emphasises the field of experience</w:t>
      </w:r>
      <w:r w:rsidR="008917A7">
        <w:rPr>
          <w:rFonts w:ascii="Arial" w:eastAsiaTheme="minorEastAsia" w:hAnsi="Arial" w:cs="Arial"/>
          <w:color w:val="000000"/>
          <w:sz w:val="22"/>
          <w:lang w:eastAsia="en-GB"/>
        </w:rPr>
        <w:t xml:space="preserve"> </w:t>
      </w:r>
      <w:r w:rsidRPr="00B95B52">
        <w:rPr>
          <w:rFonts w:ascii="Arial" w:eastAsiaTheme="minorEastAsia" w:hAnsi="Arial" w:cs="Arial"/>
          <w:color w:val="000000"/>
          <w:sz w:val="22"/>
          <w:lang w:eastAsia="en-GB"/>
        </w:rPr>
        <w:t>the sum of a person’s culture, health, and history. Mr. Ahmed’s stroke creates significant internal noise that makes decoding English instructions exhausting. A human-centred approach requires an active feedback loop where, instead of simply speaking at him, the carer must wait, watch for non-verbal cues, and use teach</w:t>
      </w:r>
      <w:r w:rsidR="00A43DED">
        <w:rPr>
          <w:rFonts w:ascii="Arial" w:eastAsiaTheme="minorEastAsia" w:hAnsi="Arial" w:cs="Arial"/>
          <w:color w:val="000000"/>
          <w:sz w:val="22"/>
          <w:lang w:eastAsia="en-GB"/>
        </w:rPr>
        <w:t xml:space="preserve"> </w:t>
      </w:r>
      <w:r w:rsidRPr="00B95B52">
        <w:rPr>
          <w:rFonts w:ascii="Arial" w:eastAsiaTheme="minorEastAsia" w:hAnsi="Arial" w:cs="Arial"/>
          <w:color w:val="000000"/>
          <w:sz w:val="22"/>
          <w:lang w:eastAsia="en-GB"/>
        </w:rPr>
        <w:t>back methods to ensure he has truly understood the message. Strategies to support Mr. Ahmed include the use of visual aids, such as flashcards or pictorial scales for pain and hunger, which give a voice back to a man who has lost his ability to speak fluently. Furthermore, cultural competence in acknowledging his Bengali heritage through dietary preferences or prayer times shows Mr. Ahmed that he is seen as a whole person rather than just a patient.</w:t>
      </w:r>
    </w:p>
    <w:p w14:paraId="2F181FDC" w14:textId="42C2D33F" w:rsidR="002F1DBA" w:rsidRPr="003E58E9" w:rsidRDefault="002F1DBA" w:rsidP="002F1DBA">
      <w:pPr>
        <w:spacing w:before="100" w:beforeAutospacing="1" w:after="100" w:afterAutospacing="1" w:line="240" w:lineRule="auto"/>
        <w:outlineLvl w:val="1"/>
        <w:rPr>
          <w:rFonts w:ascii="Arial" w:eastAsia="Times New Roman" w:hAnsi="Arial" w:cs="Arial"/>
          <w:b/>
          <w:bCs/>
          <w:color w:val="000000"/>
          <w:sz w:val="22"/>
          <w:lang w:eastAsia="en-GB"/>
        </w:rPr>
      </w:pPr>
      <w:bookmarkStart w:id="4" w:name="_Toc226971069"/>
      <w:bookmarkStart w:id="5" w:name="_Toc226972303"/>
      <w:r w:rsidRPr="003E58E9">
        <w:rPr>
          <w:rFonts w:ascii="Arial" w:eastAsia="Times New Roman" w:hAnsi="Arial" w:cs="Arial"/>
          <w:b/>
          <w:bCs/>
          <w:color w:val="000000"/>
          <w:sz w:val="22"/>
          <w:lang w:eastAsia="en-GB"/>
        </w:rPr>
        <w:t xml:space="preserve">3. </w:t>
      </w:r>
      <w:r w:rsidR="00FA55FE">
        <w:rPr>
          <w:rFonts w:ascii="Arial" w:eastAsia="Times New Roman" w:hAnsi="Arial" w:cs="Arial"/>
          <w:b/>
          <w:bCs/>
          <w:color w:val="000000"/>
          <w:sz w:val="22"/>
          <w:lang w:eastAsia="en-GB"/>
        </w:rPr>
        <w:t>Importance of good administrative skills.</w:t>
      </w:r>
      <w:bookmarkEnd w:id="4"/>
      <w:bookmarkEnd w:id="5"/>
    </w:p>
    <w:p w14:paraId="4B8B125D" w14:textId="77777777" w:rsidR="002F1DBA" w:rsidRPr="00B95B52" w:rsidRDefault="002F1DBA" w:rsidP="002F1DBA">
      <w:pPr>
        <w:spacing w:before="100" w:beforeAutospacing="1" w:after="100" w:afterAutospacing="1" w:line="240" w:lineRule="auto"/>
        <w:rPr>
          <w:rFonts w:ascii="Arial" w:eastAsiaTheme="minorEastAsia" w:hAnsi="Arial" w:cs="Arial"/>
          <w:color w:val="000000"/>
          <w:sz w:val="22"/>
          <w:lang w:eastAsia="en-GB"/>
        </w:rPr>
      </w:pPr>
      <w:r w:rsidRPr="00B95B52">
        <w:rPr>
          <w:rFonts w:ascii="Arial" w:eastAsiaTheme="minorEastAsia" w:hAnsi="Arial" w:cs="Arial"/>
          <w:color w:val="000000"/>
          <w:sz w:val="22"/>
          <w:lang w:eastAsia="en-GB"/>
        </w:rPr>
        <w:t>When we think of administration, we often think of paperwork; however, in Mr. Ahmed’s case, a scheduling error led to a missed medication dose, which is a failure that could have had fatal consequences. Administrative proficiency is, therefore, an act of protection. The Data Protection Act 2018 and UK GDPR mandate that personal data be handled with accuracy and integrity. In social care, an inaccurate record is a dangerous record. The missed visit suggests a breakdown in the digital or paper systems designed to protect Mr. Ahmed. Professionalism requires that his records are stored securely but remain accessible to the entire team, ensuring that no vital detail falls through the cracks.</w:t>
      </w:r>
    </w:p>
    <w:p w14:paraId="5EF32B23" w14:textId="1192B375" w:rsidR="00D91F31" w:rsidRPr="00E82838" w:rsidRDefault="002F1DBA" w:rsidP="00E42109">
      <w:pPr>
        <w:spacing w:before="100" w:beforeAutospacing="1" w:after="100" w:afterAutospacing="1" w:line="240" w:lineRule="auto"/>
        <w:rPr>
          <w:rFonts w:ascii="Arial" w:eastAsiaTheme="minorEastAsia" w:hAnsi="Arial" w:cs="Arial"/>
          <w:color w:val="000000"/>
          <w:sz w:val="22"/>
          <w:lang w:eastAsia="en-GB"/>
        </w:rPr>
      </w:pPr>
      <w:r w:rsidRPr="00E82838">
        <w:rPr>
          <w:rFonts w:ascii="Arial" w:eastAsiaTheme="minorEastAsia" w:hAnsi="Arial" w:cs="Arial"/>
          <w:color w:val="000000"/>
          <w:sz w:val="22"/>
          <w:lang w:eastAsia="en-GB"/>
        </w:rPr>
        <w:lastRenderedPageBreak/>
        <w:t>Good record-keeping is a clinical necessity, as highlighted by the Care Quality Commission (2024). Humanising administration means understanding that behind every data point is a human life. Contemporaneous notes, written at the time of care, ensure that the next professional entering Mr. Ahmed’s home knows exactly what has happened. This prevents fragmentation of care and reduces the risk of clinical negligence. Without a clear audit trail, it is impossible to learn from mistakes like the missed medication, leaving Mr. Ahmed and others at risk of repeated errors. Therefore, robust administration acts as a silent but vital guardian of the service user's physical well-being.</w:t>
      </w:r>
    </w:p>
    <w:p w14:paraId="580B947A" w14:textId="0FFC591B" w:rsidR="002F1DBA" w:rsidRPr="00E82838" w:rsidRDefault="002F1DBA" w:rsidP="002F1DBA">
      <w:pPr>
        <w:spacing w:before="100" w:beforeAutospacing="1" w:after="100" w:afterAutospacing="1" w:line="240" w:lineRule="auto"/>
        <w:outlineLvl w:val="1"/>
        <w:rPr>
          <w:rFonts w:ascii="Arial" w:eastAsia="Times New Roman" w:hAnsi="Arial" w:cs="Arial"/>
          <w:color w:val="000000"/>
          <w:sz w:val="22"/>
          <w:lang w:eastAsia="en-GB"/>
        </w:rPr>
      </w:pPr>
      <w:bookmarkStart w:id="6" w:name="_Toc226971070"/>
      <w:bookmarkStart w:id="7" w:name="_Toc226972304"/>
      <w:r w:rsidRPr="00E82838">
        <w:rPr>
          <w:rFonts w:ascii="Arial" w:eastAsia="Times New Roman" w:hAnsi="Arial" w:cs="Arial"/>
          <w:color w:val="000000"/>
          <w:sz w:val="22"/>
          <w:lang w:eastAsia="en-GB"/>
        </w:rPr>
        <w:t xml:space="preserve">4. </w:t>
      </w:r>
      <w:r w:rsidR="00A070D4" w:rsidRPr="00E82838">
        <w:rPr>
          <w:rFonts w:ascii="Arial" w:eastAsia="Times New Roman" w:hAnsi="Arial" w:cs="Arial"/>
          <w:color w:val="000000"/>
          <w:sz w:val="22"/>
          <w:lang w:eastAsia="en-GB"/>
        </w:rPr>
        <w:t>Importance of working collaboratively.</w:t>
      </w:r>
      <w:bookmarkEnd w:id="6"/>
      <w:bookmarkEnd w:id="7"/>
    </w:p>
    <w:p w14:paraId="0130B4DC" w14:textId="77777777" w:rsidR="00ED09A2" w:rsidRPr="00E82838" w:rsidRDefault="00ED09A2">
      <w:pPr>
        <w:pStyle w:val="NormalWeb"/>
        <w:rPr>
          <w:rFonts w:ascii="Arial" w:hAnsi="Arial" w:cs="Arial"/>
          <w:color w:val="000000"/>
          <w:sz w:val="22"/>
          <w:szCs w:val="22"/>
        </w:rPr>
      </w:pPr>
      <w:r w:rsidRPr="00E82838">
        <w:rPr>
          <w:rFonts w:ascii="Arial" w:hAnsi="Arial" w:cs="Arial"/>
          <w:color w:val="000000"/>
          <w:sz w:val="22"/>
          <w:szCs w:val="22"/>
        </w:rPr>
        <w:t>The complexity of Mr. Ahmed’s recovery necessitates a collaborative, multi-agency approach involving a diverse range of professionals, including his GP, district nurses, speech and language therapists (SLT), and domiciliary care workers. No single professional has the full range of skills required to address the multifaceted needs of a stroke survivor. Collaborative working, as defined by Larkin (2018), is the process of different agencies working together toward a common goal—in this case, Mr. Ahmed’s rehabilitation and safety. This integrated approach ensures that his care is holistic, addressing his physical, emotional, and social needs simultaneously, rather than being treated as a series of disconnected medical symptoms.</w:t>
      </w:r>
    </w:p>
    <w:p w14:paraId="44971026" w14:textId="77777777" w:rsidR="00ED09A2" w:rsidRPr="00E82838" w:rsidRDefault="00ED09A2">
      <w:pPr>
        <w:pStyle w:val="NormalWeb"/>
        <w:rPr>
          <w:rFonts w:ascii="Arial" w:hAnsi="Arial" w:cs="Arial"/>
          <w:color w:val="000000"/>
          <w:sz w:val="22"/>
          <w:szCs w:val="22"/>
        </w:rPr>
      </w:pPr>
      <w:r w:rsidRPr="00E82838">
        <w:rPr>
          <w:rFonts w:ascii="Arial" w:hAnsi="Arial" w:cs="Arial"/>
          <w:color w:val="000000"/>
          <w:sz w:val="22"/>
          <w:szCs w:val="22"/>
        </w:rPr>
        <w:t>A primary strategy for fostering this collaboration is the use of Multidisciplinary Team (MDT) meetings and shared electronic care records. These platforms allow the SLT to share specific communication and swallowing techniques with the front-line care workers, ensuring a consistent approach to Mr. Ahmed’s rehabilitation. However, multi-agency working is not without its challenges. Common barriers include siloed communication, conflicting professional priorities, and differing organisational cultures. For instance, a care worker may prioritise the immediate task of meal preparation, while the SLT prioritises the long-term goal of swallowing exercises. Without a culture of mutual interdependence, these tasks might conflict, leading to confusion for Mr. Ahmed and potential safety risks.</w:t>
      </w:r>
    </w:p>
    <w:p w14:paraId="72534C6F" w14:textId="77777777" w:rsidR="00ED09A2" w:rsidRPr="00E82838" w:rsidRDefault="00ED09A2">
      <w:pPr>
        <w:pStyle w:val="NormalWeb"/>
        <w:rPr>
          <w:rFonts w:ascii="Arial" w:hAnsi="Arial" w:cs="Arial"/>
          <w:color w:val="000000"/>
          <w:sz w:val="22"/>
          <w:szCs w:val="22"/>
        </w:rPr>
      </w:pPr>
      <w:r w:rsidRPr="00E82838">
        <w:rPr>
          <w:rFonts w:ascii="Arial" w:hAnsi="Arial" w:cs="Arial"/>
          <w:color w:val="000000"/>
          <w:sz w:val="22"/>
          <w:szCs w:val="22"/>
        </w:rPr>
        <w:t>To overcome these barriers and ensure clear communication during handovers, professionals should adopt standardised tools such as the SBAR framework (Situation, Background, Assessment, Recommendation). SBAR provides a concise and structured method for communicating essential information, which is particularly vital during a crisis such as a missed medication dose. For example, when the error was discovered, a professional using SBAR would state the situation (the missed dose), the background (Mr. Ahmed’s stroke and history), the assessment (his current clinical state and blood pressure), and the recommendation (urgent GP review). This structured approach reduces the risk of misinterpretation and ensures that the most critical information is prioritised.</w:t>
      </w:r>
    </w:p>
    <w:p w14:paraId="00A82056" w14:textId="4CC7A781" w:rsidR="00ED09A2" w:rsidRPr="00E82838" w:rsidRDefault="00ED09A2">
      <w:pPr>
        <w:pStyle w:val="NormalWeb"/>
        <w:rPr>
          <w:rFonts w:ascii="Arial" w:hAnsi="Arial" w:cs="Arial"/>
          <w:color w:val="000000"/>
          <w:sz w:val="22"/>
          <w:szCs w:val="22"/>
        </w:rPr>
      </w:pPr>
      <w:r w:rsidRPr="00E82838">
        <w:rPr>
          <w:rFonts w:ascii="Arial" w:hAnsi="Arial" w:cs="Arial"/>
          <w:color w:val="000000"/>
          <w:sz w:val="22"/>
          <w:szCs w:val="22"/>
        </w:rPr>
        <w:t>Collaborative working also plays a crucial role in safeguarding. The safety net created by multiple agencies watching over a service user means that errors made by one individual are more likely to be caught by another. In Mr. Ahmed’s case, if the care agency fails to visit, the district nurse or the therapist should have a mechanism to flag his absence. This level of integration requires a shift from a culture of independent operation to one of shared responsibility. By placing Mr. Ahmed at the centre of the MDT, professionals can ensure that their collective efforts are aligned with his personal goals and values. This person-centred collaboration is the hallmark of high-quality health and social care, transforming fragmented services into a cohesive support system that enhances the service user's quality of life and promotes a safer environment for recovery.</w:t>
      </w:r>
    </w:p>
    <w:p w14:paraId="33A7923B" w14:textId="77777777" w:rsidR="00D91F31" w:rsidRPr="00E82838" w:rsidRDefault="00D91F31" w:rsidP="002F1DBA">
      <w:pPr>
        <w:spacing w:before="100" w:beforeAutospacing="1" w:after="100" w:afterAutospacing="1" w:line="240" w:lineRule="auto"/>
        <w:outlineLvl w:val="1"/>
        <w:rPr>
          <w:rFonts w:ascii="Arial" w:eastAsia="Times New Roman" w:hAnsi="Arial" w:cs="Arial"/>
          <w:color w:val="000000"/>
          <w:sz w:val="22"/>
          <w:lang w:eastAsia="en-GB"/>
        </w:rPr>
      </w:pPr>
    </w:p>
    <w:p w14:paraId="5E85F37F" w14:textId="77777777" w:rsidR="00D91F31" w:rsidRPr="00E82838" w:rsidRDefault="00D91F31" w:rsidP="002F1DBA">
      <w:pPr>
        <w:spacing w:before="100" w:beforeAutospacing="1" w:after="100" w:afterAutospacing="1" w:line="240" w:lineRule="auto"/>
        <w:outlineLvl w:val="1"/>
        <w:rPr>
          <w:rFonts w:ascii="Arial" w:eastAsia="Times New Roman" w:hAnsi="Arial" w:cs="Arial"/>
          <w:color w:val="000000"/>
          <w:sz w:val="22"/>
          <w:lang w:eastAsia="en-GB"/>
        </w:rPr>
      </w:pPr>
    </w:p>
    <w:p w14:paraId="031F0488" w14:textId="3EA1C16B" w:rsidR="002F1DBA" w:rsidRPr="00E82838" w:rsidRDefault="002F1DBA" w:rsidP="002F1DBA">
      <w:pPr>
        <w:spacing w:before="100" w:beforeAutospacing="1" w:after="100" w:afterAutospacing="1" w:line="240" w:lineRule="auto"/>
        <w:outlineLvl w:val="1"/>
        <w:rPr>
          <w:rFonts w:ascii="Arial" w:eastAsia="Times New Roman" w:hAnsi="Arial" w:cs="Arial"/>
          <w:color w:val="000000"/>
          <w:sz w:val="22"/>
          <w:lang w:eastAsia="en-GB"/>
        </w:rPr>
      </w:pPr>
      <w:bookmarkStart w:id="8" w:name="_Toc226971071"/>
      <w:bookmarkStart w:id="9" w:name="_Toc226972305"/>
      <w:r w:rsidRPr="00E82838">
        <w:rPr>
          <w:rFonts w:ascii="Arial" w:eastAsia="Times New Roman" w:hAnsi="Arial" w:cs="Arial"/>
          <w:color w:val="000000"/>
          <w:sz w:val="22"/>
          <w:lang w:eastAsia="en-GB"/>
        </w:rPr>
        <w:t>5. Conclusion</w:t>
      </w:r>
      <w:r w:rsidR="004D0FF8" w:rsidRPr="00E82838">
        <w:rPr>
          <w:rFonts w:ascii="Arial" w:eastAsia="Times New Roman" w:hAnsi="Arial" w:cs="Arial"/>
          <w:color w:val="000000"/>
          <w:sz w:val="22"/>
          <w:lang w:eastAsia="en-GB"/>
        </w:rPr>
        <w:t>.</w:t>
      </w:r>
      <w:bookmarkEnd w:id="8"/>
      <w:bookmarkEnd w:id="9"/>
    </w:p>
    <w:p w14:paraId="267B0C64" w14:textId="0459F3ED" w:rsidR="00E42109" w:rsidRPr="00E82838" w:rsidRDefault="00E42109">
      <w:pPr>
        <w:pStyle w:val="NormalWeb"/>
        <w:rPr>
          <w:rFonts w:ascii="Arial" w:hAnsi="Arial" w:cs="Arial"/>
          <w:color w:val="000000"/>
          <w:sz w:val="22"/>
          <w:szCs w:val="22"/>
        </w:rPr>
      </w:pPr>
      <w:r w:rsidRPr="00E82838">
        <w:rPr>
          <w:rFonts w:ascii="Arial" w:hAnsi="Arial" w:cs="Arial"/>
          <w:color w:val="000000"/>
          <w:sz w:val="22"/>
          <w:szCs w:val="22"/>
        </w:rPr>
        <w:t xml:space="preserve">The case of Mr. Ahmed serves as a profound reminder that health and social care is a delicate and complex web of interpersonal, administrative, and inter-professional threads. This analysis has demonstrated that the quality of care is fundamentally dependent on the strength of these connections. Effective communication, guided by </w:t>
      </w:r>
      <w:r w:rsidR="00307A43" w:rsidRPr="00E82838">
        <w:rPr>
          <w:rFonts w:ascii="Arial" w:hAnsi="Arial" w:cs="Arial"/>
          <w:color w:val="000000"/>
          <w:sz w:val="22"/>
          <w:szCs w:val="22"/>
        </w:rPr>
        <w:t>Schema’s</w:t>
      </w:r>
      <w:r w:rsidRPr="00E82838">
        <w:rPr>
          <w:rFonts w:ascii="Arial" w:hAnsi="Arial" w:cs="Arial"/>
          <w:color w:val="000000"/>
          <w:sz w:val="22"/>
          <w:szCs w:val="22"/>
        </w:rPr>
        <w:t xml:space="preserve"> model and the legal requirements of the Equality Act 2010, ensures that Mr. Ahmed’s dignity and rights are upheld, even when neurological and language barriers threaten to silence him. Robust administrative practices, underpinned by the Data Protection Act 2018, provide the essential framework for safety, accountability, and the continuity of care, as highlighted by the investigation into his missed medication.</w:t>
      </w:r>
    </w:p>
    <w:p w14:paraId="59972EB8" w14:textId="3444F4F4" w:rsidR="00E42109" w:rsidRPr="00E82838" w:rsidRDefault="00E42109">
      <w:pPr>
        <w:pStyle w:val="NormalWeb"/>
        <w:rPr>
          <w:rFonts w:ascii="Arial" w:hAnsi="Arial" w:cs="Arial"/>
          <w:color w:val="000000"/>
          <w:sz w:val="22"/>
          <w:szCs w:val="22"/>
        </w:rPr>
      </w:pPr>
      <w:r w:rsidRPr="00E82838">
        <w:rPr>
          <w:rFonts w:ascii="Arial" w:hAnsi="Arial" w:cs="Arial"/>
          <w:color w:val="000000"/>
          <w:sz w:val="22"/>
          <w:szCs w:val="22"/>
        </w:rPr>
        <w:t xml:space="preserve">Furthermore, collaborative, multi-agency working between the GP, nurses, and therapists ensures that Mr. Ahmed’s care remains holistic and person-centred. The recent incident of missed medication acts as a critical lesson for the care team, </w:t>
      </w:r>
      <w:r w:rsidR="00A1075B" w:rsidRPr="00E82838">
        <w:rPr>
          <w:rFonts w:ascii="Arial" w:hAnsi="Arial" w:cs="Arial"/>
          <w:color w:val="000000"/>
          <w:sz w:val="22"/>
          <w:szCs w:val="22"/>
        </w:rPr>
        <w:t>emphasising</w:t>
      </w:r>
      <w:r w:rsidRPr="00E82838">
        <w:rPr>
          <w:rFonts w:ascii="Arial" w:hAnsi="Arial" w:cs="Arial"/>
          <w:color w:val="000000"/>
          <w:sz w:val="22"/>
          <w:szCs w:val="22"/>
        </w:rPr>
        <w:t xml:space="preserve"> that a failure in one area</w:t>
      </w:r>
      <w:r w:rsidR="00A1075B" w:rsidRPr="00E82838">
        <w:rPr>
          <w:rFonts w:ascii="Arial" w:hAnsi="Arial" w:cs="Arial"/>
          <w:color w:val="000000"/>
          <w:sz w:val="22"/>
          <w:szCs w:val="22"/>
        </w:rPr>
        <w:t xml:space="preserve"> </w:t>
      </w:r>
      <w:r w:rsidRPr="00E82838">
        <w:rPr>
          <w:rFonts w:ascii="Arial" w:hAnsi="Arial" w:cs="Arial"/>
          <w:color w:val="000000"/>
          <w:sz w:val="22"/>
          <w:szCs w:val="22"/>
        </w:rPr>
        <w:t>be it a lack of cultural competence in communication or a glitch in administrative scheduling</w:t>
      </w:r>
      <w:r w:rsidR="00A1075B" w:rsidRPr="00E82838">
        <w:rPr>
          <w:rFonts w:ascii="Arial" w:hAnsi="Arial" w:cs="Arial"/>
          <w:color w:val="000000"/>
          <w:sz w:val="22"/>
          <w:szCs w:val="22"/>
        </w:rPr>
        <w:t xml:space="preserve"> </w:t>
      </w:r>
      <w:r w:rsidRPr="00E82838">
        <w:rPr>
          <w:rFonts w:ascii="Arial" w:hAnsi="Arial" w:cs="Arial"/>
          <w:color w:val="000000"/>
          <w:sz w:val="22"/>
          <w:szCs w:val="22"/>
        </w:rPr>
        <w:t>can compromise the entire care structure. When the three pillars of communication, administration, and collaboration function optimally, the risks to the service user are minimised, and the quality of life for individuals like Mr. Ahmed is significantly enhanced. Ultimately, professional practice must be an ongoing commitment to learning and adaptation, ensuring that the safety, autonomy, and recovery of the service user always remain the paramount focus of every intervention.</w:t>
      </w:r>
    </w:p>
    <w:p w14:paraId="3F117645" w14:textId="77777777" w:rsidR="004D0FF8" w:rsidRPr="00E82838" w:rsidRDefault="004D0FF8" w:rsidP="002F1DBA">
      <w:pPr>
        <w:spacing w:before="100" w:beforeAutospacing="1" w:after="100" w:afterAutospacing="1" w:line="240" w:lineRule="auto"/>
        <w:outlineLvl w:val="1"/>
        <w:rPr>
          <w:rFonts w:ascii="Arial" w:eastAsia="Times New Roman" w:hAnsi="Arial" w:cs="Arial"/>
          <w:color w:val="000000"/>
          <w:sz w:val="22"/>
          <w:lang w:eastAsia="en-GB"/>
        </w:rPr>
      </w:pPr>
    </w:p>
    <w:p w14:paraId="568FABF4" w14:textId="77777777" w:rsidR="004D0FF8" w:rsidRPr="00E82838" w:rsidRDefault="004D0FF8" w:rsidP="002F1DBA">
      <w:pPr>
        <w:spacing w:before="100" w:beforeAutospacing="1" w:after="100" w:afterAutospacing="1" w:line="240" w:lineRule="auto"/>
        <w:outlineLvl w:val="1"/>
        <w:rPr>
          <w:rFonts w:ascii="Arial" w:eastAsia="Times New Roman" w:hAnsi="Arial" w:cs="Arial"/>
          <w:color w:val="000000"/>
          <w:sz w:val="22"/>
          <w:lang w:eastAsia="en-GB"/>
        </w:rPr>
      </w:pPr>
    </w:p>
    <w:p w14:paraId="6EC9C621" w14:textId="77777777" w:rsidR="004D0FF8" w:rsidRPr="00E82838" w:rsidRDefault="004D0FF8" w:rsidP="002F1DBA">
      <w:pPr>
        <w:spacing w:before="100" w:beforeAutospacing="1" w:after="100" w:afterAutospacing="1" w:line="240" w:lineRule="auto"/>
        <w:outlineLvl w:val="1"/>
        <w:rPr>
          <w:rFonts w:ascii="Arial" w:eastAsia="Times New Roman" w:hAnsi="Arial" w:cs="Arial"/>
          <w:color w:val="000000"/>
          <w:sz w:val="22"/>
          <w:lang w:eastAsia="en-GB"/>
        </w:rPr>
      </w:pPr>
    </w:p>
    <w:p w14:paraId="460321DC" w14:textId="77777777" w:rsidR="004D0FF8" w:rsidRPr="00E82838" w:rsidRDefault="004D0FF8" w:rsidP="002F1DBA">
      <w:pPr>
        <w:spacing w:before="100" w:beforeAutospacing="1" w:after="100" w:afterAutospacing="1" w:line="240" w:lineRule="auto"/>
        <w:outlineLvl w:val="1"/>
        <w:rPr>
          <w:rFonts w:ascii="Arial" w:eastAsia="Times New Roman" w:hAnsi="Arial" w:cs="Arial"/>
          <w:color w:val="000000"/>
          <w:sz w:val="22"/>
          <w:lang w:eastAsia="en-GB"/>
        </w:rPr>
      </w:pPr>
    </w:p>
    <w:p w14:paraId="30C06854" w14:textId="77777777" w:rsidR="004D0FF8" w:rsidRPr="00E82838" w:rsidRDefault="004D0FF8" w:rsidP="002F1DBA">
      <w:pPr>
        <w:spacing w:before="100" w:beforeAutospacing="1" w:after="100" w:afterAutospacing="1" w:line="240" w:lineRule="auto"/>
        <w:outlineLvl w:val="1"/>
        <w:rPr>
          <w:rFonts w:ascii="Arial" w:eastAsia="Times New Roman" w:hAnsi="Arial" w:cs="Arial"/>
          <w:color w:val="000000"/>
          <w:sz w:val="22"/>
          <w:lang w:eastAsia="en-GB"/>
        </w:rPr>
      </w:pPr>
    </w:p>
    <w:p w14:paraId="253F3ED4" w14:textId="77777777" w:rsidR="004D0FF8" w:rsidRPr="00E82838" w:rsidRDefault="004D0FF8" w:rsidP="002F1DBA">
      <w:pPr>
        <w:spacing w:before="100" w:beforeAutospacing="1" w:after="100" w:afterAutospacing="1" w:line="240" w:lineRule="auto"/>
        <w:outlineLvl w:val="1"/>
        <w:rPr>
          <w:rFonts w:ascii="Arial" w:eastAsia="Times New Roman" w:hAnsi="Arial" w:cs="Arial"/>
          <w:color w:val="000000"/>
          <w:sz w:val="22"/>
          <w:lang w:eastAsia="en-GB"/>
        </w:rPr>
      </w:pPr>
    </w:p>
    <w:p w14:paraId="33DAE6F2" w14:textId="77777777" w:rsidR="00E42109" w:rsidRPr="00E82838" w:rsidRDefault="00E42109" w:rsidP="002F1DBA">
      <w:pPr>
        <w:spacing w:before="100" w:beforeAutospacing="1" w:after="100" w:afterAutospacing="1" w:line="240" w:lineRule="auto"/>
        <w:outlineLvl w:val="1"/>
        <w:rPr>
          <w:rFonts w:ascii="Arial" w:eastAsia="Times New Roman" w:hAnsi="Arial" w:cs="Arial"/>
          <w:color w:val="000000"/>
          <w:sz w:val="22"/>
          <w:lang w:eastAsia="en-GB"/>
        </w:rPr>
      </w:pPr>
    </w:p>
    <w:p w14:paraId="32D67E78" w14:textId="77777777" w:rsidR="00E42109" w:rsidRPr="00E82838" w:rsidRDefault="00E42109" w:rsidP="002F1DBA">
      <w:pPr>
        <w:spacing w:before="100" w:beforeAutospacing="1" w:after="100" w:afterAutospacing="1" w:line="240" w:lineRule="auto"/>
        <w:outlineLvl w:val="1"/>
        <w:rPr>
          <w:rFonts w:ascii="Arial" w:eastAsia="Times New Roman" w:hAnsi="Arial" w:cs="Arial"/>
          <w:color w:val="000000"/>
          <w:sz w:val="22"/>
          <w:lang w:eastAsia="en-GB"/>
        </w:rPr>
      </w:pPr>
    </w:p>
    <w:p w14:paraId="0B9C838A" w14:textId="77777777" w:rsidR="00F31174" w:rsidRPr="00E82838" w:rsidRDefault="00F31174" w:rsidP="002F1DBA">
      <w:pPr>
        <w:spacing w:before="100" w:beforeAutospacing="1" w:after="100" w:afterAutospacing="1" w:line="240" w:lineRule="auto"/>
        <w:outlineLvl w:val="1"/>
        <w:rPr>
          <w:rFonts w:ascii="Arial" w:eastAsia="Times New Roman" w:hAnsi="Arial" w:cs="Arial"/>
          <w:color w:val="000000"/>
          <w:sz w:val="22"/>
          <w:lang w:eastAsia="en-GB"/>
        </w:rPr>
      </w:pPr>
    </w:p>
    <w:p w14:paraId="4C52A7CE" w14:textId="77777777" w:rsidR="00F31174" w:rsidRPr="00E82838" w:rsidRDefault="00F31174" w:rsidP="002F1DBA">
      <w:pPr>
        <w:spacing w:before="100" w:beforeAutospacing="1" w:after="100" w:afterAutospacing="1" w:line="240" w:lineRule="auto"/>
        <w:outlineLvl w:val="1"/>
        <w:rPr>
          <w:rFonts w:ascii="Arial" w:eastAsia="Times New Roman" w:hAnsi="Arial" w:cs="Arial"/>
          <w:color w:val="000000"/>
          <w:sz w:val="22"/>
          <w:lang w:eastAsia="en-GB"/>
        </w:rPr>
      </w:pPr>
    </w:p>
    <w:p w14:paraId="4A676130" w14:textId="77777777" w:rsidR="004D0FF8" w:rsidRPr="00E82838" w:rsidRDefault="004D0FF8" w:rsidP="002F1DBA">
      <w:pPr>
        <w:spacing w:before="100" w:beforeAutospacing="1" w:after="100" w:afterAutospacing="1" w:line="240" w:lineRule="auto"/>
        <w:outlineLvl w:val="1"/>
        <w:rPr>
          <w:rFonts w:ascii="Arial" w:eastAsia="Times New Roman" w:hAnsi="Arial" w:cs="Arial"/>
          <w:color w:val="000000"/>
          <w:sz w:val="22"/>
          <w:lang w:eastAsia="en-GB"/>
        </w:rPr>
      </w:pPr>
    </w:p>
    <w:p w14:paraId="0947EC45" w14:textId="77777777" w:rsidR="004D0FF8" w:rsidRPr="00E82838" w:rsidRDefault="004D0FF8" w:rsidP="002F1DBA">
      <w:pPr>
        <w:spacing w:before="100" w:beforeAutospacing="1" w:after="100" w:afterAutospacing="1" w:line="240" w:lineRule="auto"/>
        <w:outlineLvl w:val="1"/>
        <w:rPr>
          <w:rFonts w:ascii="Arial" w:eastAsia="Times New Roman" w:hAnsi="Arial" w:cs="Arial"/>
          <w:color w:val="000000"/>
          <w:sz w:val="22"/>
          <w:lang w:eastAsia="en-GB"/>
        </w:rPr>
      </w:pPr>
    </w:p>
    <w:p w14:paraId="1335B889" w14:textId="4A575FD2" w:rsidR="002F1DBA" w:rsidRPr="00E82838" w:rsidRDefault="002F1DBA" w:rsidP="002F1DBA">
      <w:pPr>
        <w:spacing w:before="100" w:beforeAutospacing="1" w:after="100" w:afterAutospacing="1" w:line="240" w:lineRule="auto"/>
        <w:outlineLvl w:val="1"/>
        <w:rPr>
          <w:rFonts w:ascii="Arial" w:eastAsia="Times New Roman" w:hAnsi="Arial" w:cs="Arial"/>
          <w:color w:val="000000"/>
          <w:sz w:val="22"/>
          <w:lang w:eastAsia="en-GB"/>
        </w:rPr>
      </w:pPr>
      <w:bookmarkStart w:id="10" w:name="_Toc226971072"/>
      <w:bookmarkStart w:id="11" w:name="_Toc226972306"/>
      <w:r w:rsidRPr="00E82838">
        <w:rPr>
          <w:rFonts w:ascii="Arial" w:eastAsia="Times New Roman" w:hAnsi="Arial" w:cs="Arial"/>
          <w:color w:val="000000"/>
          <w:sz w:val="22"/>
          <w:lang w:eastAsia="en-GB"/>
        </w:rPr>
        <w:t>References</w:t>
      </w:r>
      <w:r w:rsidR="00FF09A9" w:rsidRPr="00E82838">
        <w:rPr>
          <w:rFonts w:ascii="Arial" w:eastAsia="Times New Roman" w:hAnsi="Arial" w:cs="Arial"/>
          <w:color w:val="000000"/>
          <w:sz w:val="22"/>
          <w:lang w:eastAsia="en-GB"/>
        </w:rPr>
        <w:t xml:space="preserve"> </w:t>
      </w:r>
      <w:r w:rsidR="00FF09A9" w:rsidRPr="00E82838">
        <w:rPr>
          <w:rFonts w:ascii="Arial" w:eastAsiaTheme="minorEastAsia" w:hAnsi="Arial" w:cs="Arial"/>
          <w:color w:val="000000"/>
          <w:sz w:val="22"/>
          <w:lang w:eastAsia="en-GB"/>
        </w:rPr>
        <w:t>(Accessed: 13</w:t>
      </w:r>
      <w:r w:rsidR="005E10DE" w:rsidRPr="00E82838">
        <w:rPr>
          <w:rFonts w:ascii="Arial" w:eastAsiaTheme="minorEastAsia" w:hAnsi="Arial" w:cs="Arial"/>
          <w:color w:val="000000"/>
          <w:sz w:val="22"/>
          <w:vertAlign w:val="superscript"/>
          <w:lang w:eastAsia="en-GB"/>
        </w:rPr>
        <w:t>th</w:t>
      </w:r>
      <w:r w:rsidR="00FF09A9" w:rsidRPr="00E82838">
        <w:rPr>
          <w:rFonts w:ascii="Arial" w:eastAsiaTheme="minorEastAsia" w:hAnsi="Arial" w:cs="Arial"/>
          <w:color w:val="000000"/>
          <w:sz w:val="22"/>
          <w:lang w:eastAsia="en-GB"/>
        </w:rPr>
        <w:t xml:space="preserve"> April 2026)</w:t>
      </w:r>
      <w:bookmarkEnd w:id="10"/>
      <w:bookmarkEnd w:id="11"/>
    </w:p>
    <w:p w14:paraId="0EF528FA" w14:textId="428E9E93" w:rsidR="002F1DBA" w:rsidRPr="00E82838" w:rsidRDefault="002F1DBA" w:rsidP="002F1DBA">
      <w:pPr>
        <w:spacing w:before="100" w:beforeAutospacing="1" w:after="100" w:afterAutospacing="1" w:line="240" w:lineRule="auto"/>
        <w:rPr>
          <w:rFonts w:ascii="Arial" w:eastAsiaTheme="minorEastAsia" w:hAnsi="Arial" w:cs="Arial"/>
          <w:color w:val="000000"/>
          <w:sz w:val="22"/>
          <w:lang w:eastAsia="en-GB"/>
        </w:rPr>
      </w:pPr>
      <w:r w:rsidRPr="00E82838">
        <w:rPr>
          <w:rFonts w:ascii="Arial" w:eastAsiaTheme="minorEastAsia" w:hAnsi="Arial" w:cs="Arial"/>
          <w:color w:val="000000"/>
          <w:sz w:val="22"/>
          <w:lang w:eastAsia="en-GB"/>
        </w:rPr>
        <w:t>Care Quality Commission (CQC) (2024) Regulation 17: Good governance. Available at:</w:t>
      </w:r>
      <w:r w:rsidRPr="00E82838">
        <w:rPr>
          <w:rFonts w:ascii="Arial" w:eastAsiaTheme="minorEastAsia" w:hAnsi="Arial" w:cs="Arial"/>
          <w:color w:val="000000" w:themeColor="text1"/>
          <w:sz w:val="22"/>
          <w:lang w:eastAsia="en-GB"/>
        </w:rPr>
        <w:t> </w:t>
      </w:r>
      <w:hyperlink r:id="rId9" w:tgtFrame="_blank" w:history="1">
        <w:r w:rsidRPr="00E82838">
          <w:rPr>
            <w:rFonts w:ascii="Arial" w:eastAsiaTheme="minorEastAsia" w:hAnsi="Arial" w:cs="Arial"/>
            <w:color w:val="000000" w:themeColor="text1"/>
            <w:sz w:val="22"/>
            <w:u w:val="single"/>
            <w:lang w:eastAsia="en-GB"/>
          </w:rPr>
          <w:t>https://www.cqc.org.uk</w:t>
        </w:r>
      </w:hyperlink>
    </w:p>
    <w:p w14:paraId="6E31C40D" w14:textId="77777777" w:rsidR="002F1DBA" w:rsidRPr="00E82838" w:rsidRDefault="002F1DBA" w:rsidP="002F1DBA">
      <w:pPr>
        <w:spacing w:before="100" w:beforeAutospacing="1" w:after="100" w:afterAutospacing="1" w:line="240" w:lineRule="auto"/>
        <w:rPr>
          <w:rFonts w:ascii="Arial" w:eastAsiaTheme="minorEastAsia" w:hAnsi="Arial" w:cs="Arial"/>
          <w:color w:val="000000"/>
          <w:sz w:val="22"/>
          <w:lang w:eastAsia="en-GB"/>
        </w:rPr>
      </w:pPr>
      <w:r w:rsidRPr="00E82838">
        <w:rPr>
          <w:rFonts w:ascii="Arial" w:eastAsiaTheme="minorEastAsia" w:hAnsi="Arial" w:cs="Arial"/>
          <w:color w:val="000000"/>
          <w:sz w:val="22"/>
          <w:lang w:eastAsia="en-GB"/>
        </w:rPr>
        <w:lastRenderedPageBreak/>
        <w:t>Data Protection Act 2018, c. 12. London: The Stationery Office.</w:t>
      </w:r>
    </w:p>
    <w:p w14:paraId="063B20A3" w14:textId="77777777" w:rsidR="002F1DBA" w:rsidRPr="00E82838" w:rsidRDefault="002F1DBA" w:rsidP="002F1DBA">
      <w:pPr>
        <w:spacing w:before="100" w:beforeAutospacing="1" w:after="100" w:afterAutospacing="1" w:line="240" w:lineRule="auto"/>
        <w:rPr>
          <w:rFonts w:ascii="Arial" w:eastAsiaTheme="minorEastAsia" w:hAnsi="Arial" w:cs="Arial"/>
          <w:color w:val="000000"/>
          <w:sz w:val="22"/>
          <w:lang w:eastAsia="en-GB"/>
        </w:rPr>
      </w:pPr>
      <w:r w:rsidRPr="00E82838">
        <w:rPr>
          <w:rFonts w:ascii="Arial" w:eastAsiaTheme="minorEastAsia" w:hAnsi="Arial" w:cs="Arial"/>
          <w:color w:val="000000"/>
          <w:sz w:val="22"/>
          <w:lang w:eastAsia="en-GB"/>
        </w:rPr>
        <w:t>Department of Health and Social Care (2021) Health and social care integration: joining up care for people, places and populations. London: DHSC.</w:t>
      </w:r>
    </w:p>
    <w:p w14:paraId="255FAEB6" w14:textId="77777777" w:rsidR="002F1DBA" w:rsidRPr="00E82838" w:rsidRDefault="002F1DBA" w:rsidP="002F1DBA">
      <w:pPr>
        <w:spacing w:before="100" w:beforeAutospacing="1" w:after="100" w:afterAutospacing="1" w:line="240" w:lineRule="auto"/>
        <w:rPr>
          <w:rFonts w:ascii="Arial" w:eastAsiaTheme="minorEastAsia" w:hAnsi="Arial" w:cs="Arial"/>
          <w:color w:val="000000"/>
          <w:sz w:val="22"/>
          <w:lang w:eastAsia="en-GB"/>
        </w:rPr>
      </w:pPr>
      <w:r w:rsidRPr="00E82838">
        <w:rPr>
          <w:rFonts w:ascii="Arial" w:eastAsiaTheme="minorEastAsia" w:hAnsi="Arial" w:cs="Arial"/>
          <w:color w:val="000000"/>
          <w:sz w:val="22"/>
          <w:lang w:eastAsia="en-GB"/>
        </w:rPr>
        <w:t>Equality Act 2010, c. 15. London: The Stationery Office.</w:t>
      </w:r>
    </w:p>
    <w:p w14:paraId="62BE3702" w14:textId="77777777" w:rsidR="002F1DBA" w:rsidRPr="00E82838" w:rsidRDefault="002F1DBA" w:rsidP="002F1DBA">
      <w:pPr>
        <w:spacing w:before="100" w:beforeAutospacing="1" w:after="100" w:afterAutospacing="1" w:line="240" w:lineRule="auto"/>
        <w:rPr>
          <w:rFonts w:ascii="Arial" w:eastAsiaTheme="minorEastAsia" w:hAnsi="Arial" w:cs="Arial"/>
          <w:color w:val="000000"/>
          <w:sz w:val="22"/>
          <w:lang w:eastAsia="en-GB"/>
        </w:rPr>
      </w:pPr>
      <w:proofErr w:type="spellStart"/>
      <w:r w:rsidRPr="00E82838">
        <w:rPr>
          <w:rFonts w:ascii="Arial" w:eastAsiaTheme="minorEastAsia" w:hAnsi="Arial" w:cs="Arial"/>
          <w:color w:val="000000"/>
          <w:sz w:val="22"/>
          <w:lang w:eastAsia="en-GB"/>
        </w:rPr>
        <w:t>Kourkouta</w:t>
      </w:r>
      <w:proofErr w:type="spellEnd"/>
      <w:r w:rsidRPr="00E82838">
        <w:rPr>
          <w:rFonts w:ascii="Arial" w:eastAsiaTheme="minorEastAsia" w:hAnsi="Arial" w:cs="Arial"/>
          <w:color w:val="000000"/>
          <w:sz w:val="22"/>
          <w:lang w:eastAsia="en-GB"/>
        </w:rPr>
        <w:t xml:space="preserve">, L. and </w:t>
      </w:r>
      <w:proofErr w:type="spellStart"/>
      <w:r w:rsidRPr="00E82838">
        <w:rPr>
          <w:rFonts w:ascii="Arial" w:eastAsiaTheme="minorEastAsia" w:hAnsi="Arial" w:cs="Arial"/>
          <w:color w:val="000000"/>
          <w:sz w:val="22"/>
          <w:lang w:eastAsia="en-GB"/>
        </w:rPr>
        <w:t>Papathanasiou</w:t>
      </w:r>
      <w:proofErr w:type="spellEnd"/>
      <w:r w:rsidRPr="00E82838">
        <w:rPr>
          <w:rFonts w:ascii="Arial" w:eastAsiaTheme="minorEastAsia" w:hAnsi="Arial" w:cs="Arial"/>
          <w:color w:val="000000"/>
          <w:sz w:val="22"/>
          <w:lang w:eastAsia="en-GB"/>
        </w:rPr>
        <w:t>, I. V. (2014) 'Communication in nursing practice', </w:t>
      </w:r>
      <w:proofErr w:type="spellStart"/>
      <w:r w:rsidRPr="00E82838">
        <w:rPr>
          <w:rFonts w:ascii="Arial" w:eastAsiaTheme="minorEastAsia" w:hAnsi="Arial" w:cs="Arial"/>
          <w:color w:val="000000"/>
          <w:sz w:val="22"/>
          <w:lang w:eastAsia="en-GB"/>
        </w:rPr>
        <w:t>Materia</w:t>
      </w:r>
      <w:proofErr w:type="spellEnd"/>
      <w:r w:rsidRPr="00E82838">
        <w:rPr>
          <w:rFonts w:ascii="Arial" w:eastAsiaTheme="minorEastAsia" w:hAnsi="Arial" w:cs="Arial"/>
          <w:color w:val="000000"/>
          <w:sz w:val="22"/>
          <w:lang w:eastAsia="en-GB"/>
        </w:rPr>
        <w:t xml:space="preserve"> </w:t>
      </w:r>
      <w:proofErr w:type="spellStart"/>
      <w:r w:rsidRPr="00E82838">
        <w:rPr>
          <w:rFonts w:ascii="Arial" w:eastAsiaTheme="minorEastAsia" w:hAnsi="Arial" w:cs="Arial"/>
          <w:color w:val="000000"/>
          <w:sz w:val="22"/>
          <w:lang w:eastAsia="en-GB"/>
        </w:rPr>
        <w:t>Socio-Medica</w:t>
      </w:r>
      <w:proofErr w:type="spellEnd"/>
      <w:r w:rsidRPr="00E82838">
        <w:rPr>
          <w:rFonts w:ascii="Arial" w:eastAsiaTheme="minorEastAsia" w:hAnsi="Arial" w:cs="Arial"/>
          <w:color w:val="000000"/>
          <w:sz w:val="22"/>
          <w:lang w:eastAsia="en-GB"/>
        </w:rPr>
        <w:t>, 26(1), pp. 65-67.</w:t>
      </w:r>
    </w:p>
    <w:p w14:paraId="36513F17" w14:textId="77777777" w:rsidR="002F1DBA" w:rsidRPr="00E82838" w:rsidRDefault="002F1DBA" w:rsidP="002F1DBA">
      <w:pPr>
        <w:spacing w:before="100" w:beforeAutospacing="1" w:after="100" w:afterAutospacing="1" w:line="240" w:lineRule="auto"/>
        <w:rPr>
          <w:rFonts w:ascii="Arial" w:eastAsiaTheme="minorEastAsia" w:hAnsi="Arial" w:cs="Arial"/>
          <w:color w:val="000000"/>
          <w:sz w:val="22"/>
          <w:lang w:eastAsia="en-GB"/>
        </w:rPr>
      </w:pPr>
      <w:r w:rsidRPr="00E82838">
        <w:rPr>
          <w:rFonts w:ascii="Arial" w:eastAsiaTheme="minorEastAsia" w:hAnsi="Arial" w:cs="Arial"/>
          <w:color w:val="000000"/>
          <w:sz w:val="22"/>
          <w:lang w:eastAsia="en-GB"/>
        </w:rPr>
        <w:t xml:space="preserve">Larkin, M. (2018) Collaborative Working in Health and Social Care. 2nd </w:t>
      </w:r>
      <w:proofErr w:type="spellStart"/>
      <w:r w:rsidRPr="00E82838">
        <w:rPr>
          <w:rFonts w:ascii="Arial" w:eastAsiaTheme="minorEastAsia" w:hAnsi="Arial" w:cs="Arial"/>
          <w:color w:val="000000"/>
          <w:sz w:val="22"/>
          <w:lang w:eastAsia="en-GB"/>
        </w:rPr>
        <w:t>edn</w:t>
      </w:r>
      <w:proofErr w:type="spellEnd"/>
      <w:r w:rsidRPr="00E82838">
        <w:rPr>
          <w:rFonts w:ascii="Arial" w:eastAsiaTheme="minorEastAsia" w:hAnsi="Arial" w:cs="Arial"/>
          <w:color w:val="000000"/>
          <w:sz w:val="22"/>
          <w:lang w:eastAsia="en-GB"/>
        </w:rPr>
        <w:t>. London: Sage.</w:t>
      </w:r>
    </w:p>
    <w:p w14:paraId="65EE1664" w14:textId="77777777" w:rsidR="002F1DBA" w:rsidRPr="00E82838" w:rsidRDefault="002F1DBA" w:rsidP="002F1DBA">
      <w:pPr>
        <w:spacing w:before="100" w:beforeAutospacing="1" w:after="100" w:afterAutospacing="1" w:line="240" w:lineRule="auto"/>
        <w:rPr>
          <w:rFonts w:ascii="Arial" w:eastAsiaTheme="minorEastAsia" w:hAnsi="Arial" w:cs="Arial"/>
          <w:color w:val="000000"/>
          <w:sz w:val="22"/>
          <w:lang w:eastAsia="en-GB"/>
        </w:rPr>
      </w:pPr>
      <w:r w:rsidRPr="00E82838">
        <w:rPr>
          <w:rFonts w:ascii="Arial" w:eastAsiaTheme="minorEastAsia" w:hAnsi="Arial" w:cs="Arial"/>
          <w:color w:val="000000"/>
          <w:sz w:val="22"/>
          <w:lang w:eastAsia="en-GB"/>
        </w:rPr>
        <w:t>Stewart, K. R. and Hand, K. A. (2017) 'SBAR, communication, and patient safety: an integrated literature review', </w:t>
      </w:r>
      <w:proofErr w:type="spellStart"/>
      <w:r w:rsidRPr="00E82838">
        <w:rPr>
          <w:rFonts w:ascii="Arial" w:eastAsiaTheme="minorEastAsia" w:hAnsi="Arial" w:cs="Arial"/>
          <w:color w:val="000000"/>
          <w:sz w:val="22"/>
          <w:lang w:eastAsia="en-GB"/>
        </w:rPr>
        <w:t>MEDSURG</w:t>
      </w:r>
      <w:proofErr w:type="spellEnd"/>
      <w:r w:rsidRPr="00E82838">
        <w:rPr>
          <w:rFonts w:ascii="Arial" w:eastAsiaTheme="minorEastAsia" w:hAnsi="Arial" w:cs="Arial"/>
          <w:color w:val="000000"/>
          <w:sz w:val="22"/>
          <w:lang w:eastAsia="en-GB"/>
        </w:rPr>
        <w:t xml:space="preserve"> Nursing, 26(5), pp. 297-305.</w:t>
      </w:r>
    </w:p>
    <w:p w14:paraId="79DDEDA4" w14:textId="77777777" w:rsidR="002F1DBA" w:rsidRPr="00E82838" w:rsidRDefault="002F1DBA" w:rsidP="002F1DBA">
      <w:pPr>
        <w:spacing w:before="100" w:beforeAutospacing="1" w:after="100" w:afterAutospacing="1" w:line="240" w:lineRule="auto"/>
        <w:rPr>
          <w:rFonts w:ascii="Arial" w:eastAsiaTheme="minorEastAsia" w:hAnsi="Arial" w:cs="Arial"/>
          <w:color w:val="000000"/>
          <w:sz w:val="22"/>
          <w:lang w:eastAsia="en-GB"/>
        </w:rPr>
      </w:pPr>
      <w:r w:rsidRPr="00E82838">
        <w:rPr>
          <w:rFonts w:ascii="Arial" w:eastAsiaTheme="minorEastAsia" w:hAnsi="Arial" w:cs="Arial"/>
          <w:color w:val="000000"/>
          <w:sz w:val="22"/>
          <w:lang w:eastAsia="en-GB"/>
        </w:rPr>
        <w:t xml:space="preserve">Thompson, N. (2021) Anti-Discriminatory Practice: Equality, Diversity and Social Justice. 7th </w:t>
      </w:r>
      <w:proofErr w:type="spellStart"/>
      <w:r w:rsidRPr="00E82838">
        <w:rPr>
          <w:rFonts w:ascii="Arial" w:eastAsiaTheme="minorEastAsia" w:hAnsi="Arial" w:cs="Arial"/>
          <w:color w:val="000000"/>
          <w:sz w:val="22"/>
          <w:lang w:eastAsia="en-GB"/>
        </w:rPr>
        <w:t>edn</w:t>
      </w:r>
      <w:proofErr w:type="spellEnd"/>
      <w:r w:rsidRPr="00E82838">
        <w:rPr>
          <w:rFonts w:ascii="Arial" w:eastAsiaTheme="minorEastAsia" w:hAnsi="Arial" w:cs="Arial"/>
          <w:color w:val="000000"/>
          <w:sz w:val="22"/>
          <w:lang w:eastAsia="en-GB"/>
        </w:rPr>
        <w:t xml:space="preserve">. London: </w:t>
      </w:r>
      <w:proofErr w:type="spellStart"/>
      <w:r w:rsidRPr="00E82838">
        <w:rPr>
          <w:rFonts w:ascii="Arial" w:eastAsiaTheme="minorEastAsia" w:hAnsi="Arial" w:cs="Arial"/>
          <w:color w:val="000000"/>
          <w:sz w:val="22"/>
          <w:lang w:eastAsia="en-GB"/>
        </w:rPr>
        <w:t>Palgrave</w:t>
      </w:r>
      <w:proofErr w:type="spellEnd"/>
      <w:r w:rsidRPr="00E82838">
        <w:rPr>
          <w:rFonts w:ascii="Arial" w:eastAsiaTheme="minorEastAsia" w:hAnsi="Arial" w:cs="Arial"/>
          <w:color w:val="000000"/>
          <w:sz w:val="22"/>
          <w:lang w:eastAsia="en-GB"/>
        </w:rPr>
        <w:t xml:space="preserve"> Macmillan.</w:t>
      </w:r>
    </w:p>
    <w:p w14:paraId="1425F4AC" w14:textId="6695D929" w:rsidR="001D7C03" w:rsidRPr="00B95B52" w:rsidRDefault="001D7C03" w:rsidP="00CD33A8">
      <w:pPr>
        <w:tabs>
          <w:tab w:val="left" w:pos="6540"/>
        </w:tabs>
        <w:spacing w:line="360" w:lineRule="auto"/>
        <w:rPr>
          <w:rFonts w:ascii="Arial" w:hAnsi="Arial" w:cs="Arial"/>
          <w:sz w:val="22"/>
        </w:rPr>
      </w:pPr>
    </w:p>
    <w:sectPr w:rsidR="001D7C03" w:rsidRPr="00B95B52" w:rsidSect="00E620E7">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B8AA7" w14:textId="77777777" w:rsidR="007A30D4" w:rsidRDefault="007A30D4" w:rsidP="003E4ECF">
      <w:pPr>
        <w:spacing w:after="0" w:line="240" w:lineRule="auto"/>
      </w:pPr>
      <w:r>
        <w:separator/>
      </w:r>
    </w:p>
  </w:endnote>
  <w:endnote w:type="continuationSeparator" w:id="0">
    <w:p w14:paraId="52F840F3" w14:textId="77777777" w:rsidR="007A30D4" w:rsidRDefault="007A30D4"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E2E6F" w14:textId="77777777" w:rsidR="007A30D4" w:rsidRDefault="007A30D4" w:rsidP="003E4ECF">
      <w:pPr>
        <w:spacing w:after="0" w:line="240" w:lineRule="auto"/>
      </w:pPr>
      <w:r>
        <w:separator/>
      </w:r>
    </w:p>
  </w:footnote>
  <w:footnote w:type="continuationSeparator" w:id="0">
    <w:p w14:paraId="3CB178E4" w14:textId="77777777" w:rsidR="007A30D4" w:rsidRDefault="007A30D4"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341AC"/>
    <w:multiLevelType w:val="hybridMultilevel"/>
    <w:tmpl w:val="6322A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D64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392A07"/>
    <w:multiLevelType w:val="hybridMultilevel"/>
    <w:tmpl w:val="F7A40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023963"/>
    <w:multiLevelType w:val="hybridMultilevel"/>
    <w:tmpl w:val="759A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E87608"/>
    <w:multiLevelType w:val="hybridMultilevel"/>
    <w:tmpl w:val="CABC1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F6590"/>
    <w:multiLevelType w:val="hybridMultilevel"/>
    <w:tmpl w:val="47DAD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540F6A"/>
    <w:multiLevelType w:val="hybridMultilevel"/>
    <w:tmpl w:val="0BFC3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5A7B2D"/>
    <w:multiLevelType w:val="hybridMultilevel"/>
    <w:tmpl w:val="9FB44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F351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083ABE"/>
    <w:multiLevelType w:val="hybridMultilevel"/>
    <w:tmpl w:val="72664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0120685">
    <w:abstractNumId w:val="1"/>
  </w:num>
  <w:num w:numId="2" w16cid:durableId="1812284633">
    <w:abstractNumId w:val="8"/>
  </w:num>
  <w:num w:numId="3" w16cid:durableId="299961805">
    <w:abstractNumId w:val="2"/>
  </w:num>
  <w:num w:numId="4" w16cid:durableId="1835955812">
    <w:abstractNumId w:val="5"/>
  </w:num>
  <w:num w:numId="5" w16cid:durableId="271860885">
    <w:abstractNumId w:val="6"/>
  </w:num>
  <w:num w:numId="6" w16cid:durableId="1306474165">
    <w:abstractNumId w:val="7"/>
  </w:num>
  <w:num w:numId="7" w16cid:durableId="1402944135">
    <w:abstractNumId w:val="9"/>
  </w:num>
  <w:num w:numId="8" w16cid:durableId="552887964">
    <w:abstractNumId w:val="4"/>
  </w:num>
  <w:num w:numId="9" w16cid:durableId="1812139211">
    <w:abstractNumId w:val="0"/>
  </w:num>
  <w:num w:numId="10" w16cid:durableId="6996237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76CD"/>
    <w:rsid w:val="00025810"/>
    <w:rsid w:val="00046E8B"/>
    <w:rsid w:val="000572BF"/>
    <w:rsid w:val="00074402"/>
    <w:rsid w:val="000C457D"/>
    <w:rsid w:val="000D7FC4"/>
    <w:rsid w:val="000F00AB"/>
    <w:rsid w:val="00154737"/>
    <w:rsid w:val="00192C9F"/>
    <w:rsid w:val="001937E0"/>
    <w:rsid w:val="001B66A7"/>
    <w:rsid w:val="001D28F7"/>
    <w:rsid w:val="001D7C03"/>
    <w:rsid w:val="00216C85"/>
    <w:rsid w:val="00227F96"/>
    <w:rsid w:val="0026393A"/>
    <w:rsid w:val="00273EDD"/>
    <w:rsid w:val="00275812"/>
    <w:rsid w:val="00284046"/>
    <w:rsid w:val="002A1666"/>
    <w:rsid w:val="002A50CE"/>
    <w:rsid w:val="002B0112"/>
    <w:rsid w:val="002B1AEF"/>
    <w:rsid w:val="002C3965"/>
    <w:rsid w:val="002D5943"/>
    <w:rsid w:val="002F1DBA"/>
    <w:rsid w:val="00307A43"/>
    <w:rsid w:val="00321C4C"/>
    <w:rsid w:val="00331B99"/>
    <w:rsid w:val="0033786C"/>
    <w:rsid w:val="00392BBC"/>
    <w:rsid w:val="003A261A"/>
    <w:rsid w:val="003A784F"/>
    <w:rsid w:val="003D5286"/>
    <w:rsid w:val="003E4ECF"/>
    <w:rsid w:val="003E58E9"/>
    <w:rsid w:val="00403164"/>
    <w:rsid w:val="004A736E"/>
    <w:rsid w:val="004D0FF8"/>
    <w:rsid w:val="004F034E"/>
    <w:rsid w:val="005035C7"/>
    <w:rsid w:val="00517416"/>
    <w:rsid w:val="00525008"/>
    <w:rsid w:val="005545F9"/>
    <w:rsid w:val="0057306E"/>
    <w:rsid w:val="00585EA6"/>
    <w:rsid w:val="005917F7"/>
    <w:rsid w:val="00597D08"/>
    <w:rsid w:val="005D38D0"/>
    <w:rsid w:val="005D4DE3"/>
    <w:rsid w:val="005E10DE"/>
    <w:rsid w:val="00602018"/>
    <w:rsid w:val="00605E82"/>
    <w:rsid w:val="00614093"/>
    <w:rsid w:val="00644D3D"/>
    <w:rsid w:val="00667955"/>
    <w:rsid w:val="006925AA"/>
    <w:rsid w:val="006927A7"/>
    <w:rsid w:val="0069431D"/>
    <w:rsid w:val="006E2CB3"/>
    <w:rsid w:val="006F0BAD"/>
    <w:rsid w:val="006F731C"/>
    <w:rsid w:val="0070245F"/>
    <w:rsid w:val="00725177"/>
    <w:rsid w:val="0074580B"/>
    <w:rsid w:val="00786D33"/>
    <w:rsid w:val="007A1B8D"/>
    <w:rsid w:val="007A30D4"/>
    <w:rsid w:val="00814A9E"/>
    <w:rsid w:val="00825990"/>
    <w:rsid w:val="00840CF4"/>
    <w:rsid w:val="00871067"/>
    <w:rsid w:val="00873C99"/>
    <w:rsid w:val="008917A7"/>
    <w:rsid w:val="00895D86"/>
    <w:rsid w:val="008A213B"/>
    <w:rsid w:val="008A263F"/>
    <w:rsid w:val="008B2C26"/>
    <w:rsid w:val="008E3943"/>
    <w:rsid w:val="0090040D"/>
    <w:rsid w:val="0092654F"/>
    <w:rsid w:val="0094287B"/>
    <w:rsid w:val="0094504E"/>
    <w:rsid w:val="00971834"/>
    <w:rsid w:val="009734AA"/>
    <w:rsid w:val="00976740"/>
    <w:rsid w:val="009D052C"/>
    <w:rsid w:val="009D1D1E"/>
    <w:rsid w:val="009D3814"/>
    <w:rsid w:val="009F26D5"/>
    <w:rsid w:val="00A035FD"/>
    <w:rsid w:val="00A070D4"/>
    <w:rsid w:val="00A1075B"/>
    <w:rsid w:val="00A27BF0"/>
    <w:rsid w:val="00A43DED"/>
    <w:rsid w:val="00A47137"/>
    <w:rsid w:val="00AD23A0"/>
    <w:rsid w:val="00AE36EF"/>
    <w:rsid w:val="00B126C9"/>
    <w:rsid w:val="00B56EA9"/>
    <w:rsid w:val="00B61943"/>
    <w:rsid w:val="00B87E75"/>
    <w:rsid w:val="00B95B52"/>
    <w:rsid w:val="00BB0A82"/>
    <w:rsid w:val="00BB560C"/>
    <w:rsid w:val="00BD4842"/>
    <w:rsid w:val="00C1352D"/>
    <w:rsid w:val="00C66065"/>
    <w:rsid w:val="00CC16DE"/>
    <w:rsid w:val="00CC6CE6"/>
    <w:rsid w:val="00CD33A8"/>
    <w:rsid w:val="00D029CF"/>
    <w:rsid w:val="00D46E6A"/>
    <w:rsid w:val="00D5656E"/>
    <w:rsid w:val="00D64F46"/>
    <w:rsid w:val="00D91F31"/>
    <w:rsid w:val="00DE7E3A"/>
    <w:rsid w:val="00E36F89"/>
    <w:rsid w:val="00E418F3"/>
    <w:rsid w:val="00E42109"/>
    <w:rsid w:val="00E569FD"/>
    <w:rsid w:val="00E620E7"/>
    <w:rsid w:val="00E65F2F"/>
    <w:rsid w:val="00E75FFA"/>
    <w:rsid w:val="00E82838"/>
    <w:rsid w:val="00EB180D"/>
    <w:rsid w:val="00ED09A2"/>
    <w:rsid w:val="00F10559"/>
    <w:rsid w:val="00F31174"/>
    <w:rsid w:val="00F66E1B"/>
    <w:rsid w:val="00F962F5"/>
    <w:rsid w:val="00FA20A2"/>
    <w:rsid w:val="00FA55FE"/>
    <w:rsid w:val="00FF09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customStyle="1" w:styleId="apple-converted-space">
    <w:name w:val="apple-converted-space"/>
    <w:basedOn w:val="DefaultParagraphFont"/>
    <w:rsid w:val="00895D86"/>
  </w:style>
  <w:style w:type="paragraph" w:styleId="NormalWeb">
    <w:name w:val="Normal (Web)"/>
    <w:basedOn w:val="Normal"/>
    <w:uiPriority w:val="99"/>
    <w:semiHidden/>
    <w:unhideWhenUsed/>
    <w:rsid w:val="00602018"/>
    <w:pPr>
      <w:spacing w:before="100" w:beforeAutospacing="1" w:after="100" w:afterAutospacing="1" w:line="240" w:lineRule="auto"/>
    </w:pPr>
    <w:rPr>
      <w:rFonts w:eastAsiaTheme="minorEastAsia" w:cs="Times New Roman"/>
      <w:szCs w:val="24"/>
      <w:lang w:eastAsia="en-GB"/>
    </w:rPr>
  </w:style>
  <w:style w:type="character" w:customStyle="1" w:styleId="citation-6">
    <w:name w:val="citation-6"/>
    <w:basedOn w:val="DefaultParagraphFont"/>
    <w:rsid w:val="00602018"/>
  </w:style>
  <w:style w:type="character" w:customStyle="1" w:styleId="citation-5">
    <w:name w:val="citation-5"/>
    <w:basedOn w:val="DefaultParagraphFont"/>
    <w:rsid w:val="00602018"/>
  </w:style>
  <w:style w:type="character" w:styleId="Hyperlink">
    <w:name w:val="Hyperlink"/>
    <w:basedOn w:val="DefaultParagraphFont"/>
    <w:uiPriority w:val="99"/>
    <w:unhideWhenUsed/>
    <w:rsid w:val="00517416"/>
    <w:rPr>
      <w:color w:val="0000FF"/>
      <w:u w:val="single"/>
    </w:rPr>
  </w:style>
  <w:style w:type="paragraph" w:styleId="TOCHeading">
    <w:name w:val="TOC Heading"/>
    <w:basedOn w:val="Heading1"/>
    <w:next w:val="Normal"/>
    <w:uiPriority w:val="39"/>
    <w:unhideWhenUsed/>
    <w:qFormat/>
    <w:rsid w:val="00971834"/>
    <w:pPr>
      <w:spacing w:before="480" w:line="276" w:lineRule="auto"/>
      <w:outlineLvl w:val="9"/>
    </w:pPr>
    <w:rPr>
      <w:rFonts w:asciiTheme="majorHAnsi"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971834"/>
    <w:pPr>
      <w:spacing w:after="100"/>
    </w:pPr>
  </w:style>
  <w:style w:type="paragraph" w:styleId="TOC2">
    <w:name w:val="toc 2"/>
    <w:basedOn w:val="Normal"/>
    <w:next w:val="Normal"/>
    <w:autoRedefine/>
    <w:uiPriority w:val="39"/>
    <w:unhideWhenUsed/>
    <w:rsid w:val="0097183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q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1437</TotalTime>
  <Pages>6</Pages>
  <Words>1666</Words>
  <Characters>9502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Brenda Da Silva Rodrigues Marciano (2509114)</cp:lastModifiedBy>
  <cp:revision>103</cp:revision>
  <dcterms:created xsi:type="dcterms:W3CDTF">2026-03-23T12:50:00Z</dcterms:created>
  <dcterms:modified xsi:type="dcterms:W3CDTF">2026-04-13T10:44:00Z</dcterms:modified>
</cp:coreProperties>
</file>