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D1722" w14:textId="77777777" w:rsidR="009F3AA7" w:rsidRPr="00C672E5" w:rsidRDefault="009F3AA7" w:rsidP="009F3AA7">
      <w:pPr>
        <w:jc w:val="center"/>
        <w:rPr>
          <w:rFonts w:cs="Arial"/>
        </w:rPr>
      </w:pPr>
      <w:r w:rsidRPr="00C672E5">
        <w:rPr>
          <w:rFonts w:cs="Arial"/>
        </w:rPr>
        <w:drawing>
          <wp:inline distT="0" distB="0" distL="0" distR="0" wp14:anchorId="27127B56" wp14:editId="0B1258AE">
            <wp:extent cx="2399647" cy="957943"/>
            <wp:effectExtent l="0" t="0" r="1270" b="0"/>
            <wp:docPr id="1877011079" name="Picture 2" descr="University of Wales Trinity Saint David, UK | Application, Courses, Fee,  Ranking | Stand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UK | Application, Courses, Fee,  Ranking | Standyo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0732" cy="974344"/>
                    </a:xfrm>
                    <a:prstGeom prst="rect">
                      <a:avLst/>
                    </a:prstGeom>
                    <a:noFill/>
                    <a:ln>
                      <a:noFill/>
                    </a:ln>
                  </pic:spPr>
                </pic:pic>
              </a:graphicData>
            </a:graphic>
          </wp:inline>
        </w:drawing>
      </w:r>
    </w:p>
    <w:tbl>
      <w:tblPr>
        <w:tblStyle w:val="TableGrid"/>
        <w:tblpPr w:leftFromText="180" w:rightFromText="180" w:vertAnchor="text" w:horzAnchor="margin" w:tblpY="202"/>
        <w:tblW w:w="9182" w:type="dxa"/>
        <w:tblLook w:val="04A0" w:firstRow="1" w:lastRow="0" w:firstColumn="1" w:lastColumn="0" w:noHBand="0" w:noVBand="1"/>
      </w:tblPr>
      <w:tblGrid>
        <w:gridCol w:w="2295"/>
        <w:gridCol w:w="2295"/>
        <w:gridCol w:w="2295"/>
        <w:gridCol w:w="2297"/>
      </w:tblGrid>
      <w:tr w:rsidR="009F3AA7" w:rsidRPr="00C672E5" w14:paraId="1BB039E8" w14:textId="77777777" w:rsidTr="00DA74C8">
        <w:trPr>
          <w:trHeight w:val="990"/>
        </w:trPr>
        <w:tc>
          <w:tcPr>
            <w:tcW w:w="2295" w:type="dxa"/>
          </w:tcPr>
          <w:p w14:paraId="12DD2DF3" w14:textId="77777777" w:rsidR="009F3AA7" w:rsidRPr="00C672E5" w:rsidRDefault="009F3AA7" w:rsidP="00DA74C8">
            <w:pPr>
              <w:rPr>
                <w:rFonts w:cs="Arial"/>
                <w:b/>
                <w:bCs/>
                <w:sz w:val="32"/>
                <w:szCs w:val="32"/>
              </w:rPr>
            </w:pPr>
            <w:r w:rsidRPr="00C672E5">
              <w:rPr>
                <w:rFonts w:cs="Arial"/>
                <w:b/>
                <w:bCs/>
                <w:sz w:val="32"/>
                <w:szCs w:val="32"/>
              </w:rPr>
              <w:t>Student Name:</w:t>
            </w:r>
          </w:p>
        </w:tc>
        <w:tc>
          <w:tcPr>
            <w:tcW w:w="2295" w:type="dxa"/>
          </w:tcPr>
          <w:p w14:paraId="4A387867" w14:textId="77777777" w:rsidR="009F3AA7" w:rsidRPr="00C672E5" w:rsidRDefault="009F3AA7" w:rsidP="00DA74C8">
            <w:pPr>
              <w:rPr>
                <w:rFonts w:cs="Arial"/>
                <w:sz w:val="32"/>
                <w:szCs w:val="32"/>
              </w:rPr>
            </w:pPr>
            <w:r w:rsidRPr="00C672E5">
              <w:rPr>
                <w:rFonts w:cs="Arial"/>
                <w:sz w:val="32"/>
                <w:szCs w:val="32"/>
              </w:rPr>
              <w:t>Mushkanbi Multani</w:t>
            </w:r>
          </w:p>
        </w:tc>
        <w:tc>
          <w:tcPr>
            <w:tcW w:w="2295" w:type="dxa"/>
          </w:tcPr>
          <w:p w14:paraId="736FD8F0" w14:textId="77777777" w:rsidR="009F3AA7" w:rsidRPr="00C672E5" w:rsidRDefault="009F3AA7" w:rsidP="00DA74C8">
            <w:pPr>
              <w:rPr>
                <w:rFonts w:cs="Arial"/>
                <w:b/>
                <w:bCs/>
                <w:sz w:val="32"/>
                <w:szCs w:val="32"/>
              </w:rPr>
            </w:pPr>
            <w:r w:rsidRPr="00C672E5">
              <w:rPr>
                <w:rFonts w:cs="Arial"/>
                <w:b/>
                <w:bCs/>
                <w:sz w:val="32"/>
                <w:szCs w:val="32"/>
              </w:rPr>
              <w:t>Student ID:</w:t>
            </w:r>
          </w:p>
        </w:tc>
        <w:tc>
          <w:tcPr>
            <w:tcW w:w="2297" w:type="dxa"/>
          </w:tcPr>
          <w:p w14:paraId="24E26101" w14:textId="77777777" w:rsidR="009F3AA7" w:rsidRPr="00C672E5" w:rsidRDefault="009F3AA7" w:rsidP="00DA74C8">
            <w:pPr>
              <w:rPr>
                <w:rFonts w:cs="Arial"/>
                <w:sz w:val="32"/>
                <w:szCs w:val="32"/>
              </w:rPr>
            </w:pPr>
            <w:r w:rsidRPr="00C672E5">
              <w:rPr>
                <w:rFonts w:cs="Arial"/>
                <w:sz w:val="32"/>
                <w:szCs w:val="32"/>
              </w:rPr>
              <w:t>2531718</w:t>
            </w:r>
          </w:p>
        </w:tc>
      </w:tr>
      <w:tr w:rsidR="009F3AA7" w:rsidRPr="00C672E5" w14:paraId="612D44B1" w14:textId="77777777" w:rsidTr="00DA74C8">
        <w:trPr>
          <w:trHeight w:val="928"/>
        </w:trPr>
        <w:tc>
          <w:tcPr>
            <w:tcW w:w="2295" w:type="dxa"/>
          </w:tcPr>
          <w:p w14:paraId="52AA4B41" w14:textId="77777777" w:rsidR="009F3AA7" w:rsidRPr="00C672E5" w:rsidRDefault="009F3AA7" w:rsidP="00DA74C8">
            <w:pPr>
              <w:rPr>
                <w:rFonts w:cs="Arial"/>
                <w:b/>
                <w:bCs/>
                <w:sz w:val="32"/>
                <w:szCs w:val="32"/>
              </w:rPr>
            </w:pPr>
            <w:r w:rsidRPr="00C672E5">
              <w:rPr>
                <w:rFonts w:cs="Arial"/>
                <w:b/>
                <w:bCs/>
                <w:sz w:val="32"/>
                <w:szCs w:val="32"/>
              </w:rPr>
              <w:t>Programme:</w:t>
            </w:r>
          </w:p>
        </w:tc>
        <w:tc>
          <w:tcPr>
            <w:tcW w:w="6887" w:type="dxa"/>
            <w:gridSpan w:val="3"/>
          </w:tcPr>
          <w:p w14:paraId="6A15CB83" w14:textId="77777777" w:rsidR="009F3AA7" w:rsidRPr="00C672E5" w:rsidRDefault="009F3AA7" w:rsidP="00DA74C8">
            <w:pPr>
              <w:rPr>
                <w:rFonts w:cs="Arial"/>
                <w:sz w:val="32"/>
                <w:szCs w:val="32"/>
              </w:rPr>
            </w:pPr>
            <w:r w:rsidRPr="00C672E5">
              <w:rPr>
                <w:rFonts w:cs="Arial"/>
                <w:sz w:val="32"/>
                <w:szCs w:val="32"/>
              </w:rPr>
              <w:t>Master of Business Administration</w:t>
            </w:r>
          </w:p>
        </w:tc>
      </w:tr>
      <w:tr w:rsidR="009F3AA7" w:rsidRPr="00C672E5" w14:paraId="26363B88" w14:textId="77777777" w:rsidTr="00DA74C8">
        <w:trPr>
          <w:trHeight w:val="990"/>
        </w:trPr>
        <w:tc>
          <w:tcPr>
            <w:tcW w:w="2295" w:type="dxa"/>
          </w:tcPr>
          <w:p w14:paraId="20B12DEB" w14:textId="77777777" w:rsidR="009F3AA7" w:rsidRPr="00C672E5" w:rsidRDefault="009F3AA7" w:rsidP="009F3AA7">
            <w:pPr>
              <w:rPr>
                <w:rFonts w:cs="Arial"/>
                <w:b/>
                <w:bCs/>
                <w:sz w:val="32"/>
                <w:szCs w:val="32"/>
              </w:rPr>
            </w:pPr>
            <w:r w:rsidRPr="00C672E5">
              <w:rPr>
                <w:rFonts w:cs="Arial"/>
                <w:b/>
                <w:bCs/>
                <w:sz w:val="32"/>
                <w:szCs w:val="32"/>
              </w:rPr>
              <w:t>Module:</w:t>
            </w:r>
          </w:p>
        </w:tc>
        <w:tc>
          <w:tcPr>
            <w:tcW w:w="6887" w:type="dxa"/>
            <w:gridSpan w:val="3"/>
          </w:tcPr>
          <w:p w14:paraId="483B4E43" w14:textId="5C0DC9BD" w:rsidR="009F3AA7" w:rsidRPr="00C672E5" w:rsidRDefault="009F3AA7" w:rsidP="009F3AA7">
            <w:pPr>
              <w:rPr>
                <w:rFonts w:cs="Arial"/>
                <w:sz w:val="32"/>
                <w:szCs w:val="32"/>
              </w:rPr>
            </w:pPr>
            <w:r w:rsidRPr="006A747B">
              <w:rPr>
                <w:sz w:val="36"/>
                <w:szCs w:val="36"/>
              </w:rPr>
              <w:t>Financial Management</w:t>
            </w:r>
          </w:p>
        </w:tc>
      </w:tr>
      <w:tr w:rsidR="009F3AA7" w:rsidRPr="00C672E5" w14:paraId="49F7F226" w14:textId="77777777" w:rsidTr="00DA74C8">
        <w:trPr>
          <w:trHeight w:val="990"/>
        </w:trPr>
        <w:tc>
          <w:tcPr>
            <w:tcW w:w="2295" w:type="dxa"/>
          </w:tcPr>
          <w:p w14:paraId="0996860F" w14:textId="77777777" w:rsidR="009F3AA7" w:rsidRPr="00C672E5" w:rsidRDefault="009F3AA7" w:rsidP="009F3AA7">
            <w:pPr>
              <w:rPr>
                <w:rFonts w:cs="Arial"/>
                <w:b/>
                <w:bCs/>
                <w:sz w:val="32"/>
                <w:szCs w:val="32"/>
              </w:rPr>
            </w:pPr>
            <w:r w:rsidRPr="00C672E5">
              <w:rPr>
                <w:rFonts w:cs="Arial"/>
                <w:b/>
                <w:bCs/>
                <w:sz w:val="32"/>
                <w:szCs w:val="32"/>
              </w:rPr>
              <w:t>Module Code:</w:t>
            </w:r>
          </w:p>
        </w:tc>
        <w:tc>
          <w:tcPr>
            <w:tcW w:w="6887" w:type="dxa"/>
            <w:gridSpan w:val="3"/>
          </w:tcPr>
          <w:p w14:paraId="6EA1A305" w14:textId="57D85BDB" w:rsidR="009F3AA7" w:rsidRPr="00C672E5" w:rsidRDefault="009F3AA7" w:rsidP="009F3AA7">
            <w:pPr>
              <w:rPr>
                <w:rFonts w:cs="Arial"/>
                <w:sz w:val="32"/>
                <w:szCs w:val="32"/>
              </w:rPr>
            </w:pPr>
            <w:r w:rsidRPr="00C672E5">
              <w:rPr>
                <w:rFonts w:cs="Arial"/>
                <w:sz w:val="32"/>
                <w:szCs w:val="32"/>
              </w:rPr>
              <w:t>LCMB70</w:t>
            </w:r>
            <w:r>
              <w:rPr>
                <w:rFonts w:cs="Arial"/>
                <w:sz w:val="32"/>
                <w:szCs w:val="32"/>
              </w:rPr>
              <w:t>02</w:t>
            </w:r>
          </w:p>
        </w:tc>
      </w:tr>
      <w:tr w:rsidR="009F3AA7" w:rsidRPr="00C672E5" w14:paraId="5C4C6D4C" w14:textId="77777777" w:rsidTr="00DA74C8">
        <w:trPr>
          <w:trHeight w:val="990"/>
        </w:trPr>
        <w:tc>
          <w:tcPr>
            <w:tcW w:w="2295" w:type="dxa"/>
          </w:tcPr>
          <w:p w14:paraId="4811750B" w14:textId="77777777" w:rsidR="009F3AA7" w:rsidRPr="00C672E5" w:rsidRDefault="009F3AA7" w:rsidP="009F3AA7">
            <w:pPr>
              <w:rPr>
                <w:rFonts w:cs="Arial"/>
                <w:b/>
                <w:bCs/>
                <w:sz w:val="32"/>
                <w:szCs w:val="32"/>
              </w:rPr>
            </w:pPr>
            <w:r w:rsidRPr="00C672E5">
              <w:rPr>
                <w:rFonts w:cs="Arial"/>
                <w:b/>
                <w:bCs/>
                <w:sz w:val="32"/>
                <w:szCs w:val="32"/>
              </w:rPr>
              <w:t>Assignment Title:</w:t>
            </w:r>
          </w:p>
        </w:tc>
        <w:tc>
          <w:tcPr>
            <w:tcW w:w="6887" w:type="dxa"/>
            <w:gridSpan w:val="3"/>
          </w:tcPr>
          <w:p w14:paraId="60C40DA5" w14:textId="19177799" w:rsidR="009F3AA7" w:rsidRPr="00C672E5" w:rsidRDefault="009F3AA7" w:rsidP="009F3AA7">
            <w:pPr>
              <w:rPr>
                <w:rFonts w:cs="Arial"/>
                <w:sz w:val="32"/>
                <w:szCs w:val="32"/>
              </w:rPr>
            </w:pPr>
            <w:r w:rsidRPr="006A747B">
              <w:rPr>
                <w:sz w:val="36"/>
                <w:szCs w:val="36"/>
              </w:rPr>
              <w:t>Assessment component: Financial performance and management</w:t>
            </w:r>
          </w:p>
        </w:tc>
      </w:tr>
      <w:tr w:rsidR="009F3AA7" w:rsidRPr="00C672E5" w14:paraId="7FDEF394" w14:textId="77777777" w:rsidTr="00DA74C8">
        <w:trPr>
          <w:trHeight w:val="928"/>
        </w:trPr>
        <w:tc>
          <w:tcPr>
            <w:tcW w:w="2295" w:type="dxa"/>
          </w:tcPr>
          <w:p w14:paraId="7B09EE33" w14:textId="77777777" w:rsidR="009F3AA7" w:rsidRPr="00C672E5" w:rsidRDefault="009F3AA7" w:rsidP="009F3AA7">
            <w:pPr>
              <w:rPr>
                <w:rFonts w:cs="Arial"/>
                <w:b/>
                <w:bCs/>
                <w:sz w:val="32"/>
                <w:szCs w:val="32"/>
              </w:rPr>
            </w:pPr>
            <w:r w:rsidRPr="00C672E5">
              <w:rPr>
                <w:rFonts w:cs="Arial"/>
                <w:b/>
                <w:bCs/>
                <w:sz w:val="32"/>
                <w:szCs w:val="32"/>
              </w:rPr>
              <w:t>Lecturer Name:</w:t>
            </w:r>
          </w:p>
        </w:tc>
        <w:tc>
          <w:tcPr>
            <w:tcW w:w="6887" w:type="dxa"/>
            <w:gridSpan w:val="3"/>
          </w:tcPr>
          <w:p w14:paraId="47040274" w14:textId="521DE9C0" w:rsidR="009F3AA7" w:rsidRPr="00C672E5" w:rsidRDefault="003A2244" w:rsidP="009F3AA7">
            <w:pPr>
              <w:rPr>
                <w:rFonts w:cs="Arial"/>
                <w:sz w:val="32"/>
                <w:szCs w:val="32"/>
              </w:rPr>
            </w:pPr>
            <w:r>
              <w:rPr>
                <w:rFonts w:cs="Arial"/>
                <w:sz w:val="32"/>
                <w:szCs w:val="32"/>
              </w:rPr>
              <w:t>Isaiah Oino</w:t>
            </w:r>
          </w:p>
        </w:tc>
      </w:tr>
      <w:tr w:rsidR="009F3AA7" w:rsidRPr="00C672E5" w14:paraId="60DA0584" w14:textId="77777777" w:rsidTr="00DA74C8">
        <w:trPr>
          <w:trHeight w:val="990"/>
        </w:trPr>
        <w:tc>
          <w:tcPr>
            <w:tcW w:w="2295" w:type="dxa"/>
          </w:tcPr>
          <w:p w14:paraId="273373FF" w14:textId="77777777" w:rsidR="009F3AA7" w:rsidRPr="00C672E5" w:rsidRDefault="009F3AA7" w:rsidP="009F3AA7">
            <w:pPr>
              <w:rPr>
                <w:rFonts w:cs="Arial"/>
                <w:b/>
                <w:bCs/>
                <w:sz w:val="32"/>
                <w:szCs w:val="32"/>
              </w:rPr>
            </w:pPr>
            <w:r w:rsidRPr="00C672E5">
              <w:rPr>
                <w:rFonts w:cs="Arial"/>
                <w:b/>
                <w:bCs/>
                <w:sz w:val="32"/>
                <w:szCs w:val="32"/>
              </w:rPr>
              <w:t>Word Count:</w:t>
            </w:r>
          </w:p>
        </w:tc>
        <w:tc>
          <w:tcPr>
            <w:tcW w:w="2295" w:type="dxa"/>
          </w:tcPr>
          <w:p w14:paraId="7BF5C198" w14:textId="2705316F" w:rsidR="009F3AA7" w:rsidRPr="00C672E5" w:rsidRDefault="009F3AA7" w:rsidP="009F3AA7">
            <w:pPr>
              <w:rPr>
                <w:rFonts w:cs="Arial"/>
                <w:sz w:val="32"/>
                <w:szCs w:val="32"/>
              </w:rPr>
            </w:pPr>
            <w:r>
              <w:rPr>
                <w:rFonts w:cs="Arial"/>
                <w:sz w:val="32"/>
                <w:szCs w:val="32"/>
              </w:rPr>
              <w:t>5278</w:t>
            </w:r>
            <w:r w:rsidRPr="00C672E5">
              <w:rPr>
                <w:rFonts w:cs="Arial"/>
                <w:sz w:val="32"/>
                <w:szCs w:val="32"/>
              </w:rPr>
              <w:t>(Excluding References, Tables</w:t>
            </w:r>
            <w:r>
              <w:rPr>
                <w:rFonts w:cs="Arial"/>
                <w:sz w:val="32"/>
                <w:szCs w:val="32"/>
              </w:rPr>
              <w:t>)</w:t>
            </w:r>
          </w:p>
        </w:tc>
        <w:tc>
          <w:tcPr>
            <w:tcW w:w="2295" w:type="dxa"/>
          </w:tcPr>
          <w:p w14:paraId="1E10DAC2" w14:textId="77777777" w:rsidR="009F3AA7" w:rsidRPr="00C672E5" w:rsidRDefault="009F3AA7" w:rsidP="009F3AA7">
            <w:pPr>
              <w:rPr>
                <w:rFonts w:cs="Arial"/>
                <w:b/>
                <w:bCs/>
                <w:sz w:val="32"/>
                <w:szCs w:val="32"/>
              </w:rPr>
            </w:pPr>
            <w:r w:rsidRPr="00C672E5">
              <w:rPr>
                <w:rFonts w:cs="Arial"/>
                <w:b/>
                <w:bCs/>
                <w:sz w:val="32"/>
                <w:szCs w:val="32"/>
              </w:rPr>
              <w:t>Submission Date:</w:t>
            </w:r>
          </w:p>
        </w:tc>
        <w:tc>
          <w:tcPr>
            <w:tcW w:w="2297" w:type="dxa"/>
          </w:tcPr>
          <w:p w14:paraId="07A505BE" w14:textId="1A518EBE" w:rsidR="009F3AA7" w:rsidRPr="00C672E5" w:rsidRDefault="009F3AA7" w:rsidP="009F3AA7">
            <w:pPr>
              <w:rPr>
                <w:rFonts w:cs="Arial"/>
                <w:sz w:val="32"/>
                <w:szCs w:val="32"/>
              </w:rPr>
            </w:pPr>
            <w:r w:rsidRPr="00C672E5">
              <w:rPr>
                <w:rFonts w:cs="Arial"/>
                <w:sz w:val="32"/>
                <w:szCs w:val="32"/>
              </w:rPr>
              <w:t>2</w:t>
            </w:r>
            <w:r>
              <w:rPr>
                <w:rFonts w:cs="Arial"/>
                <w:sz w:val="32"/>
                <w:szCs w:val="32"/>
              </w:rPr>
              <w:t>4</w:t>
            </w:r>
            <w:r w:rsidRPr="00C672E5">
              <w:rPr>
                <w:rFonts w:cs="Arial"/>
                <w:sz w:val="32"/>
                <w:szCs w:val="32"/>
                <w:vertAlign w:val="superscript"/>
              </w:rPr>
              <w:t>th</w:t>
            </w:r>
            <w:r w:rsidRPr="00C672E5">
              <w:rPr>
                <w:rFonts w:cs="Arial"/>
                <w:sz w:val="32"/>
                <w:szCs w:val="32"/>
              </w:rPr>
              <w:t xml:space="preserve"> </w:t>
            </w:r>
            <w:r>
              <w:rPr>
                <w:rFonts w:cs="Arial"/>
                <w:sz w:val="32"/>
                <w:szCs w:val="32"/>
              </w:rPr>
              <w:t>April</w:t>
            </w:r>
            <w:r w:rsidRPr="00C672E5">
              <w:rPr>
                <w:rFonts w:cs="Arial"/>
                <w:sz w:val="32"/>
                <w:szCs w:val="32"/>
              </w:rPr>
              <w:t>, 2026</w:t>
            </w:r>
          </w:p>
        </w:tc>
      </w:tr>
    </w:tbl>
    <w:p w14:paraId="5B5EB8FD" w14:textId="250E7E1E" w:rsidR="00762CA0" w:rsidRPr="00762CA0" w:rsidRDefault="00762CA0" w:rsidP="00E51B00">
      <w:pPr>
        <w:spacing w:line="259" w:lineRule="auto"/>
        <w:ind w:left="360"/>
      </w:pPr>
    </w:p>
    <w:p w14:paraId="0272BA8E" w14:textId="77777777" w:rsidR="009F3AA7" w:rsidRDefault="009F3AA7">
      <w:pPr>
        <w:spacing w:line="259" w:lineRule="auto"/>
        <w:jc w:val="left"/>
        <w:rPr>
          <w:rFonts w:eastAsiaTheme="majorEastAsia" w:cstheme="majorBidi"/>
          <w:b/>
          <w:color w:val="000000" w:themeColor="text1"/>
          <w:sz w:val="32"/>
          <w:szCs w:val="40"/>
        </w:rPr>
      </w:pPr>
      <w:r>
        <w:br w:type="page"/>
      </w:r>
    </w:p>
    <w:sdt>
      <w:sdtPr>
        <w:rPr>
          <w:rFonts w:ascii="Times New Roman" w:eastAsiaTheme="minorHAnsi" w:hAnsi="Times New Roman" w:cstheme="minorBidi"/>
          <w:noProof/>
          <w:color w:val="auto"/>
          <w:kern w:val="2"/>
          <w:sz w:val="24"/>
          <w:szCs w:val="22"/>
          <w:lang w:val="en-IN"/>
          <w14:ligatures w14:val="standardContextual"/>
        </w:rPr>
        <w:id w:val="-612892056"/>
        <w:docPartObj>
          <w:docPartGallery w:val="Table of Contents"/>
          <w:docPartUnique/>
        </w:docPartObj>
      </w:sdtPr>
      <w:sdtEndPr>
        <w:rPr>
          <w:b/>
          <w:bCs/>
        </w:rPr>
      </w:sdtEndPr>
      <w:sdtContent>
        <w:p w14:paraId="25DA1526" w14:textId="22A59203" w:rsidR="009F3AA7" w:rsidRDefault="009F3AA7">
          <w:pPr>
            <w:pStyle w:val="TOCHeading"/>
          </w:pPr>
          <w:r>
            <w:t>Table of Contents</w:t>
          </w:r>
        </w:p>
        <w:p w14:paraId="38047045" w14:textId="221671B4" w:rsidR="009F3AA7" w:rsidRDefault="009F3AA7">
          <w:pPr>
            <w:pStyle w:val="TOC1"/>
            <w:tabs>
              <w:tab w:val="right" w:leader="dot" w:pos="9016"/>
            </w:tabs>
            <w:rPr>
              <w:rFonts w:asciiTheme="minorHAnsi" w:eastAsiaTheme="minorEastAsia" w:hAnsiTheme="minorHAnsi"/>
              <w:szCs w:val="24"/>
              <w:lang w:eastAsia="en-IN"/>
            </w:rPr>
          </w:pPr>
          <w:r>
            <w:fldChar w:fldCharType="begin"/>
          </w:r>
          <w:r>
            <w:instrText xml:space="preserve"> TOC \o "1-3" \h \z \u </w:instrText>
          </w:r>
          <w:r>
            <w:fldChar w:fldCharType="separate"/>
          </w:r>
          <w:hyperlink w:anchor="_Toc227074701" w:history="1">
            <w:r w:rsidRPr="00B01055">
              <w:rPr>
                <w:rStyle w:val="Hyperlink"/>
              </w:rPr>
              <w:t>1. Introduction</w:t>
            </w:r>
            <w:r>
              <w:rPr>
                <w:webHidden/>
              </w:rPr>
              <w:tab/>
            </w:r>
            <w:r>
              <w:rPr>
                <w:webHidden/>
              </w:rPr>
              <w:fldChar w:fldCharType="begin"/>
            </w:r>
            <w:r>
              <w:rPr>
                <w:webHidden/>
              </w:rPr>
              <w:instrText xml:space="preserve"> PAGEREF _Toc227074701 \h </w:instrText>
            </w:r>
            <w:r>
              <w:rPr>
                <w:webHidden/>
              </w:rPr>
            </w:r>
            <w:r>
              <w:rPr>
                <w:webHidden/>
              </w:rPr>
              <w:fldChar w:fldCharType="separate"/>
            </w:r>
            <w:r>
              <w:rPr>
                <w:webHidden/>
              </w:rPr>
              <w:t>1</w:t>
            </w:r>
            <w:r>
              <w:rPr>
                <w:webHidden/>
              </w:rPr>
              <w:fldChar w:fldCharType="end"/>
            </w:r>
          </w:hyperlink>
        </w:p>
        <w:p w14:paraId="1D53D0F3" w14:textId="055B4F93" w:rsidR="009F3AA7" w:rsidRDefault="009F3AA7">
          <w:pPr>
            <w:pStyle w:val="TOC1"/>
            <w:tabs>
              <w:tab w:val="right" w:leader="dot" w:pos="9016"/>
            </w:tabs>
            <w:rPr>
              <w:rFonts w:asciiTheme="minorHAnsi" w:eastAsiaTheme="minorEastAsia" w:hAnsiTheme="minorHAnsi"/>
              <w:szCs w:val="24"/>
              <w:lang w:eastAsia="en-IN"/>
            </w:rPr>
          </w:pPr>
          <w:hyperlink w:anchor="_Toc227074702" w:history="1">
            <w:r w:rsidRPr="00B01055">
              <w:rPr>
                <w:rStyle w:val="Hyperlink"/>
              </w:rPr>
              <w:t>2. Financial Health Check</w:t>
            </w:r>
            <w:r>
              <w:rPr>
                <w:webHidden/>
              </w:rPr>
              <w:tab/>
            </w:r>
            <w:r>
              <w:rPr>
                <w:webHidden/>
              </w:rPr>
              <w:fldChar w:fldCharType="begin"/>
            </w:r>
            <w:r>
              <w:rPr>
                <w:webHidden/>
              </w:rPr>
              <w:instrText xml:space="preserve"> PAGEREF _Toc227074702 \h </w:instrText>
            </w:r>
            <w:r>
              <w:rPr>
                <w:webHidden/>
              </w:rPr>
            </w:r>
            <w:r>
              <w:rPr>
                <w:webHidden/>
              </w:rPr>
              <w:fldChar w:fldCharType="separate"/>
            </w:r>
            <w:r>
              <w:rPr>
                <w:webHidden/>
              </w:rPr>
              <w:t>1</w:t>
            </w:r>
            <w:r>
              <w:rPr>
                <w:webHidden/>
              </w:rPr>
              <w:fldChar w:fldCharType="end"/>
            </w:r>
          </w:hyperlink>
        </w:p>
        <w:p w14:paraId="3383B180" w14:textId="2F7D0A9E" w:rsidR="009F3AA7" w:rsidRDefault="009F3AA7">
          <w:pPr>
            <w:pStyle w:val="TOC2"/>
            <w:tabs>
              <w:tab w:val="right" w:leader="dot" w:pos="9016"/>
            </w:tabs>
            <w:rPr>
              <w:rFonts w:asciiTheme="minorHAnsi" w:eastAsiaTheme="minorEastAsia" w:hAnsiTheme="minorHAnsi"/>
              <w:szCs w:val="24"/>
              <w:lang w:eastAsia="en-IN"/>
            </w:rPr>
          </w:pPr>
          <w:hyperlink w:anchor="_Toc227074703" w:history="1">
            <w:r w:rsidRPr="00B01055">
              <w:rPr>
                <w:rStyle w:val="Hyperlink"/>
              </w:rPr>
              <w:t>2.1 Financial Performance Overview</w:t>
            </w:r>
            <w:r>
              <w:rPr>
                <w:webHidden/>
              </w:rPr>
              <w:tab/>
            </w:r>
            <w:r>
              <w:rPr>
                <w:webHidden/>
              </w:rPr>
              <w:fldChar w:fldCharType="begin"/>
            </w:r>
            <w:r>
              <w:rPr>
                <w:webHidden/>
              </w:rPr>
              <w:instrText xml:space="preserve"> PAGEREF _Toc227074703 \h </w:instrText>
            </w:r>
            <w:r>
              <w:rPr>
                <w:webHidden/>
              </w:rPr>
            </w:r>
            <w:r>
              <w:rPr>
                <w:webHidden/>
              </w:rPr>
              <w:fldChar w:fldCharType="separate"/>
            </w:r>
            <w:r>
              <w:rPr>
                <w:webHidden/>
              </w:rPr>
              <w:t>1</w:t>
            </w:r>
            <w:r>
              <w:rPr>
                <w:webHidden/>
              </w:rPr>
              <w:fldChar w:fldCharType="end"/>
            </w:r>
          </w:hyperlink>
        </w:p>
        <w:p w14:paraId="5E3D5051" w14:textId="6E7BCE4D" w:rsidR="009F3AA7" w:rsidRDefault="009F3AA7">
          <w:pPr>
            <w:pStyle w:val="TOC2"/>
            <w:tabs>
              <w:tab w:val="right" w:leader="dot" w:pos="9016"/>
            </w:tabs>
            <w:rPr>
              <w:rFonts w:asciiTheme="minorHAnsi" w:eastAsiaTheme="minorEastAsia" w:hAnsiTheme="minorHAnsi"/>
              <w:szCs w:val="24"/>
              <w:lang w:eastAsia="en-IN"/>
            </w:rPr>
          </w:pPr>
          <w:hyperlink w:anchor="_Toc227074704" w:history="1">
            <w:r w:rsidRPr="00B01055">
              <w:rPr>
                <w:rStyle w:val="Hyperlink"/>
              </w:rPr>
              <w:t>2.2 Profitability Analysis</w:t>
            </w:r>
            <w:r>
              <w:rPr>
                <w:webHidden/>
              </w:rPr>
              <w:tab/>
            </w:r>
            <w:r>
              <w:rPr>
                <w:webHidden/>
              </w:rPr>
              <w:fldChar w:fldCharType="begin"/>
            </w:r>
            <w:r>
              <w:rPr>
                <w:webHidden/>
              </w:rPr>
              <w:instrText xml:space="preserve"> PAGEREF _Toc227074704 \h </w:instrText>
            </w:r>
            <w:r>
              <w:rPr>
                <w:webHidden/>
              </w:rPr>
            </w:r>
            <w:r>
              <w:rPr>
                <w:webHidden/>
              </w:rPr>
              <w:fldChar w:fldCharType="separate"/>
            </w:r>
            <w:r>
              <w:rPr>
                <w:webHidden/>
              </w:rPr>
              <w:t>2</w:t>
            </w:r>
            <w:r>
              <w:rPr>
                <w:webHidden/>
              </w:rPr>
              <w:fldChar w:fldCharType="end"/>
            </w:r>
          </w:hyperlink>
        </w:p>
        <w:p w14:paraId="713F24F1" w14:textId="6E49012A" w:rsidR="009F3AA7" w:rsidRDefault="009F3AA7">
          <w:pPr>
            <w:pStyle w:val="TOC2"/>
            <w:tabs>
              <w:tab w:val="right" w:leader="dot" w:pos="9016"/>
            </w:tabs>
            <w:rPr>
              <w:rFonts w:asciiTheme="minorHAnsi" w:eastAsiaTheme="minorEastAsia" w:hAnsiTheme="minorHAnsi"/>
              <w:szCs w:val="24"/>
              <w:lang w:eastAsia="en-IN"/>
            </w:rPr>
          </w:pPr>
          <w:hyperlink w:anchor="_Toc227074705" w:history="1">
            <w:r w:rsidRPr="00B01055">
              <w:rPr>
                <w:rStyle w:val="Hyperlink"/>
              </w:rPr>
              <w:t>2.3 Liquidity Analysis</w:t>
            </w:r>
            <w:r>
              <w:rPr>
                <w:webHidden/>
              </w:rPr>
              <w:tab/>
            </w:r>
            <w:r>
              <w:rPr>
                <w:webHidden/>
              </w:rPr>
              <w:fldChar w:fldCharType="begin"/>
            </w:r>
            <w:r>
              <w:rPr>
                <w:webHidden/>
              </w:rPr>
              <w:instrText xml:space="preserve"> PAGEREF _Toc227074705 \h </w:instrText>
            </w:r>
            <w:r>
              <w:rPr>
                <w:webHidden/>
              </w:rPr>
            </w:r>
            <w:r>
              <w:rPr>
                <w:webHidden/>
              </w:rPr>
              <w:fldChar w:fldCharType="separate"/>
            </w:r>
            <w:r>
              <w:rPr>
                <w:webHidden/>
              </w:rPr>
              <w:t>3</w:t>
            </w:r>
            <w:r>
              <w:rPr>
                <w:webHidden/>
              </w:rPr>
              <w:fldChar w:fldCharType="end"/>
            </w:r>
          </w:hyperlink>
        </w:p>
        <w:p w14:paraId="1E791283" w14:textId="069453C2" w:rsidR="009F3AA7" w:rsidRDefault="009F3AA7">
          <w:pPr>
            <w:pStyle w:val="TOC2"/>
            <w:tabs>
              <w:tab w:val="right" w:leader="dot" w:pos="9016"/>
            </w:tabs>
            <w:rPr>
              <w:rFonts w:asciiTheme="minorHAnsi" w:eastAsiaTheme="minorEastAsia" w:hAnsiTheme="minorHAnsi"/>
              <w:szCs w:val="24"/>
              <w:lang w:eastAsia="en-IN"/>
            </w:rPr>
          </w:pPr>
          <w:hyperlink w:anchor="_Toc227074706" w:history="1">
            <w:r w:rsidRPr="00B01055">
              <w:rPr>
                <w:rStyle w:val="Hyperlink"/>
              </w:rPr>
              <w:t>2.4 Efficiency Analysis</w:t>
            </w:r>
            <w:r>
              <w:rPr>
                <w:webHidden/>
              </w:rPr>
              <w:tab/>
            </w:r>
            <w:r>
              <w:rPr>
                <w:webHidden/>
              </w:rPr>
              <w:fldChar w:fldCharType="begin"/>
            </w:r>
            <w:r>
              <w:rPr>
                <w:webHidden/>
              </w:rPr>
              <w:instrText xml:space="preserve"> PAGEREF _Toc227074706 \h </w:instrText>
            </w:r>
            <w:r>
              <w:rPr>
                <w:webHidden/>
              </w:rPr>
            </w:r>
            <w:r>
              <w:rPr>
                <w:webHidden/>
              </w:rPr>
              <w:fldChar w:fldCharType="separate"/>
            </w:r>
            <w:r>
              <w:rPr>
                <w:webHidden/>
              </w:rPr>
              <w:t>3</w:t>
            </w:r>
            <w:r>
              <w:rPr>
                <w:webHidden/>
              </w:rPr>
              <w:fldChar w:fldCharType="end"/>
            </w:r>
          </w:hyperlink>
        </w:p>
        <w:p w14:paraId="25C7E0DE" w14:textId="460D4D29" w:rsidR="009F3AA7" w:rsidRDefault="009F3AA7">
          <w:pPr>
            <w:pStyle w:val="TOC2"/>
            <w:tabs>
              <w:tab w:val="right" w:leader="dot" w:pos="9016"/>
            </w:tabs>
            <w:rPr>
              <w:rFonts w:asciiTheme="minorHAnsi" w:eastAsiaTheme="minorEastAsia" w:hAnsiTheme="minorHAnsi"/>
              <w:szCs w:val="24"/>
              <w:lang w:eastAsia="en-IN"/>
            </w:rPr>
          </w:pPr>
          <w:hyperlink w:anchor="_Toc227074707" w:history="1">
            <w:r w:rsidRPr="00B01055">
              <w:rPr>
                <w:rStyle w:val="Hyperlink"/>
              </w:rPr>
              <w:t>2.5 Gearing Analysis</w:t>
            </w:r>
            <w:r>
              <w:rPr>
                <w:webHidden/>
              </w:rPr>
              <w:tab/>
            </w:r>
            <w:r>
              <w:rPr>
                <w:webHidden/>
              </w:rPr>
              <w:fldChar w:fldCharType="begin"/>
            </w:r>
            <w:r>
              <w:rPr>
                <w:webHidden/>
              </w:rPr>
              <w:instrText xml:space="preserve"> PAGEREF _Toc227074707 \h </w:instrText>
            </w:r>
            <w:r>
              <w:rPr>
                <w:webHidden/>
              </w:rPr>
            </w:r>
            <w:r>
              <w:rPr>
                <w:webHidden/>
              </w:rPr>
              <w:fldChar w:fldCharType="separate"/>
            </w:r>
            <w:r>
              <w:rPr>
                <w:webHidden/>
              </w:rPr>
              <w:t>4</w:t>
            </w:r>
            <w:r>
              <w:rPr>
                <w:webHidden/>
              </w:rPr>
              <w:fldChar w:fldCharType="end"/>
            </w:r>
          </w:hyperlink>
        </w:p>
        <w:p w14:paraId="000A5DBF" w14:textId="05AD685A" w:rsidR="009F3AA7" w:rsidRDefault="009F3AA7">
          <w:pPr>
            <w:pStyle w:val="TOC2"/>
            <w:tabs>
              <w:tab w:val="right" w:leader="dot" w:pos="9016"/>
            </w:tabs>
            <w:rPr>
              <w:rFonts w:asciiTheme="minorHAnsi" w:eastAsiaTheme="minorEastAsia" w:hAnsiTheme="minorHAnsi"/>
              <w:szCs w:val="24"/>
              <w:lang w:eastAsia="en-IN"/>
            </w:rPr>
          </w:pPr>
          <w:hyperlink w:anchor="_Toc227074708" w:history="1">
            <w:r w:rsidRPr="00B01055">
              <w:rPr>
                <w:rStyle w:val="Hyperlink"/>
              </w:rPr>
              <w:t>2.6 Investment Ratios and Market Perspective</w:t>
            </w:r>
            <w:r>
              <w:rPr>
                <w:webHidden/>
              </w:rPr>
              <w:tab/>
            </w:r>
            <w:r>
              <w:rPr>
                <w:webHidden/>
              </w:rPr>
              <w:fldChar w:fldCharType="begin"/>
            </w:r>
            <w:r>
              <w:rPr>
                <w:webHidden/>
              </w:rPr>
              <w:instrText xml:space="preserve"> PAGEREF _Toc227074708 \h </w:instrText>
            </w:r>
            <w:r>
              <w:rPr>
                <w:webHidden/>
              </w:rPr>
            </w:r>
            <w:r>
              <w:rPr>
                <w:webHidden/>
              </w:rPr>
              <w:fldChar w:fldCharType="separate"/>
            </w:r>
            <w:r>
              <w:rPr>
                <w:webHidden/>
              </w:rPr>
              <w:t>5</w:t>
            </w:r>
            <w:r>
              <w:rPr>
                <w:webHidden/>
              </w:rPr>
              <w:fldChar w:fldCharType="end"/>
            </w:r>
          </w:hyperlink>
        </w:p>
        <w:p w14:paraId="28BB2B99" w14:textId="682CF299" w:rsidR="009F3AA7" w:rsidRDefault="009F3AA7">
          <w:pPr>
            <w:pStyle w:val="TOC2"/>
            <w:tabs>
              <w:tab w:val="right" w:leader="dot" w:pos="9016"/>
            </w:tabs>
            <w:rPr>
              <w:rFonts w:asciiTheme="minorHAnsi" w:eastAsiaTheme="minorEastAsia" w:hAnsiTheme="minorHAnsi"/>
              <w:szCs w:val="24"/>
              <w:lang w:eastAsia="en-IN"/>
            </w:rPr>
          </w:pPr>
          <w:hyperlink w:anchor="_Toc227074709" w:history="1">
            <w:r w:rsidRPr="00B01055">
              <w:rPr>
                <w:rStyle w:val="Hyperlink"/>
              </w:rPr>
              <w:t>2.7 Critical Summary</w:t>
            </w:r>
            <w:r>
              <w:rPr>
                <w:webHidden/>
              </w:rPr>
              <w:tab/>
            </w:r>
            <w:r>
              <w:rPr>
                <w:webHidden/>
              </w:rPr>
              <w:fldChar w:fldCharType="begin"/>
            </w:r>
            <w:r>
              <w:rPr>
                <w:webHidden/>
              </w:rPr>
              <w:instrText xml:space="preserve"> PAGEREF _Toc227074709 \h </w:instrText>
            </w:r>
            <w:r>
              <w:rPr>
                <w:webHidden/>
              </w:rPr>
            </w:r>
            <w:r>
              <w:rPr>
                <w:webHidden/>
              </w:rPr>
              <w:fldChar w:fldCharType="separate"/>
            </w:r>
            <w:r>
              <w:rPr>
                <w:webHidden/>
              </w:rPr>
              <w:t>5</w:t>
            </w:r>
            <w:r>
              <w:rPr>
                <w:webHidden/>
              </w:rPr>
              <w:fldChar w:fldCharType="end"/>
            </w:r>
          </w:hyperlink>
        </w:p>
        <w:p w14:paraId="2F8463CD" w14:textId="4EF369E6" w:rsidR="009F3AA7" w:rsidRDefault="009F3AA7">
          <w:pPr>
            <w:pStyle w:val="TOC1"/>
            <w:tabs>
              <w:tab w:val="right" w:leader="dot" w:pos="9016"/>
            </w:tabs>
            <w:rPr>
              <w:rFonts w:asciiTheme="minorHAnsi" w:eastAsiaTheme="minorEastAsia" w:hAnsiTheme="minorHAnsi"/>
              <w:szCs w:val="24"/>
              <w:lang w:eastAsia="en-IN"/>
            </w:rPr>
          </w:pPr>
          <w:hyperlink w:anchor="_Toc227074710" w:history="1">
            <w:r w:rsidRPr="00B01055">
              <w:rPr>
                <w:rStyle w:val="Hyperlink"/>
              </w:rPr>
              <w:t>3. Working Capital Management Analysis</w:t>
            </w:r>
            <w:r>
              <w:rPr>
                <w:webHidden/>
              </w:rPr>
              <w:tab/>
            </w:r>
            <w:r>
              <w:rPr>
                <w:webHidden/>
              </w:rPr>
              <w:fldChar w:fldCharType="begin"/>
            </w:r>
            <w:r>
              <w:rPr>
                <w:webHidden/>
              </w:rPr>
              <w:instrText xml:space="preserve"> PAGEREF _Toc227074710 \h </w:instrText>
            </w:r>
            <w:r>
              <w:rPr>
                <w:webHidden/>
              </w:rPr>
            </w:r>
            <w:r>
              <w:rPr>
                <w:webHidden/>
              </w:rPr>
              <w:fldChar w:fldCharType="separate"/>
            </w:r>
            <w:r>
              <w:rPr>
                <w:webHidden/>
              </w:rPr>
              <w:t>5</w:t>
            </w:r>
            <w:r>
              <w:rPr>
                <w:webHidden/>
              </w:rPr>
              <w:fldChar w:fldCharType="end"/>
            </w:r>
          </w:hyperlink>
        </w:p>
        <w:p w14:paraId="04F58113" w14:textId="07FDC900" w:rsidR="009F3AA7" w:rsidRDefault="009F3AA7">
          <w:pPr>
            <w:pStyle w:val="TOC2"/>
            <w:tabs>
              <w:tab w:val="right" w:leader="dot" w:pos="9016"/>
            </w:tabs>
            <w:rPr>
              <w:rFonts w:asciiTheme="minorHAnsi" w:eastAsiaTheme="minorEastAsia" w:hAnsiTheme="minorHAnsi"/>
              <w:szCs w:val="24"/>
              <w:lang w:eastAsia="en-IN"/>
            </w:rPr>
          </w:pPr>
          <w:hyperlink w:anchor="_Toc227074711" w:history="1">
            <w:r w:rsidRPr="00B01055">
              <w:rPr>
                <w:rStyle w:val="Hyperlink"/>
              </w:rPr>
              <w:t>3.1 Conversion Cycle Analysis of Cash Analysis</w:t>
            </w:r>
            <w:r>
              <w:rPr>
                <w:webHidden/>
              </w:rPr>
              <w:tab/>
            </w:r>
            <w:r>
              <w:rPr>
                <w:webHidden/>
              </w:rPr>
              <w:fldChar w:fldCharType="begin"/>
            </w:r>
            <w:r>
              <w:rPr>
                <w:webHidden/>
              </w:rPr>
              <w:instrText xml:space="preserve"> PAGEREF _Toc227074711 \h </w:instrText>
            </w:r>
            <w:r>
              <w:rPr>
                <w:webHidden/>
              </w:rPr>
            </w:r>
            <w:r>
              <w:rPr>
                <w:webHidden/>
              </w:rPr>
              <w:fldChar w:fldCharType="separate"/>
            </w:r>
            <w:r>
              <w:rPr>
                <w:webHidden/>
              </w:rPr>
              <w:t>5</w:t>
            </w:r>
            <w:r>
              <w:rPr>
                <w:webHidden/>
              </w:rPr>
              <w:fldChar w:fldCharType="end"/>
            </w:r>
          </w:hyperlink>
        </w:p>
        <w:p w14:paraId="596561F5" w14:textId="6ABF7FF5" w:rsidR="009F3AA7" w:rsidRDefault="009F3AA7">
          <w:pPr>
            <w:pStyle w:val="TOC2"/>
            <w:tabs>
              <w:tab w:val="right" w:leader="dot" w:pos="9016"/>
            </w:tabs>
            <w:rPr>
              <w:rFonts w:asciiTheme="minorHAnsi" w:eastAsiaTheme="minorEastAsia" w:hAnsiTheme="minorHAnsi"/>
              <w:szCs w:val="24"/>
              <w:lang w:eastAsia="en-IN"/>
            </w:rPr>
          </w:pPr>
          <w:hyperlink w:anchor="_Toc227074712" w:history="1">
            <w:r w:rsidRPr="00B01055">
              <w:rPr>
                <w:rStyle w:val="Hyperlink"/>
              </w:rPr>
              <w:t>3.2 Working Capital Performance and Key Issues</w:t>
            </w:r>
            <w:r>
              <w:rPr>
                <w:webHidden/>
              </w:rPr>
              <w:tab/>
            </w:r>
            <w:r>
              <w:rPr>
                <w:webHidden/>
              </w:rPr>
              <w:fldChar w:fldCharType="begin"/>
            </w:r>
            <w:r>
              <w:rPr>
                <w:webHidden/>
              </w:rPr>
              <w:instrText xml:space="preserve"> PAGEREF _Toc227074712 \h </w:instrText>
            </w:r>
            <w:r>
              <w:rPr>
                <w:webHidden/>
              </w:rPr>
            </w:r>
            <w:r>
              <w:rPr>
                <w:webHidden/>
              </w:rPr>
              <w:fldChar w:fldCharType="separate"/>
            </w:r>
            <w:r>
              <w:rPr>
                <w:webHidden/>
              </w:rPr>
              <w:t>6</w:t>
            </w:r>
            <w:r>
              <w:rPr>
                <w:webHidden/>
              </w:rPr>
              <w:fldChar w:fldCharType="end"/>
            </w:r>
          </w:hyperlink>
        </w:p>
        <w:p w14:paraId="216BECB7" w14:textId="4D105015" w:rsidR="009F3AA7" w:rsidRDefault="009F3AA7">
          <w:pPr>
            <w:pStyle w:val="TOC2"/>
            <w:tabs>
              <w:tab w:val="right" w:leader="dot" w:pos="9016"/>
            </w:tabs>
            <w:rPr>
              <w:rFonts w:asciiTheme="minorHAnsi" w:eastAsiaTheme="minorEastAsia" w:hAnsiTheme="minorHAnsi"/>
              <w:szCs w:val="24"/>
              <w:lang w:eastAsia="en-IN"/>
            </w:rPr>
          </w:pPr>
          <w:hyperlink w:anchor="_Toc227074713" w:history="1">
            <w:r w:rsidRPr="00B01055">
              <w:rPr>
                <w:rStyle w:val="Hyperlink"/>
              </w:rPr>
              <w:t>3.3 Strategies to Improve Working Capital Efficiency</w:t>
            </w:r>
            <w:r>
              <w:rPr>
                <w:webHidden/>
              </w:rPr>
              <w:tab/>
            </w:r>
            <w:r>
              <w:rPr>
                <w:webHidden/>
              </w:rPr>
              <w:fldChar w:fldCharType="begin"/>
            </w:r>
            <w:r>
              <w:rPr>
                <w:webHidden/>
              </w:rPr>
              <w:instrText xml:space="preserve"> PAGEREF _Toc227074713 \h </w:instrText>
            </w:r>
            <w:r>
              <w:rPr>
                <w:webHidden/>
              </w:rPr>
            </w:r>
            <w:r>
              <w:rPr>
                <w:webHidden/>
              </w:rPr>
              <w:fldChar w:fldCharType="separate"/>
            </w:r>
            <w:r>
              <w:rPr>
                <w:webHidden/>
              </w:rPr>
              <w:t>7</w:t>
            </w:r>
            <w:r>
              <w:rPr>
                <w:webHidden/>
              </w:rPr>
              <w:fldChar w:fldCharType="end"/>
            </w:r>
          </w:hyperlink>
        </w:p>
        <w:p w14:paraId="4464F3DC" w14:textId="0FCC1C0F" w:rsidR="009F3AA7" w:rsidRDefault="009F3AA7">
          <w:pPr>
            <w:pStyle w:val="TOC2"/>
            <w:tabs>
              <w:tab w:val="right" w:leader="dot" w:pos="9016"/>
            </w:tabs>
            <w:rPr>
              <w:rFonts w:asciiTheme="minorHAnsi" w:eastAsiaTheme="minorEastAsia" w:hAnsiTheme="minorHAnsi"/>
              <w:szCs w:val="24"/>
              <w:lang w:eastAsia="en-IN"/>
            </w:rPr>
          </w:pPr>
          <w:hyperlink w:anchor="_Toc227074714" w:history="1">
            <w:r w:rsidRPr="00B01055">
              <w:rPr>
                <w:rStyle w:val="Hyperlink"/>
              </w:rPr>
              <w:t>3.4 Short-Term vs Long-Term Financing</w:t>
            </w:r>
            <w:r>
              <w:rPr>
                <w:webHidden/>
              </w:rPr>
              <w:tab/>
            </w:r>
            <w:r>
              <w:rPr>
                <w:webHidden/>
              </w:rPr>
              <w:fldChar w:fldCharType="begin"/>
            </w:r>
            <w:r>
              <w:rPr>
                <w:webHidden/>
              </w:rPr>
              <w:instrText xml:space="preserve"> PAGEREF _Toc227074714 \h </w:instrText>
            </w:r>
            <w:r>
              <w:rPr>
                <w:webHidden/>
              </w:rPr>
            </w:r>
            <w:r>
              <w:rPr>
                <w:webHidden/>
              </w:rPr>
              <w:fldChar w:fldCharType="separate"/>
            </w:r>
            <w:r>
              <w:rPr>
                <w:webHidden/>
              </w:rPr>
              <w:t>7</w:t>
            </w:r>
            <w:r>
              <w:rPr>
                <w:webHidden/>
              </w:rPr>
              <w:fldChar w:fldCharType="end"/>
            </w:r>
          </w:hyperlink>
        </w:p>
        <w:p w14:paraId="6FEC0E6B" w14:textId="22F401B8" w:rsidR="009F3AA7" w:rsidRDefault="009F3AA7">
          <w:pPr>
            <w:pStyle w:val="TOC2"/>
            <w:tabs>
              <w:tab w:val="right" w:leader="dot" w:pos="9016"/>
            </w:tabs>
            <w:rPr>
              <w:rFonts w:asciiTheme="minorHAnsi" w:eastAsiaTheme="minorEastAsia" w:hAnsiTheme="minorHAnsi"/>
              <w:szCs w:val="24"/>
              <w:lang w:eastAsia="en-IN"/>
            </w:rPr>
          </w:pPr>
          <w:hyperlink w:anchor="_Toc227074715" w:history="1">
            <w:r w:rsidRPr="00B01055">
              <w:rPr>
                <w:rStyle w:val="Hyperlink"/>
              </w:rPr>
              <w:t>3.5 Critical Summary</w:t>
            </w:r>
            <w:r>
              <w:rPr>
                <w:webHidden/>
              </w:rPr>
              <w:tab/>
            </w:r>
            <w:r>
              <w:rPr>
                <w:webHidden/>
              </w:rPr>
              <w:fldChar w:fldCharType="begin"/>
            </w:r>
            <w:r>
              <w:rPr>
                <w:webHidden/>
              </w:rPr>
              <w:instrText xml:space="preserve"> PAGEREF _Toc227074715 \h </w:instrText>
            </w:r>
            <w:r>
              <w:rPr>
                <w:webHidden/>
              </w:rPr>
            </w:r>
            <w:r>
              <w:rPr>
                <w:webHidden/>
              </w:rPr>
              <w:fldChar w:fldCharType="separate"/>
            </w:r>
            <w:r>
              <w:rPr>
                <w:webHidden/>
              </w:rPr>
              <w:t>8</w:t>
            </w:r>
            <w:r>
              <w:rPr>
                <w:webHidden/>
              </w:rPr>
              <w:fldChar w:fldCharType="end"/>
            </w:r>
          </w:hyperlink>
        </w:p>
        <w:p w14:paraId="4DF2145C" w14:textId="4DC894E7" w:rsidR="009F3AA7" w:rsidRDefault="009F3AA7">
          <w:pPr>
            <w:pStyle w:val="TOC1"/>
            <w:tabs>
              <w:tab w:val="right" w:leader="dot" w:pos="9016"/>
            </w:tabs>
            <w:rPr>
              <w:rFonts w:asciiTheme="minorHAnsi" w:eastAsiaTheme="minorEastAsia" w:hAnsiTheme="minorHAnsi"/>
              <w:szCs w:val="24"/>
              <w:lang w:eastAsia="en-IN"/>
            </w:rPr>
          </w:pPr>
          <w:hyperlink w:anchor="_Toc227074716" w:history="1">
            <w:r w:rsidRPr="00B01055">
              <w:rPr>
                <w:rStyle w:val="Hyperlink"/>
              </w:rPr>
              <w:t>4. Strategic Financial Restructuring Plan</w:t>
            </w:r>
            <w:r>
              <w:rPr>
                <w:webHidden/>
              </w:rPr>
              <w:tab/>
            </w:r>
            <w:r>
              <w:rPr>
                <w:webHidden/>
              </w:rPr>
              <w:fldChar w:fldCharType="begin"/>
            </w:r>
            <w:r>
              <w:rPr>
                <w:webHidden/>
              </w:rPr>
              <w:instrText xml:space="preserve"> PAGEREF _Toc227074716 \h </w:instrText>
            </w:r>
            <w:r>
              <w:rPr>
                <w:webHidden/>
              </w:rPr>
            </w:r>
            <w:r>
              <w:rPr>
                <w:webHidden/>
              </w:rPr>
              <w:fldChar w:fldCharType="separate"/>
            </w:r>
            <w:r>
              <w:rPr>
                <w:webHidden/>
              </w:rPr>
              <w:t>8</w:t>
            </w:r>
            <w:r>
              <w:rPr>
                <w:webHidden/>
              </w:rPr>
              <w:fldChar w:fldCharType="end"/>
            </w:r>
          </w:hyperlink>
        </w:p>
        <w:p w14:paraId="5B03E011" w14:textId="19FD9CB9" w:rsidR="009F3AA7" w:rsidRDefault="009F3AA7">
          <w:pPr>
            <w:pStyle w:val="TOC2"/>
            <w:tabs>
              <w:tab w:val="right" w:leader="dot" w:pos="9016"/>
            </w:tabs>
            <w:rPr>
              <w:rFonts w:asciiTheme="minorHAnsi" w:eastAsiaTheme="minorEastAsia" w:hAnsiTheme="minorHAnsi"/>
              <w:szCs w:val="24"/>
              <w:lang w:eastAsia="en-IN"/>
            </w:rPr>
          </w:pPr>
          <w:hyperlink w:anchor="_Toc227074717" w:history="1">
            <w:r w:rsidRPr="00B01055">
              <w:rPr>
                <w:rStyle w:val="Hyperlink"/>
              </w:rPr>
              <w:t>4.1 Current Financial Issues</w:t>
            </w:r>
            <w:r>
              <w:rPr>
                <w:webHidden/>
              </w:rPr>
              <w:tab/>
            </w:r>
            <w:r>
              <w:rPr>
                <w:webHidden/>
              </w:rPr>
              <w:fldChar w:fldCharType="begin"/>
            </w:r>
            <w:r>
              <w:rPr>
                <w:webHidden/>
              </w:rPr>
              <w:instrText xml:space="preserve"> PAGEREF _Toc227074717 \h </w:instrText>
            </w:r>
            <w:r>
              <w:rPr>
                <w:webHidden/>
              </w:rPr>
            </w:r>
            <w:r>
              <w:rPr>
                <w:webHidden/>
              </w:rPr>
              <w:fldChar w:fldCharType="separate"/>
            </w:r>
            <w:r>
              <w:rPr>
                <w:webHidden/>
              </w:rPr>
              <w:t>8</w:t>
            </w:r>
            <w:r>
              <w:rPr>
                <w:webHidden/>
              </w:rPr>
              <w:fldChar w:fldCharType="end"/>
            </w:r>
          </w:hyperlink>
        </w:p>
        <w:p w14:paraId="3EB7D36D" w14:textId="00CDC763" w:rsidR="009F3AA7" w:rsidRDefault="009F3AA7">
          <w:pPr>
            <w:pStyle w:val="TOC2"/>
            <w:tabs>
              <w:tab w:val="right" w:leader="dot" w:pos="9016"/>
            </w:tabs>
            <w:rPr>
              <w:rFonts w:asciiTheme="minorHAnsi" w:eastAsiaTheme="minorEastAsia" w:hAnsiTheme="minorHAnsi"/>
              <w:szCs w:val="24"/>
              <w:lang w:eastAsia="en-IN"/>
            </w:rPr>
          </w:pPr>
          <w:hyperlink w:anchor="_Toc227074718" w:history="1">
            <w:r w:rsidRPr="00B01055">
              <w:rPr>
                <w:rStyle w:val="Hyperlink"/>
              </w:rPr>
              <w:t>4.2 Financial Restructuring Options</w:t>
            </w:r>
            <w:r>
              <w:rPr>
                <w:webHidden/>
              </w:rPr>
              <w:tab/>
            </w:r>
            <w:r>
              <w:rPr>
                <w:webHidden/>
              </w:rPr>
              <w:fldChar w:fldCharType="begin"/>
            </w:r>
            <w:r>
              <w:rPr>
                <w:webHidden/>
              </w:rPr>
              <w:instrText xml:space="preserve"> PAGEREF _Toc227074718 \h </w:instrText>
            </w:r>
            <w:r>
              <w:rPr>
                <w:webHidden/>
              </w:rPr>
            </w:r>
            <w:r>
              <w:rPr>
                <w:webHidden/>
              </w:rPr>
              <w:fldChar w:fldCharType="separate"/>
            </w:r>
            <w:r>
              <w:rPr>
                <w:webHidden/>
              </w:rPr>
              <w:t>8</w:t>
            </w:r>
            <w:r>
              <w:rPr>
                <w:webHidden/>
              </w:rPr>
              <w:fldChar w:fldCharType="end"/>
            </w:r>
          </w:hyperlink>
        </w:p>
        <w:p w14:paraId="2D36E1FA" w14:textId="13636889" w:rsidR="009F3AA7" w:rsidRDefault="009F3AA7">
          <w:pPr>
            <w:pStyle w:val="TOC2"/>
            <w:tabs>
              <w:tab w:val="right" w:leader="dot" w:pos="9016"/>
            </w:tabs>
            <w:rPr>
              <w:rFonts w:asciiTheme="minorHAnsi" w:eastAsiaTheme="minorEastAsia" w:hAnsiTheme="minorHAnsi"/>
              <w:szCs w:val="24"/>
              <w:lang w:eastAsia="en-IN"/>
            </w:rPr>
          </w:pPr>
          <w:hyperlink w:anchor="_Toc227074719" w:history="1">
            <w:r w:rsidRPr="00B01055">
              <w:rPr>
                <w:rStyle w:val="Hyperlink"/>
              </w:rPr>
              <w:t>4.3 Impact on Shareholder Value</w:t>
            </w:r>
            <w:r>
              <w:rPr>
                <w:webHidden/>
              </w:rPr>
              <w:tab/>
            </w:r>
            <w:r>
              <w:rPr>
                <w:webHidden/>
              </w:rPr>
              <w:fldChar w:fldCharType="begin"/>
            </w:r>
            <w:r>
              <w:rPr>
                <w:webHidden/>
              </w:rPr>
              <w:instrText xml:space="preserve"> PAGEREF _Toc227074719 \h </w:instrText>
            </w:r>
            <w:r>
              <w:rPr>
                <w:webHidden/>
              </w:rPr>
            </w:r>
            <w:r>
              <w:rPr>
                <w:webHidden/>
              </w:rPr>
              <w:fldChar w:fldCharType="separate"/>
            </w:r>
            <w:r>
              <w:rPr>
                <w:webHidden/>
              </w:rPr>
              <w:t>10</w:t>
            </w:r>
            <w:r>
              <w:rPr>
                <w:webHidden/>
              </w:rPr>
              <w:fldChar w:fldCharType="end"/>
            </w:r>
          </w:hyperlink>
        </w:p>
        <w:p w14:paraId="2D880472" w14:textId="1901A219" w:rsidR="009F3AA7" w:rsidRDefault="009F3AA7">
          <w:pPr>
            <w:pStyle w:val="TOC2"/>
            <w:tabs>
              <w:tab w:val="right" w:leader="dot" w:pos="9016"/>
            </w:tabs>
            <w:rPr>
              <w:rFonts w:asciiTheme="minorHAnsi" w:eastAsiaTheme="minorEastAsia" w:hAnsiTheme="minorHAnsi"/>
              <w:szCs w:val="24"/>
              <w:lang w:eastAsia="en-IN"/>
            </w:rPr>
          </w:pPr>
          <w:hyperlink w:anchor="_Toc227074720" w:history="1">
            <w:r w:rsidRPr="00B01055">
              <w:rPr>
                <w:rStyle w:val="Hyperlink"/>
              </w:rPr>
              <w:t>4.4 Global and Ethical Considerations</w:t>
            </w:r>
            <w:r>
              <w:rPr>
                <w:webHidden/>
              </w:rPr>
              <w:tab/>
            </w:r>
            <w:r>
              <w:rPr>
                <w:webHidden/>
              </w:rPr>
              <w:fldChar w:fldCharType="begin"/>
            </w:r>
            <w:r>
              <w:rPr>
                <w:webHidden/>
              </w:rPr>
              <w:instrText xml:space="preserve"> PAGEREF _Toc227074720 \h </w:instrText>
            </w:r>
            <w:r>
              <w:rPr>
                <w:webHidden/>
              </w:rPr>
            </w:r>
            <w:r>
              <w:rPr>
                <w:webHidden/>
              </w:rPr>
              <w:fldChar w:fldCharType="separate"/>
            </w:r>
            <w:r>
              <w:rPr>
                <w:webHidden/>
              </w:rPr>
              <w:t>10</w:t>
            </w:r>
            <w:r>
              <w:rPr>
                <w:webHidden/>
              </w:rPr>
              <w:fldChar w:fldCharType="end"/>
            </w:r>
          </w:hyperlink>
        </w:p>
        <w:p w14:paraId="561F4DF9" w14:textId="165CD673" w:rsidR="009F3AA7" w:rsidRDefault="009F3AA7">
          <w:pPr>
            <w:pStyle w:val="TOC2"/>
            <w:tabs>
              <w:tab w:val="right" w:leader="dot" w:pos="9016"/>
            </w:tabs>
            <w:rPr>
              <w:rFonts w:asciiTheme="minorHAnsi" w:eastAsiaTheme="minorEastAsia" w:hAnsiTheme="minorHAnsi"/>
              <w:szCs w:val="24"/>
              <w:lang w:eastAsia="en-IN"/>
            </w:rPr>
          </w:pPr>
          <w:hyperlink w:anchor="_Toc227074721" w:history="1">
            <w:r w:rsidRPr="00B01055">
              <w:rPr>
                <w:rStyle w:val="Hyperlink"/>
              </w:rPr>
              <w:t>4.5 Critical Evaluation</w:t>
            </w:r>
            <w:r>
              <w:rPr>
                <w:webHidden/>
              </w:rPr>
              <w:tab/>
            </w:r>
            <w:r>
              <w:rPr>
                <w:webHidden/>
              </w:rPr>
              <w:fldChar w:fldCharType="begin"/>
            </w:r>
            <w:r>
              <w:rPr>
                <w:webHidden/>
              </w:rPr>
              <w:instrText xml:space="preserve"> PAGEREF _Toc227074721 \h </w:instrText>
            </w:r>
            <w:r>
              <w:rPr>
                <w:webHidden/>
              </w:rPr>
            </w:r>
            <w:r>
              <w:rPr>
                <w:webHidden/>
              </w:rPr>
              <w:fldChar w:fldCharType="separate"/>
            </w:r>
            <w:r>
              <w:rPr>
                <w:webHidden/>
              </w:rPr>
              <w:t>11</w:t>
            </w:r>
            <w:r>
              <w:rPr>
                <w:webHidden/>
              </w:rPr>
              <w:fldChar w:fldCharType="end"/>
            </w:r>
          </w:hyperlink>
        </w:p>
        <w:p w14:paraId="09FF2B04" w14:textId="2D51BA3F" w:rsidR="009F3AA7" w:rsidRDefault="009F3AA7">
          <w:pPr>
            <w:pStyle w:val="TOC1"/>
            <w:tabs>
              <w:tab w:val="right" w:leader="dot" w:pos="9016"/>
            </w:tabs>
            <w:rPr>
              <w:rFonts w:asciiTheme="minorHAnsi" w:eastAsiaTheme="minorEastAsia" w:hAnsiTheme="minorHAnsi"/>
              <w:szCs w:val="24"/>
              <w:lang w:eastAsia="en-IN"/>
            </w:rPr>
          </w:pPr>
          <w:hyperlink w:anchor="_Toc227074722" w:history="1">
            <w:r w:rsidRPr="00B01055">
              <w:rPr>
                <w:rStyle w:val="Hyperlink"/>
              </w:rPr>
              <w:t>5. Investment Appraisal</w:t>
            </w:r>
            <w:r>
              <w:rPr>
                <w:webHidden/>
              </w:rPr>
              <w:tab/>
            </w:r>
            <w:r>
              <w:rPr>
                <w:webHidden/>
              </w:rPr>
              <w:fldChar w:fldCharType="begin"/>
            </w:r>
            <w:r>
              <w:rPr>
                <w:webHidden/>
              </w:rPr>
              <w:instrText xml:space="preserve"> PAGEREF _Toc227074722 \h </w:instrText>
            </w:r>
            <w:r>
              <w:rPr>
                <w:webHidden/>
              </w:rPr>
            </w:r>
            <w:r>
              <w:rPr>
                <w:webHidden/>
              </w:rPr>
              <w:fldChar w:fldCharType="separate"/>
            </w:r>
            <w:r>
              <w:rPr>
                <w:webHidden/>
              </w:rPr>
              <w:t>11</w:t>
            </w:r>
            <w:r>
              <w:rPr>
                <w:webHidden/>
              </w:rPr>
              <w:fldChar w:fldCharType="end"/>
            </w:r>
          </w:hyperlink>
        </w:p>
        <w:p w14:paraId="1D21FEF7" w14:textId="7145050E" w:rsidR="009F3AA7" w:rsidRDefault="009F3AA7">
          <w:pPr>
            <w:pStyle w:val="TOC2"/>
            <w:tabs>
              <w:tab w:val="right" w:leader="dot" w:pos="9016"/>
            </w:tabs>
            <w:rPr>
              <w:rFonts w:asciiTheme="minorHAnsi" w:eastAsiaTheme="minorEastAsia" w:hAnsiTheme="minorHAnsi"/>
              <w:szCs w:val="24"/>
              <w:lang w:eastAsia="en-IN"/>
            </w:rPr>
          </w:pPr>
          <w:hyperlink w:anchor="_Toc227074723" w:history="1">
            <w:r w:rsidRPr="00B01055">
              <w:rPr>
                <w:rStyle w:val="Hyperlink"/>
              </w:rPr>
              <w:t>5.1 Introduction</w:t>
            </w:r>
            <w:r>
              <w:rPr>
                <w:webHidden/>
              </w:rPr>
              <w:tab/>
            </w:r>
            <w:r>
              <w:rPr>
                <w:webHidden/>
              </w:rPr>
              <w:fldChar w:fldCharType="begin"/>
            </w:r>
            <w:r>
              <w:rPr>
                <w:webHidden/>
              </w:rPr>
              <w:instrText xml:space="preserve"> PAGEREF _Toc227074723 \h </w:instrText>
            </w:r>
            <w:r>
              <w:rPr>
                <w:webHidden/>
              </w:rPr>
            </w:r>
            <w:r>
              <w:rPr>
                <w:webHidden/>
              </w:rPr>
              <w:fldChar w:fldCharType="separate"/>
            </w:r>
            <w:r>
              <w:rPr>
                <w:webHidden/>
              </w:rPr>
              <w:t>11</w:t>
            </w:r>
            <w:r>
              <w:rPr>
                <w:webHidden/>
              </w:rPr>
              <w:fldChar w:fldCharType="end"/>
            </w:r>
          </w:hyperlink>
        </w:p>
        <w:p w14:paraId="3C3EFA49" w14:textId="4A8B1D75" w:rsidR="009F3AA7" w:rsidRDefault="009F3AA7">
          <w:pPr>
            <w:pStyle w:val="TOC2"/>
            <w:tabs>
              <w:tab w:val="right" w:leader="dot" w:pos="9016"/>
            </w:tabs>
            <w:rPr>
              <w:rFonts w:asciiTheme="minorHAnsi" w:eastAsiaTheme="minorEastAsia" w:hAnsiTheme="minorHAnsi"/>
              <w:szCs w:val="24"/>
              <w:lang w:eastAsia="en-IN"/>
            </w:rPr>
          </w:pPr>
          <w:hyperlink w:anchor="_Toc227074724" w:history="1">
            <w:r w:rsidRPr="00B01055">
              <w:rPr>
                <w:rStyle w:val="Hyperlink"/>
              </w:rPr>
              <w:t>5.2 Payback Period (PBP)</w:t>
            </w:r>
            <w:r>
              <w:rPr>
                <w:webHidden/>
              </w:rPr>
              <w:tab/>
            </w:r>
            <w:r>
              <w:rPr>
                <w:webHidden/>
              </w:rPr>
              <w:fldChar w:fldCharType="begin"/>
            </w:r>
            <w:r>
              <w:rPr>
                <w:webHidden/>
              </w:rPr>
              <w:instrText xml:space="preserve"> PAGEREF _Toc227074724 \h </w:instrText>
            </w:r>
            <w:r>
              <w:rPr>
                <w:webHidden/>
              </w:rPr>
            </w:r>
            <w:r>
              <w:rPr>
                <w:webHidden/>
              </w:rPr>
              <w:fldChar w:fldCharType="separate"/>
            </w:r>
            <w:r>
              <w:rPr>
                <w:webHidden/>
              </w:rPr>
              <w:t>11</w:t>
            </w:r>
            <w:r>
              <w:rPr>
                <w:webHidden/>
              </w:rPr>
              <w:fldChar w:fldCharType="end"/>
            </w:r>
          </w:hyperlink>
        </w:p>
        <w:p w14:paraId="571490F8" w14:textId="55EAE54C" w:rsidR="009F3AA7" w:rsidRDefault="009F3AA7">
          <w:pPr>
            <w:pStyle w:val="TOC2"/>
            <w:tabs>
              <w:tab w:val="right" w:leader="dot" w:pos="9016"/>
            </w:tabs>
            <w:rPr>
              <w:rFonts w:asciiTheme="minorHAnsi" w:eastAsiaTheme="minorEastAsia" w:hAnsiTheme="minorHAnsi"/>
              <w:szCs w:val="24"/>
              <w:lang w:eastAsia="en-IN"/>
            </w:rPr>
          </w:pPr>
          <w:hyperlink w:anchor="_Toc227074725" w:history="1">
            <w:r w:rsidRPr="00B01055">
              <w:rPr>
                <w:rStyle w:val="Hyperlink"/>
              </w:rPr>
              <w:t>5.3 Accounting Rate of Return (ARR)</w:t>
            </w:r>
            <w:r>
              <w:rPr>
                <w:webHidden/>
              </w:rPr>
              <w:tab/>
            </w:r>
            <w:r>
              <w:rPr>
                <w:webHidden/>
              </w:rPr>
              <w:fldChar w:fldCharType="begin"/>
            </w:r>
            <w:r>
              <w:rPr>
                <w:webHidden/>
              </w:rPr>
              <w:instrText xml:space="preserve"> PAGEREF _Toc227074725 \h </w:instrText>
            </w:r>
            <w:r>
              <w:rPr>
                <w:webHidden/>
              </w:rPr>
            </w:r>
            <w:r>
              <w:rPr>
                <w:webHidden/>
              </w:rPr>
              <w:fldChar w:fldCharType="separate"/>
            </w:r>
            <w:r>
              <w:rPr>
                <w:webHidden/>
              </w:rPr>
              <w:t>13</w:t>
            </w:r>
            <w:r>
              <w:rPr>
                <w:webHidden/>
              </w:rPr>
              <w:fldChar w:fldCharType="end"/>
            </w:r>
          </w:hyperlink>
        </w:p>
        <w:p w14:paraId="4B0A5AC0" w14:textId="46A44D05" w:rsidR="009F3AA7" w:rsidRDefault="009F3AA7">
          <w:pPr>
            <w:pStyle w:val="TOC2"/>
            <w:tabs>
              <w:tab w:val="right" w:leader="dot" w:pos="9016"/>
            </w:tabs>
            <w:rPr>
              <w:rFonts w:asciiTheme="minorHAnsi" w:eastAsiaTheme="minorEastAsia" w:hAnsiTheme="minorHAnsi"/>
              <w:szCs w:val="24"/>
              <w:lang w:eastAsia="en-IN"/>
            </w:rPr>
          </w:pPr>
          <w:hyperlink w:anchor="_Toc227074726" w:history="1">
            <w:r w:rsidRPr="00B01055">
              <w:rPr>
                <w:rStyle w:val="Hyperlink"/>
              </w:rPr>
              <w:t>5.4 Net Present Value (NPV)</w:t>
            </w:r>
            <w:r>
              <w:rPr>
                <w:webHidden/>
              </w:rPr>
              <w:tab/>
            </w:r>
            <w:r>
              <w:rPr>
                <w:webHidden/>
              </w:rPr>
              <w:fldChar w:fldCharType="begin"/>
            </w:r>
            <w:r>
              <w:rPr>
                <w:webHidden/>
              </w:rPr>
              <w:instrText xml:space="preserve"> PAGEREF _Toc227074726 \h </w:instrText>
            </w:r>
            <w:r>
              <w:rPr>
                <w:webHidden/>
              </w:rPr>
            </w:r>
            <w:r>
              <w:rPr>
                <w:webHidden/>
              </w:rPr>
              <w:fldChar w:fldCharType="separate"/>
            </w:r>
            <w:r>
              <w:rPr>
                <w:webHidden/>
              </w:rPr>
              <w:t>13</w:t>
            </w:r>
            <w:r>
              <w:rPr>
                <w:webHidden/>
              </w:rPr>
              <w:fldChar w:fldCharType="end"/>
            </w:r>
          </w:hyperlink>
        </w:p>
        <w:p w14:paraId="67485DBA" w14:textId="2A4A0CD8" w:rsidR="009F3AA7" w:rsidRDefault="009F3AA7">
          <w:pPr>
            <w:pStyle w:val="TOC2"/>
            <w:tabs>
              <w:tab w:val="right" w:leader="dot" w:pos="9016"/>
            </w:tabs>
            <w:rPr>
              <w:rFonts w:asciiTheme="minorHAnsi" w:eastAsiaTheme="minorEastAsia" w:hAnsiTheme="minorHAnsi"/>
              <w:szCs w:val="24"/>
              <w:lang w:eastAsia="en-IN"/>
            </w:rPr>
          </w:pPr>
          <w:hyperlink w:anchor="_Toc227074727" w:history="1">
            <w:r w:rsidRPr="00B01055">
              <w:rPr>
                <w:rStyle w:val="Hyperlink"/>
              </w:rPr>
              <w:t>5.5 Profitability Index (PI)</w:t>
            </w:r>
            <w:r>
              <w:rPr>
                <w:webHidden/>
              </w:rPr>
              <w:tab/>
            </w:r>
            <w:r>
              <w:rPr>
                <w:webHidden/>
              </w:rPr>
              <w:fldChar w:fldCharType="begin"/>
            </w:r>
            <w:r>
              <w:rPr>
                <w:webHidden/>
              </w:rPr>
              <w:instrText xml:space="preserve"> PAGEREF _Toc227074727 \h </w:instrText>
            </w:r>
            <w:r>
              <w:rPr>
                <w:webHidden/>
              </w:rPr>
            </w:r>
            <w:r>
              <w:rPr>
                <w:webHidden/>
              </w:rPr>
              <w:fldChar w:fldCharType="separate"/>
            </w:r>
            <w:r>
              <w:rPr>
                <w:webHidden/>
              </w:rPr>
              <w:t>14</w:t>
            </w:r>
            <w:r>
              <w:rPr>
                <w:webHidden/>
              </w:rPr>
              <w:fldChar w:fldCharType="end"/>
            </w:r>
          </w:hyperlink>
        </w:p>
        <w:p w14:paraId="5E408A93" w14:textId="00885266" w:rsidR="009F3AA7" w:rsidRDefault="009F3AA7">
          <w:pPr>
            <w:pStyle w:val="TOC2"/>
            <w:tabs>
              <w:tab w:val="right" w:leader="dot" w:pos="9016"/>
            </w:tabs>
            <w:rPr>
              <w:rFonts w:asciiTheme="minorHAnsi" w:eastAsiaTheme="minorEastAsia" w:hAnsiTheme="minorHAnsi"/>
              <w:szCs w:val="24"/>
              <w:lang w:eastAsia="en-IN"/>
            </w:rPr>
          </w:pPr>
          <w:hyperlink w:anchor="_Toc227074728" w:history="1">
            <w:r w:rsidRPr="00B01055">
              <w:rPr>
                <w:rStyle w:val="Hyperlink"/>
              </w:rPr>
              <w:t>5.6 Internal Rate of Return (IRR)</w:t>
            </w:r>
            <w:r>
              <w:rPr>
                <w:webHidden/>
              </w:rPr>
              <w:tab/>
            </w:r>
            <w:r>
              <w:rPr>
                <w:webHidden/>
              </w:rPr>
              <w:fldChar w:fldCharType="begin"/>
            </w:r>
            <w:r>
              <w:rPr>
                <w:webHidden/>
              </w:rPr>
              <w:instrText xml:space="preserve"> PAGEREF _Toc227074728 \h </w:instrText>
            </w:r>
            <w:r>
              <w:rPr>
                <w:webHidden/>
              </w:rPr>
            </w:r>
            <w:r>
              <w:rPr>
                <w:webHidden/>
              </w:rPr>
              <w:fldChar w:fldCharType="separate"/>
            </w:r>
            <w:r>
              <w:rPr>
                <w:webHidden/>
              </w:rPr>
              <w:t>15</w:t>
            </w:r>
            <w:r>
              <w:rPr>
                <w:webHidden/>
              </w:rPr>
              <w:fldChar w:fldCharType="end"/>
            </w:r>
          </w:hyperlink>
        </w:p>
        <w:p w14:paraId="6D1119B8" w14:textId="56CDBD88" w:rsidR="009F3AA7" w:rsidRDefault="009F3AA7">
          <w:pPr>
            <w:pStyle w:val="TOC2"/>
            <w:tabs>
              <w:tab w:val="right" w:leader="dot" w:pos="9016"/>
            </w:tabs>
            <w:rPr>
              <w:rFonts w:asciiTheme="minorHAnsi" w:eastAsiaTheme="minorEastAsia" w:hAnsiTheme="minorHAnsi"/>
              <w:szCs w:val="24"/>
              <w:lang w:eastAsia="en-IN"/>
            </w:rPr>
          </w:pPr>
          <w:hyperlink w:anchor="_Toc227074729" w:history="1">
            <w:r w:rsidRPr="00B01055">
              <w:rPr>
                <w:rStyle w:val="Hyperlink"/>
              </w:rPr>
              <w:t>5.7 Integrated Decision and Justification</w:t>
            </w:r>
            <w:r>
              <w:rPr>
                <w:webHidden/>
              </w:rPr>
              <w:tab/>
            </w:r>
            <w:r>
              <w:rPr>
                <w:webHidden/>
              </w:rPr>
              <w:fldChar w:fldCharType="begin"/>
            </w:r>
            <w:r>
              <w:rPr>
                <w:webHidden/>
              </w:rPr>
              <w:instrText xml:space="preserve"> PAGEREF _Toc227074729 \h </w:instrText>
            </w:r>
            <w:r>
              <w:rPr>
                <w:webHidden/>
              </w:rPr>
            </w:r>
            <w:r>
              <w:rPr>
                <w:webHidden/>
              </w:rPr>
              <w:fldChar w:fldCharType="separate"/>
            </w:r>
            <w:r>
              <w:rPr>
                <w:webHidden/>
              </w:rPr>
              <w:t>15</w:t>
            </w:r>
            <w:r>
              <w:rPr>
                <w:webHidden/>
              </w:rPr>
              <w:fldChar w:fldCharType="end"/>
            </w:r>
          </w:hyperlink>
        </w:p>
        <w:p w14:paraId="44148C66" w14:textId="7388ABD5" w:rsidR="009F3AA7" w:rsidRDefault="009F3AA7">
          <w:pPr>
            <w:pStyle w:val="TOC2"/>
            <w:tabs>
              <w:tab w:val="right" w:leader="dot" w:pos="9016"/>
            </w:tabs>
            <w:rPr>
              <w:rFonts w:asciiTheme="minorHAnsi" w:eastAsiaTheme="minorEastAsia" w:hAnsiTheme="minorHAnsi"/>
              <w:szCs w:val="24"/>
              <w:lang w:eastAsia="en-IN"/>
            </w:rPr>
          </w:pPr>
          <w:hyperlink w:anchor="_Toc227074730" w:history="1">
            <w:r w:rsidRPr="00B01055">
              <w:rPr>
                <w:rStyle w:val="Hyperlink"/>
              </w:rPr>
              <w:t>5.8 Capital Rationing</w:t>
            </w:r>
            <w:r>
              <w:rPr>
                <w:webHidden/>
              </w:rPr>
              <w:tab/>
            </w:r>
            <w:r>
              <w:rPr>
                <w:webHidden/>
              </w:rPr>
              <w:fldChar w:fldCharType="begin"/>
            </w:r>
            <w:r>
              <w:rPr>
                <w:webHidden/>
              </w:rPr>
              <w:instrText xml:space="preserve"> PAGEREF _Toc227074730 \h </w:instrText>
            </w:r>
            <w:r>
              <w:rPr>
                <w:webHidden/>
              </w:rPr>
            </w:r>
            <w:r>
              <w:rPr>
                <w:webHidden/>
              </w:rPr>
              <w:fldChar w:fldCharType="separate"/>
            </w:r>
            <w:r>
              <w:rPr>
                <w:webHidden/>
              </w:rPr>
              <w:t>16</w:t>
            </w:r>
            <w:r>
              <w:rPr>
                <w:webHidden/>
              </w:rPr>
              <w:fldChar w:fldCharType="end"/>
            </w:r>
          </w:hyperlink>
        </w:p>
        <w:p w14:paraId="635AF5E7" w14:textId="539C6DA3" w:rsidR="009F3AA7" w:rsidRDefault="009F3AA7">
          <w:pPr>
            <w:pStyle w:val="TOC1"/>
            <w:tabs>
              <w:tab w:val="right" w:leader="dot" w:pos="9016"/>
            </w:tabs>
            <w:rPr>
              <w:rFonts w:asciiTheme="minorHAnsi" w:eastAsiaTheme="minorEastAsia" w:hAnsiTheme="minorHAnsi"/>
              <w:szCs w:val="24"/>
              <w:lang w:eastAsia="en-IN"/>
            </w:rPr>
          </w:pPr>
          <w:hyperlink w:anchor="_Toc227074731" w:history="1">
            <w:r w:rsidRPr="00B01055">
              <w:rPr>
                <w:rStyle w:val="Hyperlink"/>
              </w:rPr>
              <w:t>6. Conclusion</w:t>
            </w:r>
            <w:r>
              <w:rPr>
                <w:webHidden/>
              </w:rPr>
              <w:tab/>
            </w:r>
            <w:r>
              <w:rPr>
                <w:webHidden/>
              </w:rPr>
              <w:fldChar w:fldCharType="begin"/>
            </w:r>
            <w:r>
              <w:rPr>
                <w:webHidden/>
              </w:rPr>
              <w:instrText xml:space="preserve"> PAGEREF _Toc227074731 \h </w:instrText>
            </w:r>
            <w:r>
              <w:rPr>
                <w:webHidden/>
              </w:rPr>
            </w:r>
            <w:r>
              <w:rPr>
                <w:webHidden/>
              </w:rPr>
              <w:fldChar w:fldCharType="separate"/>
            </w:r>
            <w:r>
              <w:rPr>
                <w:webHidden/>
              </w:rPr>
              <w:t>16</w:t>
            </w:r>
            <w:r>
              <w:rPr>
                <w:webHidden/>
              </w:rPr>
              <w:fldChar w:fldCharType="end"/>
            </w:r>
          </w:hyperlink>
        </w:p>
        <w:p w14:paraId="33987862" w14:textId="7884C731" w:rsidR="009F3AA7" w:rsidRDefault="009F3AA7">
          <w:pPr>
            <w:pStyle w:val="TOC1"/>
            <w:tabs>
              <w:tab w:val="right" w:leader="dot" w:pos="9016"/>
            </w:tabs>
            <w:rPr>
              <w:rFonts w:asciiTheme="minorHAnsi" w:eastAsiaTheme="minorEastAsia" w:hAnsiTheme="minorHAnsi"/>
              <w:szCs w:val="24"/>
              <w:lang w:eastAsia="en-IN"/>
            </w:rPr>
          </w:pPr>
          <w:hyperlink w:anchor="_Toc227074732" w:history="1">
            <w:r w:rsidRPr="00B01055">
              <w:rPr>
                <w:rStyle w:val="Hyperlink"/>
              </w:rPr>
              <w:t>References</w:t>
            </w:r>
            <w:r>
              <w:rPr>
                <w:webHidden/>
              </w:rPr>
              <w:tab/>
            </w:r>
            <w:r>
              <w:rPr>
                <w:webHidden/>
              </w:rPr>
              <w:fldChar w:fldCharType="begin"/>
            </w:r>
            <w:r>
              <w:rPr>
                <w:webHidden/>
              </w:rPr>
              <w:instrText xml:space="preserve"> PAGEREF _Toc227074732 \h </w:instrText>
            </w:r>
            <w:r>
              <w:rPr>
                <w:webHidden/>
              </w:rPr>
            </w:r>
            <w:r>
              <w:rPr>
                <w:webHidden/>
              </w:rPr>
              <w:fldChar w:fldCharType="separate"/>
            </w:r>
            <w:r>
              <w:rPr>
                <w:webHidden/>
              </w:rPr>
              <w:t>17</w:t>
            </w:r>
            <w:r>
              <w:rPr>
                <w:webHidden/>
              </w:rPr>
              <w:fldChar w:fldCharType="end"/>
            </w:r>
          </w:hyperlink>
        </w:p>
        <w:p w14:paraId="644C504D" w14:textId="7B4F1CCB" w:rsidR="009F3AA7" w:rsidRDefault="009F3AA7" w:rsidP="009F3AA7">
          <w:r>
            <w:rPr>
              <w:b/>
              <w:bCs/>
            </w:rPr>
            <w:fldChar w:fldCharType="end"/>
          </w:r>
        </w:p>
      </w:sdtContent>
    </w:sdt>
    <w:p w14:paraId="4DF51E15" w14:textId="77777777" w:rsidR="009F3AA7" w:rsidRDefault="009F3AA7" w:rsidP="009F3AA7">
      <w:pPr>
        <w:pStyle w:val="Heading1"/>
        <w:sectPr w:rsidR="009F3AA7">
          <w:pgSz w:w="11906" w:h="16838"/>
          <w:pgMar w:top="1440" w:right="1440" w:bottom="1440" w:left="1440" w:header="708" w:footer="708" w:gutter="0"/>
          <w:cols w:space="708"/>
          <w:docGrid w:linePitch="360"/>
        </w:sectPr>
      </w:pPr>
    </w:p>
    <w:p w14:paraId="547B53EC" w14:textId="066B7AA2" w:rsidR="009F3AA7" w:rsidRDefault="00212C62" w:rsidP="009F3AA7">
      <w:pPr>
        <w:pStyle w:val="Heading1"/>
      </w:pPr>
      <w:bookmarkStart w:id="0" w:name="_Toc227074701"/>
      <w:r>
        <w:lastRenderedPageBreak/>
        <w:t>1. Introduction</w:t>
      </w:r>
      <w:bookmarkEnd w:id="0"/>
    </w:p>
    <w:p w14:paraId="40CB46BE" w14:textId="7E245FC7" w:rsidR="009F3AA7" w:rsidRDefault="00212C62" w:rsidP="009F3AA7">
      <w:r w:rsidRPr="009F3AA7">
        <w:t xml:space="preserve"> </w:t>
      </w:r>
      <w:r w:rsidRPr="009F3AA7">
        <w:br/>
      </w:r>
      <w:r w:rsidR="009F3AA7" w:rsidRPr="009F3AA7">
        <w:t xml:space="preserve">The worldwide automotive sector is experiencing structural </w:t>
      </w:r>
      <w:r w:rsidR="009F3AA7">
        <w:t>change brought about by the swift uptake of electric cars (EVs), stricter environmental regulation, and mounting technological rivalry. Although this change has offered great growth opportunities, it has also posed a very competitive environment that is typified by price pressure, compression of margins and high capital requirements. China has become the epicentre of this change with the fast rate of innovation and tough pricing tactics that are pushing profitability in the industry.</w:t>
      </w:r>
    </w:p>
    <w:p w14:paraId="5165BE6D" w14:textId="77777777" w:rsidR="009F3AA7" w:rsidRDefault="009F3AA7" w:rsidP="009F3AA7">
      <w:r>
        <w:t>In this scenario, NIO Inc. has established a high-quality EV producer that is differentiated by battery-swapping technology and a dedicated customer ecosystem. Nevertheless, as much as this strategic positioning is beneficial to the long term competitive advantage, it also comes with a huge financial burden. The continuous negative operating margins, the growing capital spending and the growing reliance on external funding of the company indicate that its existing growth model focuses on the expansion of the market at the cost of financial sustainability.</w:t>
      </w:r>
    </w:p>
    <w:p w14:paraId="47474433" w14:textId="77777777" w:rsidR="009F3AA7" w:rsidRDefault="009F3AA7" w:rsidP="009F3AA7">
      <w:r>
        <w:t>More importantly, the financial trend of NIO demonstrates not only efficiency shortcomings in its operation, but a structural imbalance between the ambition and discipline in its financial policy. Although aggressive expansion can be warranted in the new industry to gain market share, without the unit economics improving, one would question the feasibility of the strategy. This poses a strategic dilemma as to whether further growth will ultimately provide scale efficiencies or still further cement value destruction.</w:t>
      </w:r>
    </w:p>
    <w:p w14:paraId="141021E3" w14:textId="77777777" w:rsidR="009F3AA7" w:rsidRDefault="009F3AA7" w:rsidP="009F3AA7">
      <w:r>
        <w:t>The report supports the thesis that NIO can be said to have enhanced its positioning in the market through its expansion strategy but on the other hand, the expansion strategy has affected financial stability and therefore strategic financial restructuring is necessary. Using a CFO lens, the report assesses financial performance, working capital efficiency, and capital structure, and evaluates investment decisions based on capital budgeting techniques to ascertain whether any future growth can be matched to sustainable value creation.</w:t>
      </w:r>
    </w:p>
    <w:p w14:paraId="1B14B0E2" w14:textId="77777777" w:rsidR="009F3AA7" w:rsidRDefault="009F3AA7" w:rsidP="009F3AA7"/>
    <w:p w14:paraId="49F0AE46" w14:textId="77777777" w:rsidR="009F3AA7" w:rsidRDefault="009F3AA7" w:rsidP="009F3AA7">
      <w:pPr>
        <w:pStyle w:val="Heading1"/>
      </w:pPr>
      <w:bookmarkStart w:id="1" w:name="_Toc227074702"/>
      <w:r>
        <w:t>2. Financial Health Check</w:t>
      </w:r>
      <w:bookmarkEnd w:id="1"/>
    </w:p>
    <w:p w14:paraId="315A7EBC" w14:textId="77777777" w:rsidR="009F3AA7" w:rsidRDefault="009F3AA7" w:rsidP="009F3AA7">
      <w:pPr>
        <w:pStyle w:val="Heading2"/>
      </w:pPr>
      <w:bookmarkStart w:id="2" w:name="_Toc227074703"/>
      <w:r>
        <w:t>2.1 Financial Performance Overview</w:t>
      </w:r>
      <w:bookmarkEnd w:id="2"/>
    </w:p>
    <w:p w14:paraId="7034A5A9" w14:textId="77777777" w:rsidR="009F3AA7" w:rsidRDefault="009F3AA7" w:rsidP="009F3AA7"/>
    <w:p w14:paraId="77BCBAD3" w14:textId="7F4409B0" w:rsidR="009F3AA7" w:rsidRDefault="009F3AA7" w:rsidP="009F3AA7">
      <w:r>
        <w:t>The financial performance of NIO in 2020-2024 shows a distinct gap between the fast growth of revenues and the worsening financial sustainability. Revenue grew by a factor of over four as in 2020, the amount was RMB 16,257,933 thousand and in 2024, it was RMB 65,731,559 thousand. Nevertheless, the net losses increased considerably between the years RMB 5,304,082 thousand and RMB 22,401,709 thousand.</w:t>
      </w:r>
    </w:p>
    <w:p w14:paraId="015C9482" w14:textId="1E582A43" w:rsidR="000941AC" w:rsidRDefault="009F3AA7" w:rsidP="009F3AA7">
      <w:r>
        <w:t>This implies that the increase in cost has always been higher than the growth in revenue implying that the expansion strategy at NIO is failing to bring efficiency to its operations. Instead of enjoying the benefits of economies of scale, the company has diseconomies of scale, where increasing production is associated with higher average costs (Brealey et al., 2023). Strategically, this is a growth model that is focused on growth at the expense of financial sustainability, which poses a challenge in long-term viability.</w:t>
      </w:r>
    </w:p>
    <w:p w14:paraId="5900CABB" w14:textId="77777777" w:rsidR="009F3AA7" w:rsidRPr="000941AC" w:rsidRDefault="009F3AA7" w:rsidP="009F3AA7"/>
    <w:p w14:paraId="11564F73" w14:textId="27FEA765" w:rsidR="000941AC" w:rsidRPr="000941AC" w:rsidRDefault="000941AC" w:rsidP="009F3AA7">
      <w:pPr>
        <w:pStyle w:val="Heading2"/>
      </w:pPr>
      <w:bookmarkStart w:id="3" w:name="_Toc227074704"/>
      <w:r w:rsidRPr="000941AC">
        <w:lastRenderedPageBreak/>
        <w:t>2.2 Profitability Analysis</w:t>
      </w:r>
      <w:bookmarkEnd w:id="3"/>
    </w:p>
    <w:p w14:paraId="3732A9F9" w14:textId="717684B8" w:rsidR="000941AC" w:rsidRPr="000941AC" w:rsidRDefault="000941AC" w:rsidP="000941AC">
      <w:pPr>
        <w:spacing w:line="259" w:lineRule="auto"/>
      </w:pPr>
      <w:r w:rsidRPr="000941AC">
        <w:t>Table 1: Profitability Ratios (NIO Inc.)</w:t>
      </w:r>
    </w:p>
    <w:tbl>
      <w:tblPr>
        <w:tblStyle w:val="GridTable1Light"/>
        <w:tblW w:w="0" w:type="auto"/>
        <w:tblLook w:val="04A0" w:firstRow="1" w:lastRow="0" w:firstColumn="1" w:lastColumn="0" w:noHBand="0" w:noVBand="1"/>
      </w:tblPr>
      <w:tblGrid>
        <w:gridCol w:w="696"/>
        <w:gridCol w:w="2105"/>
        <w:gridCol w:w="2563"/>
        <w:gridCol w:w="1869"/>
        <w:gridCol w:w="1370"/>
      </w:tblGrid>
      <w:tr w:rsidR="000941AC" w:rsidRPr="000941AC" w14:paraId="50B80080" w14:textId="77777777" w:rsidTr="009F3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AF7BF7" w14:textId="77777777" w:rsidR="000941AC" w:rsidRPr="000941AC" w:rsidRDefault="000941AC" w:rsidP="000941AC">
            <w:pPr>
              <w:spacing w:after="160" w:line="259" w:lineRule="auto"/>
              <w:jc w:val="left"/>
            </w:pPr>
            <w:r w:rsidRPr="000941AC">
              <w:t>Year</w:t>
            </w:r>
          </w:p>
        </w:tc>
        <w:tc>
          <w:tcPr>
            <w:tcW w:w="0" w:type="auto"/>
            <w:hideMark/>
          </w:tcPr>
          <w:p w14:paraId="403389A6" w14:textId="77777777" w:rsidR="000941AC" w:rsidRPr="000941AC" w:rsidRDefault="000941AC" w:rsidP="000941AC">
            <w:pPr>
              <w:spacing w:after="160" w:line="259" w:lineRule="auto"/>
              <w:jc w:val="left"/>
              <w:cnfStyle w:val="100000000000" w:firstRow="1" w:lastRow="0" w:firstColumn="0" w:lastColumn="0" w:oddVBand="0" w:evenVBand="0" w:oddHBand="0" w:evenHBand="0" w:firstRowFirstColumn="0" w:firstRowLastColumn="0" w:lastRowFirstColumn="0" w:lastRowLastColumn="0"/>
            </w:pPr>
            <w:r w:rsidRPr="000941AC">
              <w:t>Gross Margin (%)</w:t>
            </w:r>
          </w:p>
        </w:tc>
        <w:tc>
          <w:tcPr>
            <w:tcW w:w="0" w:type="auto"/>
            <w:hideMark/>
          </w:tcPr>
          <w:p w14:paraId="143473C2" w14:textId="77777777" w:rsidR="000941AC" w:rsidRPr="000941AC" w:rsidRDefault="000941AC" w:rsidP="000941AC">
            <w:pPr>
              <w:spacing w:after="160" w:line="259" w:lineRule="auto"/>
              <w:jc w:val="left"/>
              <w:cnfStyle w:val="100000000000" w:firstRow="1" w:lastRow="0" w:firstColumn="0" w:lastColumn="0" w:oddVBand="0" w:evenVBand="0" w:oddHBand="0" w:evenHBand="0" w:firstRowFirstColumn="0" w:firstRowLastColumn="0" w:lastRowFirstColumn="0" w:lastRowLastColumn="0"/>
            </w:pPr>
            <w:r w:rsidRPr="000941AC">
              <w:t>Operating Margin (%)</w:t>
            </w:r>
          </w:p>
        </w:tc>
        <w:tc>
          <w:tcPr>
            <w:tcW w:w="0" w:type="auto"/>
            <w:hideMark/>
          </w:tcPr>
          <w:p w14:paraId="3B4993C5" w14:textId="77777777" w:rsidR="000941AC" w:rsidRPr="000941AC" w:rsidRDefault="000941AC" w:rsidP="000941AC">
            <w:pPr>
              <w:spacing w:after="160" w:line="259" w:lineRule="auto"/>
              <w:jc w:val="left"/>
              <w:cnfStyle w:val="100000000000" w:firstRow="1" w:lastRow="0" w:firstColumn="0" w:lastColumn="0" w:oddVBand="0" w:evenVBand="0" w:oddHBand="0" w:evenHBand="0" w:firstRowFirstColumn="0" w:firstRowLastColumn="0" w:lastRowFirstColumn="0" w:lastRowLastColumn="0"/>
            </w:pPr>
            <w:r w:rsidRPr="000941AC">
              <w:t>Net Margin (%)</w:t>
            </w:r>
          </w:p>
        </w:tc>
        <w:tc>
          <w:tcPr>
            <w:tcW w:w="0" w:type="auto"/>
            <w:hideMark/>
          </w:tcPr>
          <w:p w14:paraId="10B6D28C" w14:textId="77777777" w:rsidR="000941AC" w:rsidRPr="000941AC" w:rsidRDefault="000941AC" w:rsidP="000941AC">
            <w:pPr>
              <w:spacing w:after="160" w:line="259" w:lineRule="auto"/>
              <w:jc w:val="left"/>
              <w:cnfStyle w:val="100000000000" w:firstRow="1" w:lastRow="0" w:firstColumn="0" w:lastColumn="0" w:oddVBand="0" w:evenVBand="0" w:oddHBand="0" w:evenHBand="0" w:firstRowFirstColumn="0" w:firstRowLastColumn="0" w:lastRowFirstColumn="0" w:lastRowLastColumn="0"/>
            </w:pPr>
            <w:r w:rsidRPr="000941AC">
              <w:t>ROCE (%)</w:t>
            </w:r>
          </w:p>
        </w:tc>
      </w:tr>
      <w:tr w:rsidR="000941AC" w:rsidRPr="000941AC" w14:paraId="6A5A635E" w14:textId="77777777" w:rsidTr="009F3AA7">
        <w:tc>
          <w:tcPr>
            <w:cnfStyle w:val="001000000000" w:firstRow="0" w:lastRow="0" w:firstColumn="1" w:lastColumn="0" w:oddVBand="0" w:evenVBand="0" w:oddHBand="0" w:evenHBand="0" w:firstRowFirstColumn="0" w:firstRowLastColumn="0" w:lastRowFirstColumn="0" w:lastRowLastColumn="0"/>
            <w:tcW w:w="0" w:type="auto"/>
            <w:hideMark/>
          </w:tcPr>
          <w:p w14:paraId="3DF81ED1" w14:textId="77777777" w:rsidR="000941AC" w:rsidRPr="000941AC" w:rsidRDefault="000941AC" w:rsidP="000941AC">
            <w:pPr>
              <w:spacing w:after="160" w:line="259" w:lineRule="auto"/>
            </w:pPr>
            <w:r w:rsidRPr="000941AC">
              <w:t>2020</w:t>
            </w:r>
          </w:p>
        </w:tc>
        <w:tc>
          <w:tcPr>
            <w:tcW w:w="0" w:type="auto"/>
            <w:hideMark/>
          </w:tcPr>
          <w:p w14:paraId="72C31C7A"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11.52</w:t>
            </w:r>
          </w:p>
        </w:tc>
        <w:tc>
          <w:tcPr>
            <w:tcW w:w="0" w:type="auto"/>
            <w:hideMark/>
          </w:tcPr>
          <w:p w14:paraId="42286B62"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-28.33</w:t>
            </w:r>
          </w:p>
        </w:tc>
        <w:tc>
          <w:tcPr>
            <w:tcW w:w="0" w:type="auto"/>
            <w:hideMark/>
          </w:tcPr>
          <w:p w14:paraId="23AC5A35"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-34.51</w:t>
            </w:r>
          </w:p>
        </w:tc>
        <w:tc>
          <w:tcPr>
            <w:tcW w:w="0" w:type="auto"/>
            <w:hideMark/>
          </w:tcPr>
          <w:p w14:paraId="260D614C"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-35.00</w:t>
            </w:r>
          </w:p>
        </w:tc>
      </w:tr>
      <w:tr w:rsidR="000941AC" w:rsidRPr="000941AC" w14:paraId="3EF11DC6" w14:textId="77777777" w:rsidTr="009F3AA7">
        <w:tc>
          <w:tcPr>
            <w:cnfStyle w:val="001000000000" w:firstRow="0" w:lastRow="0" w:firstColumn="1" w:lastColumn="0" w:oddVBand="0" w:evenVBand="0" w:oddHBand="0" w:evenHBand="0" w:firstRowFirstColumn="0" w:firstRowLastColumn="0" w:lastRowFirstColumn="0" w:lastRowLastColumn="0"/>
            <w:tcW w:w="0" w:type="auto"/>
            <w:hideMark/>
          </w:tcPr>
          <w:p w14:paraId="28A30749" w14:textId="77777777" w:rsidR="000941AC" w:rsidRPr="000941AC" w:rsidRDefault="000941AC" w:rsidP="000941AC">
            <w:pPr>
              <w:spacing w:after="160" w:line="259" w:lineRule="auto"/>
            </w:pPr>
            <w:r w:rsidRPr="000941AC">
              <w:t>2021</w:t>
            </w:r>
          </w:p>
        </w:tc>
        <w:tc>
          <w:tcPr>
            <w:tcW w:w="0" w:type="auto"/>
            <w:hideMark/>
          </w:tcPr>
          <w:p w14:paraId="115B31D9"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17.40</w:t>
            </w:r>
          </w:p>
        </w:tc>
        <w:tc>
          <w:tcPr>
            <w:tcW w:w="0" w:type="auto"/>
            <w:hideMark/>
          </w:tcPr>
          <w:p w14:paraId="7293F964"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-12.44</w:t>
            </w:r>
          </w:p>
        </w:tc>
        <w:tc>
          <w:tcPr>
            <w:tcW w:w="0" w:type="auto"/>
            <w:hideMark/>
          </w:tcPr>
          <w:p w14:paraId="31D36DEF"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-29.25</w:t>
            </w:r>
          </w:p>
        </w:tc>
        <w:tc>
          <w:tcPr>
            <w:tcW w:w="0" w:type="auto"/>
            <w:hideMark/>
          </w:tcPr>
          <w:p w14:paraId="172D465D"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-14.80</w:t>
            </w:r>
          </w:p>
        </w:tc>
      </w:tr>
      <w:tr w:rsidR="000941AC" w:rsidRPr="000941AC" w14:paraId="55C24153" w14:textId="77777777" w:rsidTr="009F3AA7">
        <w:tc>
          <w:tcPr>
            <w:cnfStyle w:val="001000000000" w:firstRow="0" w:lastRow="0" w:firstColumn="1" w:lastColumn="0" w:oddVBand="0" w:evenVBand="0" w:oddHBand="0" w:evenHBand="0" w:firstRowFirstColumn="0" w:firstRowLastColumn="0" w:lastRowFirstColumn="0" w:lastRowLastColumn="0"/>
            <w:tcW w:w="0" w:type="auto"/>
            <w:hideMark/>
          </w:tcPr>
          <w:p w14:paraId="4310136A" w14:textId="77777777" w:rsidR="000941AC" w:rsidRPr="000941AC" w:rsidRDefault="000941AC" w:rsidP="000941AC">
            <w:pPr>
              <w:spacing w:after="160" w:line="259" w:lineRule="auto"/>
            </w:pPr>
            <w:r w:rsidRPr="000941AC">
              <w:t>2022</w:t>
            </w:r>
          </w:p>
        </w:tc>
        <w:tc>
          <w:tcPr>
            <w:tcW w:w="0" w:type="auto"/>
            <w:hideMark/>
          </w:tcPr>
          <w:p w14:paraId="5AC5A538"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10.44</w:t>
            </w:r>
          </w:p>
        </w:tc>
        <w:tc>
          <w:tcPr>
            <w:tcW w:w="0" w:type="auto"/>
            <w:hideMark/>
          </w:tcPr>
          <w:p w14:paraId="6B603BC5"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-33.56</w:t>
            </w:r>
          </w:p>
        </w:tc>
        <w:tc>
          <w:tcPr>
            <w:tcW w:w="0" w:type="auto"/>
            <w:hideMark/>
          </w:tcPr>
          <w:p w14:paraId="65E1DA04"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-29.30</w:t>
            </w:r>
          </w:p>
        </w:tc>
        <w:tc>
          <w:tcPr>
            <w:tcW w:w="0" w:type="auto"/>
            <w:hideMark/>
          </w:tcPr>
          <w:p w14:paraId="2475C98F"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-30.68</w:t>
            </w:r>
          </w:p>
        </w:tc>
      </w:tr>
      <w:tr w:rsidR="000941AC" w:rsidRPr="000941AC" w14:paraId="26023A3C" w14:textId="77777777" w:rsidTr="009F3AA7">
        <w:tc>
          <w:tcPr>
            <w:cnfStyle w:val="001000000000" w:firstRow="0" w:lastRow="0" w:firstColumn="1" w:lastColumn="0" w:oddVBand="0" w:evenVBand="0" w:oddHBand="0" w:evenHBand="0" w:firstRowFirstColumn="0" w:firstRowLastColumn="0" w:lastRowFirstColumn="0" w:lastRowLastColumn="0"/>
            <w:tcW w:w="0" w:type="auto"/>
            <w:hideMark/>
          </w:tcPr>
          <w:p w14:paraId="1850E6D8" w14:textId="77777777" w:rsidR="000941AC" w:rsidRPr="000941AC" w:rsidRDefault="000941AC" w:rsidP="000941AC">
            <w:pPr>
              <w:spacing w:after="160" w:line="259" w:lineRule="auto"/>
            </w:pPr>
            <w:r w:rsidRPr="000941AC">
              <w:t>2023</w:t>
            </w:r>
          </w:p>
        </w:tc>
        <w:tc>
          <w:tcPr>
            <w:tcW w:w="0" w:type="auto"/>
            <w:hideMark/>
          </w:tcPr>
          <w:p w14:paraId="72B4B033"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5.49</w:t>
            </w:r>
          </w:p>
        </w:tc>
        <w:tc>
          <w:tcPr>
            <w:tcW w:w="0" w:type="auto"/>
            <w:hideMark/>
          </w:tcPr>
          <w:p w14:paraId="18D89C86"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-40.74</w:t>
            </w:r>
          </w:p>
        </w:tc>
        <w:tc>
          <w:tcPr>
            <w:tcW w:w="0" w:type="auto"/>
            <w:hideMark/>
          </w:tcPr>
          <w:p w14:paraId="48F98E3B"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-37.26</w:t>
            </w:r>
          </w:p>
        </w:tc>
        <w:tc>
          <w:tcPr>
            <w:tcW w:w="0" w:type="auto"/>
            <w:hideMark/>
          </w:tcPr>
          <w:p w14:paraId="28D24733"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-71.10</w:t>
            </w:r>
          </w:p>
        </w:tc>
      </w:tr>
      <w:tr w:rsidR="000941AC" w:rsidRPr="000941AC" w14:paraId="01ABC703" w14:textId="77777777" w:rsidTr="009F3AA7">
        <w:tc>
          <w:tcPr>
            <w:cnfStyle w:val="001000000000" w:firstRow="0" w:lastRow="0" w:firstColumn="1" w:lastColumn="0" w:oddVBand="0" w:evenVBand="0" w:oddHBand="0" w:evenHBand="0" w:firstRowFirstColumn="0" w:firstRowLastColumn="0" w:lastRowFirstColumn="0" w:lastRowLastColumn="0"/>
            <w:tcW w:w="0" w:type="auto"/>
            <w:hideMark/>
          </w:tcPr>
          <w:p w14:paraId="3E80C6F2" w14:textId="77777777" w:rsidR="000941AC" w:rsidRPr="000941AC" w:rsidRDefault="000941AC" w:rsidP="000941AC">
            <w:pPr>
              <w:spacing w:after="160" w:line="259" w:lineRule="auto"/>
            </w:pPr>
            <w:r w:rsidRPr="000941AC">
              <w:t>2024</w:t>
            </w:r>
          </w:p>
        </w:tc>
        <w:tc>
          <w:tcPr>
            <w:tcW w:w="0" w:type="auto"/>
            <w:hideMark/>
          </w:tcPr>
          <w:p w14:paraId="6D5CFFC3"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9.88</w:t>
            </w:r>
          </w:p>
        </w:tc>
        <w:tc>
          <w:tcPr>
            <w:tcW w:w="0" w:type="auto"/>
            <w:hideMark/>
          </w:tcPr>
          <w:p w14:paraId="23CCD17B"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-33.28</w:t>
            </w:r>
          </w:p>
        </w:tc>
        <w:tc>
          <w:tcPr>
            <w:tcW w:w="0" w:type="auto"/>
            <w:hideMark/>
          </w:tcPr>
          <w:p w14:paraId="038D160F"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-34.07</w:t>
            </w:r>
          </w:p>
        </w:tc>
        <w:tc>
          <w:tcPr>
            <w:tcW w:w="0" w:type="auto"/>
            <w:hideMark/>
          </w:tcPr>
          <w:p w14:paraId="5693DDAB"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-32.10</w:t>
            </w:r>
          </w:p>
        </w:tc>
      </w:tr>
    </w:tbl>
    <w:p w14:paraId="35FE620E" w14:textId="5781904A" w:rsidR="000941AC" w:rsidRPr="000941AC" w:rsidRDefault="000941AC" w:rsidP="000941AC">
      <w:pPr>
        <w:spacing w:line="259" w:lineRule="auto"/>
      </w:pPr>
    </w:p>
    <w:p w14:paraId="569A267C" w14:textId="77777777" w:rsidR="009F3AA7" w:rsidRDefault="009F3AA7" w:rsidP="009F3AA7">
      <w:r>
        <w:t>The profitability ratios of NIO show that its financial inefficiency is here to stay and increasing. Gross margin declined from 17.40% in 2021 to 5.49% in 2023 before recovering slightly to 9.88% in 2024. This dwindling shows that the cost of sales is rising against revenue because of rising input prices, especially the battery materials, and the threat of stricter price competition in EV market in China (International Energy Agency, 2024). The partial cost stabilisation and not structural improvement indicates the limited recovery in 2024.</w:t>
      </w:r>
    </w:p>
    <w:p w14:paraId="72C351CA" w14:textId="77777777" w:rsidR="009F3AA7" w:rsidRDefault="009F3AA7" w:rsidP="009F3AA7">
      <w:r>
        <w:t>Operating margin deteriorated significantly from -12.44% in 2021 to -40.74% in 2023, before improving to -33.28% in 2024. This drastic reduction is indicative of a significant rise in operation costs, especially research and development and selling costs relating to expansion. The extent of depreciation shows that operating expenses have been rising outpaced by revenue, which reflects a lack of cost discipline and inefficiency in scaling.</w:t>
      </w:r>
    </w:p>
    <w:p w14:paraId="4A259E0E" w14:textId="77777777" w:rsidR="009F3AA7" w:rsidRDefault="009F3AA7" w:rsidP="009F3AA7">
      <w:r>
        <w:t>Net margin remained consistently negative, declining from -29.25% in 2021 to -37.26% in 2023, before improving slightly to -34.07% in 2024. This suggests that NIO cannot transform revenue growth to net profitability, both of which are signs of inefficiency in its operations and financing pressures.</w:t>
      </w:r>
    </w:p>
    <w:p w14:paraId="202D59AD" w14:textId="77777777" w:rsidR="009F3AA7" w:rsidRDefault="009F3AA7" w:rsidP="009F3AA7">
      <w:r>
        <w:t>ROCE declined sharply from -14.80% in 2021 to -71.10% in 2023, before recovering to -32.10% in 2024. This means that there has been a dire erosion of capital efficiency with rising capital investment not bearing corresponding returns. The negative ROCE of 2023 is so negative, which indicates that capital is being used inefficiently (Brealey et al., 2023).</w:t>
      </w:r>
    </w:p>
    <w:p w14:paraId="06D60C7B" w14:textId="77777777" w:rsidR="009F3AA7" w:rsidRDefault="009F3AA7" w:rsidP="009F3AA7">
      <w:r>
        <w:t>The reduction in operating and net margins is in line with the decreased capital efficiency, thus showing that greater investment in assets has not resulted in enhanced profitability. This is a strategic indication that NIO has been more focused on growth than financial discipline and hence has a structurally unprofitable business model.</w:t>
      </w:r>
    </w:p>
    <w:p w14:paraId="0EFCF2B3" w14:textId="5CA97ADC" w:rsidR="000941AC" w:rsidRDefault="009F3AA7" w:rsidP="009F3AA7">
      <w:pPr>
        <w:spacing w:line="259" w:lineRule="auto"/>
      </w:pPr>
      <w:r>
        <w:t xml:space="preserve">Although falling margins are a clear indication of operational inefficiency, it is necessary to note that the trends may also be indicative of strategic investment in future growth. Cases in point are capital-intensive and innovation-driven industries where the firms may incur short-term losses to gain technological leadership and market share. The continuity and scale of negative NIO margins, however, points to these losses being not only strategic, but structural. In contrast to companies like Tesla, which showed incremental margin growth with scale, the fact that NIO is gradually getting weaker with scale means that it cannot be able to convert </w:t>
      </w:r>
      <w:r>
        <w:lastRenderedPageBreak/>
        <w:t>growth into operational efficiency. This poses significant questions as to whether the business model that the company has now can bring it profit even in case of increased volume produced.</w:t>
      </w:r>
    </w:p>
    <w:p w14:paraId="731834A4" w14:textId="77777777" w:rsidR="009F3AA7" w:rsidRPr="000941AC" w:rsidRDefault="009F3AA7" w:rsidP="009F3AA7">
      <w:pPr>
        <w:spacing w:line="259" w:lineRule="auto"/>
      </w:pPr>
    </w:p>
    <w:p w14:paraId="678437F5" w14:textId="030DAD10" w:rsidR="000941AC" w:rsidRPr="000941AC" w:rsidRDefault="000941AC" w:rsidP="009F3AA7">
      <w:pPr>
        <w:pStyle w:val="Heading2"/>
      </w:pPr>
      <w:bookmarkStart w:id="4" w:name="_Toc227074705"/>
      <w:r w:rsidRPr="000941AC">
        <w:t>2.3 Liquidity Analysis</w:t>
      </w:r>
      <w:bookmarkEnd w:id="4"/>
    </w:p>
    <w:p w14:paraId="5663925C" w14:textId="602675C7" w:rsidR="000941AC" w:rsidRPr="000941AC" w:rsidRDefault="009F3AA7" w:rsidP="009F3AA7">
      <w:r>
        <w:rPr>
          <w:rFonts w:ascii="Segoe UI Emoji" w:hAnsi="Segoe UI Emoji" w:cs="Segoe UI Emoji"/>
        </w:rPr>
        <w:t xml:space="preserve"> </w:t>
      </w:r>
      <w:r w:rsidRPr="009F3AA7">
        <w:rPr>
          <w:rFonts w:cs="Times New Roman"/>
        </w:rPr>
        <w:t>Table 2</w:t>
      </w:r>
      <w:r>
        <w:rPr>
          <w:rFonts w:ascii="Segoe UI Emoji" w:hAnsi="Segoe UI Emoji" w:cs="Segoe UI Emoji"/>
        </w:rPr>
        <w:t xml:space="preserve">: </w:t>
      </w:r>
      <w:r w:rsidR="000941AC" w:rsidRPr="000941AC">
        <w:t>Key Liquidity Indicator</w:t>
      </w:r>
    </w:p>
    <w:tbl>
      <w:tblPr>
        <w:tblStyle w:val="TableGrid"/>
        <w:tblW w:w="0" w:type="auto"/>
        <w:tblLook w:val="04A0" w:firstRow="1" w:lastRow="0" w:firstColumn="1" w:lastColumn="0" w:noHBand="0" w:noVBand="1"/>
      </w:tblPr>
      <w:tblGrid>
        <w:gridCol w:w="696"/>
        <w:gridCol w:w="1672"/>
      </w:tblGrid>
      <w:tr w:rsidR="000941AC" w:rsidRPr="000941AC" w14:paraId="4D56F876" w14:textId="77777777" w:rsidTr="009F3AA7">
        <w:tc>
          <w:tcPr>
            <w:tcW w:w="0" w:type="auto"/>
            <w:hideMark/>
          </w:tcPr>
          <w:p w14:paraId="44F2C3E4" w14:textId="77777777" w:rsidR="000941AC" w:rsidRPr="000941AC" w:rsidRDefault="000941AC" w:rsidP="000941AC">
            <w:pPr>
              <w:spacing w:after="160" w:line="259" w:lineRule="auto"/>
              <w:jc w:val="left"/>
              <w:rPr>
                <w:b/>
                <w:bCs/>
              </w:rPr>
            </w:pPr>
            <w:r w:rsidRPr="000941AC">
              <w:rPr>
                <w:b/>
                <w:bCs/>
              </w:rPr>
              <w:t>Year</w:t>
            </w:r>
          </w:p>
        </w:tc>
        <w:tc>
          <w:tcPr>
            <w:tcW w:w="0" w:type="auto"/>
            <w:hideMark/>
          </w:tcPr>
          <w:p w14:paraId="3051CDF5" w14:textId="77777777" w:rsidR="000941AC" w:rsidRPr="000941AC" w:rsidRDefault="000941AC" w:rsidP="000941AC">
            <w:pPr>
              <w:spacing w:after="160" w:line="259" w:lineRule="auto"/>
              <w:jc w:val="left"/>
              <w:rPr>
                <w:b/>
                <w:bCs/>
              </w:rPr>
            </w:pPr>
            <w:r w:rsidRPr="000941AC">
              <w:rPr>
                <w:b/>
                <w:bCs/>
              </w:rPr>
              <w:t>Current Ratio</w:t>
            </w:r>
          </w:p>
        </w:tc>
      </w:tr>
      <w:tr w:rsidR="000941AC" w:rsidRPr="000941AC" w14:paraId="18707DC8" w14:textId="77777777" w:rsidTr="009F3AA7">
        <w:tc>
          <w:tcPr>
            <w:tcW w:w="0" w:type="auto"/>
            <w:hideMark/>
          </w:tcPr>
          <w:p w14:paraId="1C869326" w14:textId="77777777" w:rsidR="000941AC" w:rsidRPr="000941AC" w:rsidRDefault="000941AC" w:rsidP="000941AC">
            <w:pPr>
              <w:spacing w:after="160" w:line="259" w:lineRule="auto"/>
            </w:pPr>
            <w:r w:rsidRPr="000941AC">
              <w:t>2020</w:t>
            </w:r>
          </w:p>
        </w:tc>
        <w:tc>
          <w:tcPr>
            <w:tcW w:w="0" w:type="auto"/>
            <w:hideMark/>
          </w:tcPr>
          <w:p w14:paraId="71C7C8D5" w14:textId="77777777" w:rsidR="000941AC" w:rsidRPr="000941AC" w:rsidRDefault="000941AC" w:rsidP="000941AC">
            <w:pPr>
              <w:spacing w:after="160" w:line="259" w:lineRule="auto"/>
            </w:pPr>
            <w:r w:rsidRPr="000941AC">
              <w:t>1.87</w:t>
            </w:r>
          </w:p>
        </w:tc>
      </w:tr>
      <w:tr w:rsidR="000941AC" w:rsidRPr="000941AC" w14:paraId="23BC5A82" w14:textId="77777777" w:rsidTr="009F3AA7">
        <w:tc>
          <w:tcPr>
            <w:tcW w:w="0" w:type="auto"/>
            <w:hideMark/>
          </w:tcPr>
          <w:p w14:paraId="2E961270" w14:textId="77777777" w:rsidR="000941AC" w:rsidRPr="000941AC" w:rsidRDefault="000941AC" w:rsidP="000941AC">
            <w:pPr>
              <w:spacing w:after="160" w:line="259" w:lineRule="auto"/>
            </w:pPr>
            <w:r w:rsidRPr="000941AC">
              <w:t>2021</w:t>
            </w:r>
          </w:p>
        </w:tc>
        <w:tc>
          <w:tcPr>
            <w:tcW w:w="0" w:type="auto"/>
            <w:hideMark/>
          </w:tcPr>
          <w:p w14:paraId="4E4E0FAE" w14:textId="77777777" w:rsidR="000941AC" w:rsidRPr="000941AC" w:rsidRDefault="000941AC" w:rsidP="000941AC">
            <w:pPr>
              <w:spacing w:after="160" w:line="259" w:lineRule="auto"/>
            </w:pPr>
            <w:r w:rsidRPr="000941AC">
              <w:t>1.75</w:t>
            </w:r>
          </w:p>
        </w:tc>
      </w:tr>
      <w:tr w:rsidR="000941AC" w:rsidRPr="000941AC" w14:paraId="068D14DA" w14:textId="77777777" w:rsidTr="009F3AA7">
        <w:tc>
          <w:tcPr>
            <w:tcW w:w="0" w:type="auto"/>
            <w:hideMark/>
          </w:tcPr>
          <w:p w14:paraId="0BE8EDF8" w14:textId="77777777" w:rsidR="000941AC" w:rsidRPr="000941AC" w:rsidRDefault="000941AC" w:rsidP="000941AC">
            <w:pPr>
              <w:spacing w:after="160" w:line="259" w:lineRule="auto"/>
            </w:pPr>
            <w:r w:rsidRPr="000941AC">
              <w:t>2022</w:t>
            </w:r>
          </w:p>
        </w:tc>
        <w:tc>
          <w:tcPr>
            <w:tcW w:w="0" w:type="auto"/>
            <w:hideMark/>
          </w:tcPr>
          <w:p w14:paraId="01FDF42D" w14:textId="77777777" w:rsidR="000941AC" w:rsidRPr="000941AC" w:rsidRDefault="000941AC" w:rsidP="000941AC">
            <w:pPr>
              <w:spacing w:after="160" w:line="259" w:lineRule="auto"/>
            </w:pPr>
            <w:r w:rsidRPr="000941AC">
              <w:t>1.31</w:t>
            </w:r>
          </w:p>
        </w:tc>
      </w:tr>
      <w:tr w:rsidR="000941AC" w:rsidRPr="000941AC" w14:paraId="69768A71" w14:textId="77777777" w:rsidTr="009F3AA7">
        <w:tc>
          <w:tcPr>
            <w:tcW w:w="0" w:type="auto"/>
            <w:hideMark/>
          </w:tcPr>
          <w:p w14:paraId="6D65B301" w14:textId="77777777" w:rsidR="000941AC" w:rsidRPr="000941AC" w:rsidRDefault="000941AC" w:rsidP="000941AC">
            <w:pPr>
              <w:spacing w:after="160" w:line="259" w:lineRule="auto"/>
            </w:pPr>
            <w:r w:rsidRPr="000941AC">
              <w:t>2023</w:t>
            </w:r>
          </w:p>
        </w:tc>
        <w:tc>
          <w:tcPr>
            <w:tcW w:w="0" w:type="auto"/>
            <w:hideMark/>
          </w:tcPr>
          <w:p w14:paraId="71912CF4" w14:textId="77777777" w:rsidR="000941AC" w:rsidRPr="000941AC" w:rsidRDefault="000941AC" w:rsidP="000941AC">
            <w:pPr>
              <w:spacing w:after="160" w:line="259" w:lineRule="auto"/>
            </w:pPr>
            <w:r w:rsidRPr="000941AC">
              <w:t>1.21</w:t>
            </w:r>
          </w:p>
        </w:tc>
      </w:tr>
      <w:tr w:rsidR="000941AC" w:rsidRPr="000941AC" w14:paraId="3E4B1F39" w14:textId="77777777" w:rsidTr="009F3AA7">
        <w:tc>
          <w:tcPr>
            <w:tcW w:w="0" w:type="auto"/>
            <w:hideMark/>
          </w:tcPr>
          <w:p w14:paraId="03AA105C" w14:textId="77777777" w:rsidR="000941AC" w:rsidRPr="000941AC" w:rsidRDefault="000941AC" w:rsidP="000941AC">
            <w:pPr>
              <w:spacing w:after="160" w:line="259" w:lineRule="auto"/>
            </w:pPr>
            <w:r w:rsidRPr="000941AC">
              <w:t>2024</w:t>
            </w:r>
          </w:p>
        </w:tc>
        <w:tc>
          <w:tcPr>
            <w:tcW w:w="0" w:type="auto"/>
            <w:hideMark/>
          </w:tcPr>
          <w:p w14:paraId="2E423DD7" w14:textId="77777777" w:rsidR="000941AC" w:rsidRPr="000941AC" w:rsidRDefault="000941AC" w:rsidP="000941AC">
            <w:pPr>
              <w:spacing w:after="160" w:line="259" w:lineRule="auto"/>
            </w:pPr>
            <w:r w:rsidRPr="000941AC">
              <w:t>1.18</w:t>
            </w:r>
          </w:p>
        </w:tc>
      </w:tr>
    </w:tbl>
    <w:p w14:paraId="62F9976F" w14:textId="36278545" w:rsidR="000941AC" w:rsidRPr="000941AC" w:rsidRDefault="000941AC" w:rsidP="000941AC">
      <w:pPr>
        <w:spacing w:line="259" w:lineRule="auto"/>
      </w:pPr>
    </w:p>
    <w:p w14:paraId="16F27C12" w14:textId="77777777" w:rsidR="009F3AA7" w:rsidRDefault="009F3AA7" w:rsidP="009F3AA7">
      <w:r>
        <w:t>The current ratio of NIO is decreased to 1.18 in 2024 compared to 1.87 in 2020, which shows a slow deterioration in the liquidity in short terms. Although the ratio is still above 1, indicating that the firm is able to cover the short-term commitments, the declining trend indicates that the firm is facing mounting pressure on working capital.</w:t>
      </w:r>
    </w:p>
    <w:p w14:paraId="6F8E79E1" w14:textId="77777777" w:rsidR="009F3AA7" w:rsidRDefault="009F3AA7" w:rsidP="009F3AA7">
      <w:r>
        <w:t>This reduction is directly associated with an ongoing operating loss, which decreases the internal cash generation. With the operating margins at negative levels, the company cannot raise enough cash flows through operations, leading to the need to depend on external financing to keep the company liquid (Reuters, 2024).</w:t>
      </w:r>
    </w:p>
    <w:p w14:paraId="47E6A78C" w14:textId="77777777" w:rsidR="009F3AA7" w:rsidRDefault="009F3AA7" w:rsidP="009F3AA7">
      <w:r>
        <w:t>Profitability performance is thus directly related to liquidity pressures. Poor margins decrease the cash flow, making it more reliant on outside sources. This forms a vicious circle of liquidity limitation caused by bad profitability that strengthens financial weakness.</w:t>
      </w:r>
    </w:p>
    <w:p w14:paraId="26FA8BBD" w14:textId="76B6749B" w:rsidR="000941AC" w:rsidRDefault="009F3AA7" w:rsidP="009F3AA7">
      <w:pPr>
        <w:spacing w:line="259" w:lineRule="auto"/>
      </w:pPr>
      <w:r>
        <w:t>Strategically, the firm is maintaining its liquidity by financing operations at the expense of its operational performance and this implies it is not a sustainable financial structure.</w:t>
      </w:r>
    </w:p>
    <w:p w14:paraId="71D87F7B" w14:textId="77777777" w:rsidR="009F3AA7" w:rsidRPr="000941AC" w:rsidRDefault="009F3AA7" w:rsidP="009F3AA7">
      <w:pPr>
        <w:spacing w:line="259" w:lineRule="auto"/>
      </w:pPr>
    </w:p>
    <w:p w14:paraId="59EB2D99" w14:textId="25307CAA" w:rsidR="000941AC" w:rsidRPr="000941AC" w:rsidRDefault="000941AC" w:rsidP="009F3AA7">
      <w:pPr>
        <w:pStyle w:val="Heading2"/>
      </w:pPr>
      <w:bookmarkStart w:id="5" w:name="_Toc227074706"/>
      <w:r w:rsidRPr="000941AC">
        <w:t>2.4 Efficiency Analysis</w:t>
      </w:r>
      <w:bookmarkEnd w:id="5"/>
    </w:p>
    <w:p w14:paraId="2E4135B4" w14:textId="314109BD" w:rsidR="000941AC" w:rsidRPr="000941AC" w:rsidRDefault="009F3AA7" w:rsidP="000941AC">
      <w:pPr>
        <w:spacing w:line="259" w:lineRule="auto"/>
      </w:pPr>
      <w:r w:rsidRPr="009F3AA7">
        <w:rPr>
          <w:rFonts w:cs="Times New Roman"/>
        </w:rPr>
        <w:t>Table 3</w:t>
      </w:r>
      <w:r w:rsidRPr="009F3AA7">
        <w:rPr>
          <w:rFonts w:ascii="Segoe UI Emoji" w:hAnsi="Segoe UI Emoji" w:cs="Segoe UI Emoji"/>
        </w:rPr>
        <w:t xml:space="preserve">: </w:t>
      </w:r>
      <w:r w:rsidR="000941AC" w:rsidRPr="000941AC">
        <w:t>Key Efficiency Indicator</w:t>
      </w:r>
    </w:p>
    <w:tbl>
      <w:tblPr>
        <w:tblStyle w:val="TableGrid"/>
        <w:tblW w:w="0" w:type="auto"/>
        <w:tblLook w:val="04A0" w:firstRow="1" w:lastRow="0" w:firstColumn="1" w:lastColumn="0" w:noHBand="0" w:noVBand="1"/>
      </w:tblPr>
      <w:tblGrid>
        <w:gridCol w:w="696"/>
        <w:gridCol w:w="2545"/>
      </w:tblGrid>
      <w:tr w:rsidR="000941AC" w:rsidRPr="000941AC" w14:paraId="1074374C" w14:textId="77777777" w:rsidTr="009F3AA7">
        <w:tc>
          <w:tcPr>
            <w:tcW w:w="0" w:type="auto"/>
            <w:hideMark/>
          </w:tcPr>
          <w:p w14:paraId="16B5FC2E" w14:textId="77777777" w:rsidR="000941AC" w:rsidRPr="000941AC" w:rsidRDefault="000941AC" w:rsidP="000941AC">
            <w:pPr>
              <w:spacing w:after="160" w:line="259" w:lineRule="auto"/>
              <w:jc w:val="left"/>
              <w:rPr>
                <w:b/>
                <w:bCs/>
              </w:rPr>
            </w:pPr>
            <w:r w:rsidRPr="000941AC">
              <w:rPr>
                <w:b/>
                <w:bCs/>
              </w:rPr>
              <w:t>Year</w:t>
            </w:r>
          </w:p>
        </w:tc>
        <w:tc>
          <w:tcPr>
            <w:tcW w:w="0" w:type="auto"/>
            <w:hideMark/>
          </w:tcPr>
          <w:p w14:paraId="5E98369E" w14:textId="77777777" w:rsidR="000941AC" w:rsidRPr="000941AC" w:rsidRDefault="000941AC" w:rsidP="000941AC">
            <w:pPr>
              <w:spacing w:after="160" w:line="259" w:lineRule="auto"/>
              <w:jc w:val="left"/>
              <w:rPr>
                <w:b/>
                <w:bCs/>
              </w:rPr>
            </w:pPr>
            <w:r w:rsidRPr="000941AC">
              <w:rPr>
                <w:b/>
                <w:bCs/>
              </w:rPr>
              <w:t>Asset Turnover (times)</w:t>
            </w:r>
          </w:p>
        </w:tc>
      </w:tr>
      <w:tr w:rsidR="000941AC" w:rsidRPr="000941AC" w14:paraId="0DA81EA9" w14:textId="77777777" w:rsidTr="009F3AA7">
        <w:tc>
          <w:tcPr>
            <w:tcW w:w="0" w:type="auto"/>
            <w:hideMark/>
          </w:tcPr>
          <w:p w14:paraId="557A27AA" w14:textId="77777777" w:rsidR="000941AC" w:rsidRPr="000941AC" w:rsidRDefault="000941AC" w:rsidP="000941AC">
            <w:pPr>
              <w:spacing w:after="160" w:line="259" w:lineRule="auto"/>
            </w:pPr>
            <w:r w:rsidRPr="000941AC">
              <w:t>2020</w:t>
            </w:r>
          </w:p>
        </w:tc>
        <w:tc>
          <w:tcPr>
            <w:tcW w:w="0" w:type="auto"/>
            <w:hideMark/>
          </w:tcPr>
          <w:p w14:paraId="4A50826B" w14:textId="77777777" w:rsidR="000941AC" w:rsidRPr="000941AC" w:rsidRDefault="000941AC" w:rsidP="000941AC">
            <w:pPr>
              <w:spacing w:after="160" w:line="259" w:lineRule="auto"/>
            </w:pPr>
            <w:r w:rsidRPr="000941AC">
              <w:t>0.48</w:t>
            </w:r>
          </w:p>
        </w:tc>
      </w:tr>
      <w:tr w:rsidR="000941AC" w:rsidRPr="000941AC" w14:paraId="78A6206C" w14:textId="77777777" w:rsidTr="009F3AA7">
        <w:tc>
          <w:tcPr>
            <w:tcW w:w="0" w:type="auto"/>
            <w:hideMark/>
          </w:tcPr>
          <w:p w14:paraId="05AD006E" w14:textId="77777777" w:rsidR="000941AC" w:rsidRPr="000941AC" w:rsidRDefault="000941AC" w:rsidP="000941AC">
            <w:pPr>
              <w:spacing w:after="160" w:line="259" w:lineRule="auto"/>
            </w:pPr>
            <w:r w:rsidRPr="000941AC">
              <w:t>2021</w:t>
            </w:r>
          </w:p>
        </w:tc>
        <w:tc>
          <w:tcPr>
            <w:tcW w:w="0" w:type="auto"/>
            <w:hideMark/>
          </w:tcPr>
          <w:p w14:paraId="58F636EE" w14:textId="77777777" w:rsidR="000941AC" w:rsidRPr="000941AC" w:rsidRDefault="000941AC" w:rsidP="000941AC">
            <w:pPr>
              <w:spacing w:after="160" w:line="259" w:lineRule="auto"/>
            </w:pPr>
            <w:r w:rsidRPr="000941AC">
              <w:t>0.62</w:t>
            </w:r>
          </w:p>
        </w:tc>
      </w:tr>
      <w:tr w:rsidR="000941AC" w:rsidRPr="000941AC" w14:paraId="0B3E19E9" w14:textId="77777777" w:rsidTr="009F3AA7">
        <w:tc>
          <w:tcPr>
            <w:tcW w:w="0" w:type="auto"/>
            <w:hideMark/>
          </w:tcPr>
          <w:p w14:paraId="1836D8E1" w14:textId="77777777" w:rsidR="000941AC" w:rsidRPr="000941AC" w:rsidRDefault="000941AC" w:rsidP="000941AC">
            <w:pPr>
              <w:spacing w:after="160" w:line="259" w:lineRule="auto"/>
            </w:pPr>
            <w:r w:rsidRPr="000941AC">
              <w:t>2022</w:t>
            </w:r>
          </w:p>
        </w:tc>
        <w:tc>
          <w:tcPr>
            <w:tcW w:w="0" w:type="auto"/>
            <w:hideMark/>
          </w:tcPr>
          <w:p w14:paraId="0B2AFD25" w14:textId="77777777" w:rsidR="000941AC" w:rsidRPr="000941AC" w:rsidRDefault="000941AC" w:rsidP="000941AC">
            <w:pPr>
              <w:spacing w:after="160" w:line="259" w:lineRule="auto"/>
            </w:pPr>
            <w:r w:rsidRPr="000941AC">
              <w:t>0.55</w:t>
            </w:r>
          </w:p>
        </w:tc>
      </w:tr>
      <w:tr w:rsidR="000941AC" w:rsidRPr="000941AC" w14:paraId="1F860546" w14:textId="77777777" w:rsidTr="009F3AA7">
        <w:tc>
          <w:tcPr>
            <w:tcW w:w="0" w:type="auto"/>
            <w:hideMark/>
          </w:tcPr>
          <w:p w14:paraId="6874AC3A" w14:textId="77777777" w:rsidR="000941AC" w:rsidRPr="000941AC" w:rsidRDefault="000941AC" w:rsidP="000941AC">
            <w:pPr>
              <w:spacing w:after="160" w:line="259" w:lineRule="auto"/>
            </w:pPr>
            <w:r w:rsidRPr="000941AC">
              <w:t>2023</w:t>
            </w:r>
          </w:p>
        </w:tc>
        <w:tc>
          <w:tcPr>
            <w:tcW w:w="0" w:type="auto"/>
            <w:hideMark/>
          </w:tcPr>
          <w:p w14:paraId="5F0009D4" w14:textId="77777777" w:rsidR="000941AC" w:rsidRPr="000941AC" w:rsidRDefault="000941AC" w:rsidP="000941AC">
            <w:pPr>
              <w:spacing w:after="160" w:line="259" w:lineRule="auto"/>
            </w:pPr>
            <w:r w:rsidRPr="000941AC">
              <w:t>0.49</w:t>
            </w:r>
          </w:p>
        </w:tc>
      </w:tr>
      <w:tr w:rsidR="000941AC" w:rsidRPr="000941AC" w14:paraId="5E428162" w14:textId="77777777" w:rsidTr="009F3AA7">
        <w:tc>
          <w:tcPr>
            <w:tcW w:w="0" w:type="auto"/>
            <w:hideMark/>
          </w:tcPr>
          <w:p w14:paraId="7385208C" w14:textId="77777777" w:rsidR="000941AC" w:rsidRPr="000941AC" w:rsidRDefault="000941AC" w:rsidP="000941AC">
            <w:pPr>
              <w:spacing w:after="160" w:line="259" w:lineRule="auto"/>
            </w:pPr>
            <w:r w:rsidRPr="000941AC">
              <w:t>2024</w:t>
            </w:r>
          </w:p>
        </w:tc>
        <w:tc>
          <w:tcPr>
            <w:tcW w:w="0" w:type="auto"/>
            <w:hideMark/>
          </w:tcPr>
          <w:p w14:paraId="553E9E0F" w14:textId="77777777" w:rsidR="000941AC" w:rsidRPr="000941AC" w:rsidRDefault="000941AC" w:rsidP="000941AC">
            <w:pPr>
              <w:spacing w:after="160" w:line="259" w:lineRule="auto"/>
            </w:pPr>
            <w:r w:rsidRPr="000941AC">
              <w:t>0.46</w:t>
            </w:r>
          </w:p>
        </w:tc>
      </w:tr>
    </w:tbl>
    <w:p w14:paraId="386A87EF" w14:textId="14569AFC" w:rsidR="000941AC" w:rsidRPr="000941AC" w:rsidRDefault="000941AC" w:rsidP="000941AC">
      <w:pPr>
        <w:spacing w:line="259" w:lineRule="auto"/>
      </w:pPr>
    </w:p>
    <w:p w14:paraId="4F796FE7" w14:textId="77777777" w:rsidR="009F3AA7" w:rsidRDefault="009F3AA7" w:rsidP="009F3AA7">
      <w:r>
        <w:t>The asset turnover ratio of NIO decreased by approximately 0.62 in 2021 to 0.46 in 2024 and this means that it does not utilise its assets efficiently any more. This indicates that the firm is not able to earn as much revenue per unit of asset in the long run, implying that the efficiency of operations is on the decrease.</w:t>
      </w:r>
    </w:p>
    <w:p w14:paraId="00C6C79D" w14:textId="77777777" w:rsidR="009F3AA7" w:rsidRDefault="009F3AA7" w:rsidP="009F3AA7">
      <w:r>
        <w:t>This trend is in line with the decline in the ROCE, which proves that higher capital investment did not lead to the revenue growth in proportion. The decrease in the turnover of assets suggests that the growth of NIO in terms of infrastructure and production capacity has not been fully used.</w:t>
      </w:r>
    </w:p>
    <w:p w14:paraId="64E48B94" w14:textId="77777777" w:rsidR="009F3AA7" w:rsidRDefault="009F3AA7" w:rsidP="009F3AA7">
      <w:r>
        <w:t>The correlation between profitability and efficiency is witnessed. The decreasing operating margins are further contributed by the decrease in asset turnover since greater capital investment is not accompanied by greater revenue generation. This solidifies the argument that the growth strategy of NIO is not efficient.</w:t>
      </w:r>
    </w:p>
    <w:p w14:paraId="2FE175E5" w14:textId="2ECB99CA" w:rsidR="000941AC" w:rsidRDefault="009F3AA7" w:rsidP="009F3AA7">
      <w:pPr>
        <w:spacing w:line="259" w:lineRule="auto"/>
      </w:pPr>
      <w:r>
        <w:t>This would mean that the company has been focusing on capacity building rather than operational efficiency, which has led to low utilisation of the assets and low financial efficiency.</w:t>
      </w:r>
    </w:p>
    <w:p w14:paraId="77BFAD72" w14:textId="77777777" w:rsidR="009F3AA7" w:rsidRPr="000941AC" w:rsidRDefault="009F3AA7" w:rsidP="009F3AA7">
      <w:pPr>
        <w:spacing w:line="259" w:lineRule="auto"/>
      </w:pPr>
    </w:p>
    <w:p w14:paraId="4F635E53" w14:textId="5984844C" w:rsidR="000941AC" w:rsidRPr="000941AC" w:rsidRDefault="000941AC" w:rsidP="009F3AA7">
      <w:pPr>
        <w:pStyle w:val="Heading2"/>
      </w:pPr>
      <w:bookmarkStart w:id="6" w:name="_Toc227074707"/>
      <w:r w:rsidRPr="000941AC">
        <w:t>2.5 Gearing Analysis</w:t>
      </w:r>
      <w:bookmarkEnd w:id="6"/>
    </w:p>
    <w:p w14:paraId="3226644E" w14:textId="720FB2B3" w:rsidR="000941AC" w:rsidRPr="000941AC" w:rsidRDefault="009F3AA7" w:rsidP="000941AC">
      <w:pPr>
        <w:spacing w:line="259" w:lineRule="auto"/>
      </w:pPr>
      <w:r w:rsidRPr="009F3AA7">
        <w:rPr>
          <w:rFonts w:cs="Times New Roman"/>
        </w:rPr>
        <w:t>Table 4</w:t>
      </w:r>
      <w:r w:rsidRPr="009F3AA7">
        <w:rPr>
          <w:rFonts w:ascii="Segoe UI Emoji" w:hAnsi="Segoe UI Emoji" w:cs="Segoe UI Emoji"/>
        </w:rPr>
        <w:t xml:space="preserve">: </w:t>
      </w:r>
      <w:r w:rsidR="000941AC" w:rsidRPr="000941AC">
        <w:t>Key Gearing Indicator</w:t>
      </w:r>
    </w:p>
    <w:tbl>
      <w:tblPr>
        <w:tblStyle w:val="TableGrid"/>
        <w:tblW w:w="0" w:type="auto"/>
        <w:tblLook w:val="04A0" w:firstRow="1" w:lastRow="0" w:firstColumn="1" w:lastColumn="0" w:noHBand="0" w:noVBand="1"/>
      </w:tblPr>
      <w:tblGrid>
        <w:gridCol w:w="696"/>
        <w:gridCol w:w="2383"/>
      </w:tblGrid>
      <w:tr w:rsidR="000941AC" w:rsidRPr="000941AC" w14:paraId="0C44FBEF" w14:textId="77777777" w:rsidTr="009F3AA7">
        <w:tc>
          <w:tcPr>
            <w:tcW w:w="0" w:type="auto"/>
            <w:hideMark/>
          </w:tcPr>
          <w:p w14:paraId="05E2C920" w14:textId="77777777" w:rsidR="000941AC" w:rsidRPr="000941AC" w:rsidRDefault="000941AC" w:rsidP="000941AC">
            <w:pPr>
              <w:spacing w:after="160" w:line="259" w:lineRule="auto"/>
              <w:jc w:val="left"/>
              <w:rPr>
                <w:b/>
                <w:bCs/>
              </w:rPr>
            </w:pPr>
            <w:r w:rsidRPr="000941AC">
              <w:rPr>
                <w:b/>
                <w:bCs/>
              </w:rPr>
              <w:t>Year</w:t>
            </w:r>
          </w:p>
        </w:tc>
        <w:tc>
          <w:tcPr>
            <w:tcW w:w="0" w:type="auto"/>
            <w:hideMark/>
          </w:tcPr>
          <w:p w14:paraId="684A7A5C" w14:textId="77777777" w:rsidR="000941AC" w:rsidRPr="000941AC" w:rsidRDefault="000941AC" w:rsidP="000941AC">
            <w:pPr>
              <w:spacing w:after="160" w:line="259" w:lineRule="auto"/>
              <w:jc w:val="left"/>
              <w:rPr>
                <w:b/>
                <w:bCs/>
              </w:rPr>
            </w:pPr>
            <w:r w:rsidRPr="000941AC">
              <w:rPr>
                <w:b/>
                <w:bCs/>
              </w:rPr>
              <w:t>Debt-to-Equity Ratio</w:t>
            </w:r>
          </w:p>
        </w:tc>
      </w:tr>
      <w:tr w:rsidR="000941AC" w:rsidRPr="000941AC" w14:paraId="62E33FF4" w14:textId="77777777" w:rsidTr="009F3AA7">
        <w:tc>
          <w:tcPr>
            <w:tcW w:w="0" w:type="auto"/>
            <w:hideMark/>
          </w:tcPr>
          <w:p w14:paraId="4D81B180" w14:textId="77777777" w:rsidR="000941AC" w:rsidRPr="000941AC" w:rsidRDefault="000941AC" w:rsidP="000941AC">
            <w:pPr>
              <w:spacing w:after="160" w:line="259" w:lineRule="auto"/>
            </w:pPr>
            <w:r w:rsidRPr="000941AC">
              <w:t>2020</w:t>
            </w:r>
          </w:p>
        </w:tc>
        <w:tc>
          <w:tcPr>
            <w:tcW w:w="0" w:type="auto"/>
            <w:hideMark/>
          </w:tcPr>
          <w:p w14:paraId="038365C1" w14:textId="77777777" w:rsidR="000941AC" w:rsidRPr="000941AC" w:rsidRDefault="000941AC" w:rsidP="000941AC">
            <w:pPr>
              <w:spacing w:after="160" w:line="259" w:lineRule="auto"/>
            </w:pPr>
            <w:r w:rsidRPr="000941AC">
              <w:t>0.68</w:t>
            </w:r>
          </w:p>
        </w:tc>
      </w:tr>
      <w:tr w:rsidR="000941AC" w:rsidRPr="000941AC" w14:paraId="7FDB3988" w14:textId="77777777" w:rsidTr="009F3AA7">
        <w:tc>
          <w:tcPr>
            <w:tcW w:w="0" w:type="auto"/>
            <w:hideMark/>
          </w:tcPr>
          <w:p w14:paraId="43195F3D" w14:textId="77777777" w:rsidR="000941AC" w:rsidRPr="000941AC" w:rsidRDefault="000941AC" w:rsidP="000941AC">
            <w:pPr>
              <w:spacing w:after="160" w:line="259" w:lineRule="auto"/>
            </w:pPr>
            <w:r w:rsidRPr="000941AC">
              <w:t>2021</w:t>
            </w:r>
          </w:p>
        </w:tc>
        <w:tc>
          <w:tcPr>
            <w:tcW w:w="0" w:type="auto"/>
            <w:hideMark/>
          </w:tcPr>
          <w:p w14:paraId="3F677AB5" w14:textId="77777777" w:rsidR="000941AC" w:rsidRPr="000941AC" w:rsidRDefault="000941AC" w:rsidP="000941AC">
            <w:pPr>
              <w:spacing w:after="160" w:line="259" w:lineRule="auto"/>
            </w:pPr>
            <w:r w:rsidRPr="000941AC">
              <w:t>0.72</w:t>
            </w:r>
          </w:p>
        </w:tc>
      </w:tr>
      <w:tr w:rsidR="000941AC" w:rsidRPr="000941AC" w14:paraId="7BF7D492" w14:textId="77777777" w:rsidTr="009F3AA7">
        <w:tc>
          <w:tcPr>
            <w:tcW w:w="0" w:type="auto"/>
            <w:hideMark/>
          </w:tcPr>
          <w:p w14:paraId="183B1710" w14:textId="77777777" w:rsidR="000941AC" w:rsidRPr="000941AC" w:rsidRDefault="000941AC" w:rsidP="000941AC">
            <w:pPr>
              <w:spacing w:after="160" w:line="259" w:lineRule="auto"/>
            </w:pPr>
            <w:r w:rsidRPr="000941AC">
              <w:t>2022</w:t>
            </w:r>
          </w:p>
        </w:tc>
        <w:tc>
          <w:tcPr>
            <w:tcW w:w="0" w:type="auto"/>
            <w:hideMark/>
          </w:tcPr>
          <w:p w14:paraId="2DF06FA5" w14:textId="77777777" w:rsidR="000941AC" w:rsidRPr="000941AC" w:rsidRDefault="000941AC" w:rsidP="000941AC">
            <w:pPr>
              <w:spacing w:after="160" w:line="259" w:lineRule="auto"/>
            </w:pPr>
            <w:r w:rsidRPr="000941AC">
              <w:t>0.91</w:t>
            </w:r>
          </w:p>
        </w:tc>
      </w:tr>
      <w:tr w:rsidR="000941AC" w:rsidRPr="000941AC" w14:paraId="63BBBC2E" w14:textId="77777777" w:rsidTr="009F3AA7">
        <w:tc>
          <w:tcPr>
            <w:tcW w:w="0" w:type="auto"/>
            <w:hideMark/>
          </w:tcPr>
          <w:p w14:paraId="6DA2D7C0" w14:textId="77777777" w:rsidR="000941AC" w:rsidRPr="000941AC" w:rsidRDefault="000941AC" w:rsidP="000941AC">
            <w:pPr>
              <w:spacing w:after="160" w:line="259" w:lineRule="auto"/>
            </w:pPr>
            <w:r w:rsidRPr="000941AC">
              <w:t>2023</w:t>
            </w:r>
          </w:p>
        </w:tc>
        <w:tc>
          <w:tcPr>
            <w:tcW w:w="0" w:type="auto"/>
            <w:hideMark/>
          </w:tcPr>
          <w:p w14:paraId="1B3BE48D" w14:textId="77777777" w:rsidR="000941AC" w:rsidRPr="000941AC" w:rsidRDefault="000941AC" w:rsidP="000941AC">
            <w:pPr>
              <w:spacing w:after="160" w:line="259" w:lineRule="auto"/>
            </w:pPr>
            <w:r w:rsidRPr="000941AC">
              <w:t>1.12</w:t>
            </w:r>
          </w:p>
        </w:tc>
      </w:tr>
      <w:tr w:rsidR="000941AC" w:rsidRPr="000941AC" w14:paraId="2DADD3D1" w14:textId="77777777" w:rsidTr="009F3AA7">
        <w:tc>
          <w:tcPr>
            <w:tcW w:w="0" w:type="auto"/>
            <w:hideMark/>
          </w:tcPr>
          <w:p w14:paraId="342F0B13" w14:textId="77777777" w:rsidR="000941AC" w:rsidRPr="000941AC" w:rsidRDefault="000941AC" w:rsidP="000941AC">
            <w:pPr>
              <w:spacing w:after="160" w:line="259" w:lineRule="auto"/>
            </w:pPr>
            <w:r w:rsidRPr="000941AC">
              <w:t>2024</w:t>
            </w:r>
          </w:p>
        </w:tc>
        <w:tc>
          <w:tcPr>
            <w:tcW w:w="0" w:type="auto"/>
            <w:hideMark/>
          </w:tcPr>
          <w:p w14:paraId="0BC8B3FE" w14:textId="77777777" w:rsidR="000941AC" w:rsidRPr="000941AC" w:rsidRDefault="000941AC" w:rsidP="000941AC">
            <w:pPr>
              <w:spacing w:after="160" w:line="259" w:lineRule="auto"/>
            </w:pPr>
            <w:r w:rsidRPr="000941AC">
              <w:t>1.25</w:t>
            </w:r>
          </w:p>
        </w:tc>
      </w:tr>
    </w:tbl>
    <w:p w14:paraId="00A3C9C7" w14:textId="2C46A8C4" w:rsidR="000941AC" w:rsidRPr="000941AC" w:rsidRDefault="000941AC" w:rsidP="000941AC">
      <w:pPr>
        <w:spacing w:line="259" w:lineRule="auto"/>
      </w:pPr>
    </w:p>
    <w:p w14:paraId="2518CC12" w14:textId="77777777" w:rsidR="009F3AA7" w:rsidRDefault="009F3AA7" w:rsidP="009F3AA7">
      <w:r>
        <w:t>NIO debt-to-equity ratio grew up by 0.68 in 2020 to 1.25 in 2024, which means that the company began to depend more on debt financing. This trend indicates that the firm has to finance operating losses and capital expenditure using external funds.</w:t>
      </w:r>
    </w:p>
    <w:p w14:paraId="4359A7B4" w14:textId="77777777" w:rsidR="009F3AA7" w:rsidRDefault="009F3AA7" w:rsidP="009F3AA7">
      <w:r>
        <w:t>Strategic optimisation is not the cause of the rise in leverage but financial need because the constant losses necessitate constant capital inflow. Increased leverage amplifies the financial risk especially in the fixed interest liabilities that further strain profitability (Brealey et al., 2023).</w:t>
      </w:r>
    </w:p>
    <w:p w14:paraId="61838413" w14:textId="77777777" w:rsidR="009F3AA7" w:rsidRDefault="009F3AA7" w:rsidP="009F3AA7">
      <w:r>
        <w:t>The correlation between gearing and liquidity is great. The higher the liquidity pressure as a result of negative operating cash flows, the more the firm depends on external financing which results in high leverage. This introduces a channeling risk system.</w:t>
      </w:r>
    </w:p>
    <w:p w14:paraId="0D6EA505" w14:textId="77777777" w:rsidR="009F3AA7" w:rsidRDefault="009F3AA7" w:rsidP="009F3AA7">
      <w:r>
        <w:t>Strategically, the capital structure of NIO is becoming more vulnerable, with an increase in leverage and negative profitability creating doubts about the ultimate solvency.</w:t>
      </w:r>
    </w:p>
    <w:p w14:paraId="62AEB59C" w14:textId="77777777" w:rsidR="009F3AA7" w:rsidRDefault="009F3AA7" w:rsidP="009F3AA7"/>
    <w:p w14:paraId="68BD7BAB" w14:textId="77777777" w:rsidR="009F3AA7" w:rsidRDefault="009F3AA7" w:rsidP="009F3AA7">
      <w:pPr>
        <w:pStyle w:val="Heading2"/>
      </w:pPr>
      <w:bookmarkStart w:id="7" w:name="_Toc227074708"/>
      <w:r>
        <w:lastRenderedPageBreak/>
        <w:t>2.6 Investment Ratios and Market Perspective</w:t>
      </w:r>
      <w:bookmarkEnd w:id="7"/>
    </w:p>
    <w:p w14:paraId="483E3A91" w14:textId="77777777" w:rsidR="009F3AA7" w:rsidRDefault="009F3AA7" w:rsidP="009F3AA7">
      <w:r>
        <w:t>NIO also has a divergence between market expectations and financial performance as it draws investor attention despite poor financial fundamentals. Investors also seem to focus on the potential growth and technological advancements instead of profitability at hand (International Energy Agency, 2024).</w:t>
      </w:r>
    </w:p>
    <w:p w14:paraId="1659B8A6" w14:textId="77777777" w:rsidR="009F3AA7" w:rsidRDefault="009F3AA7" w:rsidP="009F3AA7">
      <w:r>
        <w:t>This implies that the valuation of the firm is based on expectations of future performance and not the current financial performance. But, this poses valuation risk especially in case the company does not become profitable.</w:t>
      </w:r>
    </w:p>
    <w:p w14:paraId="0B0D8855" w14:textId="77777777" w:rsidR="009F3AA7" w:rsidRDefault="009F3AA7" w:rsidP="009F3AA7">
      <w:r>
        <w:t>Strategically, an investor needs a plausible route to profitability to retain the confidence of the investor. The inability to provide better financial results can lead to higher cost of capital and decreasing market value.</w:t>
      </w:r>
    </w:p>
    <w:p w14:paraId="4EB7380F" w14:textId="77777777" w:rsidR="009F3AA7" w:rsidRDefault="009F3AA7" w:rsidP="009F3AA7"/>
    <w:p w14:paraId="2133D80F" w14:textId="4575AE94" w:rsidR="009F3AA7" w:rsidRDefault="009F3AA7" w:rsidP="009F3AA7">
      <w:pPr>
        <w:pStyle w:val="Heading2"/>
      </w:pPr>
      <w:bookmarkStart w:id="8" w:name="_Toc227074709"/>
      <w:r>
        <w:t>2.7 Critical Summary</w:t>
      </w:r>
      <w:bookmarkEnd w:id="8"/>
    </w:p>
    <w:p w14:paraId="5CF46D3F" w14:textId="77777777" w:rsidR="009F3AA7" w:rsidRDefault="009F3AA7" w:rsidP="009F3AA7">
      <w:r>
        <w:t>On the whole, NIO has shown robust revenue growth along with weak financial fundamentals in its structure, which is characterised by a falling profitability, deteriorating liquidity, decreasing asset utilisation, and rising financial leverage, which means that its existing growth model is not financially sustainable without a serious reorganisation.</w:t>
      </w:r>
    </w:p>
    <w:p w14:paraId="280FF3C3" w14:textId="77777777" w:rsidR="009F3AA7" w:rsidRDefault="009F3AA7" w:rsidP="009F3AA7">
      <w:r>
        <w:t>It should be noted, though, that the lack of financial performance of NIO does not necessarily signify a poor strategic performance. In new, capital-intensive sectors, companies tend to focus on market share and technological positioning, as opposed to short-term profitability. In this light, the negative margins in NIO may be viewed as a strategic decision, and not just operational inefficiency. However, the fact that no apparent difference has been seen in unit economics is concerning as to whether this strategy will eventually result in a sustainable competitive advantage or further value destruction.</w:t>
      </w:r>
    </w:p>
    <w:p w14:paraId="07074C92" w14:textId="77777777" w:rsidR="009F3AA7" w:rsidRDefault="009F3AA7" w:rsidP="009F3AA7"/>
    <w:p w14:paraId="3E113084" w14:textId="77777777" w:rsidR="009F3AA7" w:rsidRDefault="009F3AA7" w:rsidP="009F3AA7">
      <w:pPr>
        <w:pStyle w:val="Heading1"/>
      </w:pPr>
      <w:bookmarkStart w:id="9" w:name="_Toc227074710"/>
      <w:r>
        <w:t>3. Working Capital Management Analysis</w:t>
      </w:r>
      <w:bookmarkEnd w:id="9"/>
    </w:p>
    <w:p w14:paraId="347F09A0" w14:textId="14E5B954" w:rsidR="009F3AA7" w:rsidRDefault="009F3AA7" w:rsidP="009F3AA7">
      <w:pPr>
        <w:pStyle w:val="Heading2"/>
      </w:pPr>
      <w:bookmarkStart w:id="10" w:name="_Toc227074711"/>
      <w:r>
        <w:t>3.1 Conversion Cycle Analysis of Cash Analysis</w:t>
      </w:r>
      <w:bookmarkEnd w:id="10"/>
    </w:p>
    <w:p w14:paraId="18238C7B" w14:textId="08A11885" w:rsidR="000941AC" w:rsidRPr="000941AC" w:rsidRDefault="009F3AA7" w:rsidP="009F3AA7">
      <w:pPr>
        <w:spacing w:line="259" w:lineRule="auto"/>
      </w:pPr>
      <w:r>
        <w:t>The working capital management is highly essential in ensuring that the firm is not liquidated or inefficient in its operations especially when it is capital-intensive like NIO. The Cash Conversion Cycle (CCC) is used to determine how long it takes to convert investments in inventory and receivables into cash flows, and is computed as:</w:t>
      </w:r>
    </w:p>
    <w:p w14:paraId="26D10967" w14:textId="77777777" w:rsidR="000941AC" w:rsidRPr="000941AC" w:rsidRDefault="000941AC" w:rsidP="000941AC">
      <w:pPr>
        <w:spacing w:line="259" w:lineRule="auto"/>
      </w:pPr>
      <w:r w:rsidRPr="000941AC">
        <w:rPr>
          <w:b/>
          <w:bCs/>
        </w:rPr>
        <w:t>CCC = Inventory Days + Receivable Days − Payable Days</w:t>
      </w:r>
    </w:p>
    <w:p w14:paraId="3C62692B" w14:textId="4775378E" w:rsidR="000941AC" w:rsidRPr="000941AC" w:rsidRDefault="000941AC" w:rsidP="000941AC">
      <w:pPr>
        <w:spacing w:line="259" w:lineRule="auto"/>
      </w:pPr>
      <w:r w:rsidRPr="000941AC">
        <w:t xml:space="preserve">Table </w:t>
      </w:r>
      <w:r w:rsidR="009F3AA7" w:rsidRPr="009F3AA7">
        <w:t>5</w:t>
      </w:r>
      <w:r w:rsidRPr="000941AC">
        <w:t>: Cash Conversion Cycle Components (NIO Inc.)</w:t>
      </w:r>
    </w:p>
    <w:tbl>
      <w:tblPr>
        <w:tblStyle w:val="GridTable1Light"/>
        <w:tblW w:w="0" w:type="auto"/>
        <w:tblLook w:val="04A0" w:firstRow="1" w:lastRow="0" w:firstColumn="1" w:lastColumn="0" w:noHBand="0" w:noVBand="1"/>
      </w:tblPr>
      <w:tblGrid>
        <w:gridCol w:w="696"/>
        <w:gridCol w:w="1797"/>
        <w:gridCol w:w="1889"/>
        <w:gridCol w:w="1596"/>
        <w:gridCol w:w="1463"/>
      </w:tblGrid>
      <w:tr w:rsidR="000941AC" w:rsidRPr="000941AC" w14:paraId="2833003D" w14:textId="77777777" w:rsidTr="009F3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696BAB" w14:textId="77777777" w:rsidR="000941AC" w:rsidRPr="000941AC" w:rsidRDefault="000941AC" w:rsidP="000941AC">
            <w:pPr>
              <w:spacing w:after="160" w:line="259" w:lineRule="auto"/>
              <w:jc w:val="left"/>
            </w:pPr>
            <w:r w:rsidRPr="000941AC">
              <w:t>Year</w:t>
            </w:r>
          </w:p>
        </w:tc>
        <w:tc>
          <w:tcPr>
            <w:tcW w:w="0" w:type="auto"/>
            <w:hideMark/>
          </w:tcPr>
          <w:p w14:paraId="355438D1" w14:textId="77777777" w:rsidR="000941AC" w:rsidRPr="000941AC" w:rsidRDefault="000941AC" w:rsidP="000941AC">
            <w:pPr>
              <w:spacing w:after="160" w:line="259" w:lineRule="auto"/>
              <w:jc w:val="left"/>
              <w:cnfStyle w:val="100000000000" w:firstRow="1" w:lastRow="0" w:firstColumn="0" w:lastColumn="0" w:oddVBand="0" w:evenVBand="0" w:oddHBand="0" w:evenHBand="0" w:firstRowFirstColumn="0" w:firstRowLastColumn="0" w:lastRowFirstColumn="0" w:lastRowLastColumn="0"/>
            </w:pPr>
            <w:r w:rsidRPr="000941AC">
              <w:t>Inventory Days</w:t>
            </w:r>
          </w:p>
        </w:tc>
        <w:tc>
          <w:tcPr>
            <w:tcW w:w="0" w:type="auto"/>
            <w:hideMark/>
          </w:tcPr>
          <w:p w14:paraId="7B147E84" w14:textId="77777777" w:rsidR="000941AC" w:rsidRPr="000941AC" w:rsidRDefault="000941AC" w:rsidP="000941AC">
            <w:pPr>
              <w:spacing w:after="160" w:line="259" w:lineRule="auto"/>
              <w:jc w:val="left"/>
              <w:cnfStyle w:val="100000000000" w:firstRow="1" w:lastRow="0" w:firstColumn="0" w:lastColumn="0" w:oddVBand="0" w:evenVBand="0" w:oddHBand="0" w:evenHBand="0" w:firstRowFirstColumn="0" w:firstRowLastColumn="0" w:lastRowFirstColumn="0" w:lastRowLastColumn="0"/>
            </w:pPr>
            <w:r w:rsidRPr="000941AC">
              <w:t>Receivable Days</w:t>
            </w:r>
          </w:p>
        </w:tc>
        <w:tc>
          <w:tcPr>
            <w:tcW w:w="0" w:type="auto"/>
            <w:hideMark/>
          </w:tcPr>
          <w:p w14:paraId="5C4690ED" w14:textId="77777777" w:rsidR="000941AC" w:rsidRPr="000941AC" w:rsidRDefault="000941AC" w:rsidP="000941AC">
            <w:pPr>
              <w:spacing w:after="160" w:line="259" w:lineRule="auto"/>
              <w:jc w:val="left"/>
              <w:cnfStyle w:val="100000000000" w:firstRow="1" w:lastRow="0" w:firstColumn="0" w:lastColumn="0" w:oddVBand="0" w:evenVBand="0" w:oddHBand="0" w:evenHBand="0" w:firstRowFirstColumn="0" w:firstRowLastColumn="0" w:lastRowFirstColumn="0" w:lastRowLastColumn="0"/>
            </w:pPr>
            <w:r w:rsidRPr="000941AC">
              <w:t>Payable Days</w:t>
            </w:r>
          </w:p>
        </w:tc>
        <w:tc>
          <w:tcPr>
            <w:tcW w:w="0" w:type="auto"/>
            <w:hideMark/>
          </w:tcPr>
          <w:p w14:paraId="1A32C16C" w14:textId="77777777" w:rsidR="000941AC" w:rsidRPr="000941AC" w:rsidRDefault="000941AC" w:rsidP="000941AC">
            <w:pPr>
              <w:spacing w:after="160" w:line="259" w:lineRule="auto"/>
              <w:jc w:val="left"/>
              <w:cnfStyle w:val="100000000000" w:firstRow="1" w:lastRow="0" w:firstColumn="0" w:lastColumn="0" w:oddVBand="0" w:evenVBand="0" w:oddHBand="0" w:evenHBand="0" w:firstRowFirstColumn="0" w:firstRowLastColumn="0" w:lastRowFirstColumn="0" w:lastRowLastColumn="0"/>
            </w:pPr>
            <w:r w:rsidRPr="000941AC">
              <w:t>CCC (Days)</w:t>
            </w:r>
          </w:p>
        </w:tc>
      </w:tr>
      <w:tr w:rsidR="000941AC" w:rsidRPr="000941AC" w14:paraId="47B1221A" w14:textId="77777777" w:rsidTr="009F3AA7">
        <w:tc>
          <w:tcPr>
            <w:cnfStyle w:val="001000000000" w:firstRow="0" w:lastRow="0" w:firstColumn="1" w:lastColumn="0" w:oddVBand="0" w:evenVBand="0" w:oddHBand="0" w:evenHBand="0" w:firstRowFirstColumn="0" w:firstRowLastColumn="0" w:lastRowFirstColumn="0" w:lastRowLastColumn="0"/>
            <w:tcW w:w="0" w:type="auto"/>
            <w:hideMark/>
          </w:tcPr>
          <w:p w14:paraId="479CD9E2" w14:textId="77777777" w:rsidR="000941AC" w:rsidRPr="000941AC" w:rsidRDefault="000941AC" w:rsidP="000941AC">
            <w:pPr>
              <w:spacing w:after="160" w:line="259" w:lineRule="auto"/>
            </w:pPr>
            <w:r w:rsidRPr="000941AC">
              <w:t>2020</w:t>
            </w:r>
          </w:p>
        </w:tc>
        <w:tc>
          <w:tcPr>
            <w:tcW w:w="0" w:type="auto"/>
            <w:hideMark/>
          </w:tcPr>
          <w:p w14:paraId="675F9601"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45</w:t>
            </w:r>
          </w:p>
        </w:tc>
        <w:tc>
          <w:tcPr>
            <w:tcW w:w="0" w:type="auto"/>
            <w:hideMark/>
          </w:tcPr>
          <w:p w14:paraId="590A9B93"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18</w:t>
            </w:r>
          </w:p>
        </w:tc>
        <w:tc>
          <w:tcPr>
            <w:tcW w:w="0" w:type="auto"/>
            <w:hideMark/>
          </w:tcPr>
          <w:p w14:paraId="06FF2FDF"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52</w:t>
            </w:r>
          </w:p>
        </w:tc>
        <w:tc>
          <w:tcPr>
            <w:tcW w:w="0" w:type="auto"/>
            <w:hideMark/>
          </w:tcPr>
          <w:p w14:paraId="06DC2CD9"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11</w:t>
            </w:r>
          </w:p>
        </w:tc>
      </w:tr>
      <w:tr w:rsidR="000941AC" w:rsidRPr="000941AC" w14:paraId="79928ED4" w14:textId="77777777" w:rsidTr="009F3AA7">
        <w:tc>
          <w:tcPr>
            <w:cnfStyle w:val="001000000000" w:firstRow="0" w:lastRow="0" w:firstColumn="1" w:lastColumn="0" w:oddVBand="0" w:evenVBand="0" w:oddHBand="0" w:evenHBand="0" w:firstRowFirstColumn="0" w:firstRowLastColumn="0" w:lastRowFirstColumn="0" w:lastRowLastColumn="0"/>
            <w:tcW w:w="0" w:type="auto"/>
            <w:hideMark/>
          </w:tcPr>
          <w:p w14:paraId="71760BCB" w14:textId="77777777" w:rsidR="000941AC" w:rsidRPr="000941AC" w:rsidRDefault="000941AC" w:rsidP="000941AC">
            <w:pPr>
              <w:spacing w:after="160" w:line="259" w:lineRule="auto"/>
            </w:pPr>
            <w:r w:rsidRPr="000941AC">
              <w:t>2021</w:t>
            </w:r>
          </w:p>
        </w:tc>
        <w:tc>
          <w:tcPr>
            <w:tcW w:w="0" w:type="auto"/>
            <w:hideMark/>
          </w:tcPr>
          <w:p w14:paraId="58AF6E78"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48</w:t>
            </w:r>
          </w:p>
        </w:tc>
        <w:tc>
          <w:tcPr>
            <w:tcW w:w="0" w:type="auto"/>
            <w:hideMark/>
          </w:tcPr>
          <w:p w14:paraId="5D2DD805"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20</w:t>
            </w:r>
          </w:p>
        </w:tc>
        <w:tc>
          <w:tcPr>
            <w:tcW w:w="0" w:type="auto"/>
            <w:hideMark/>
          </w:tcPr>
          <w:p w14:paraId="42C51D45"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55</w:t>
            </w:r>
          </w:p>
        </w:tc>
        <w:tc>
          <w:tcPr>
            <w:tcW w:w="0" w:type="auto"/>
            <w:hideMark/>
          </w:tcPr>
          <w:p w14:paraId="1F00B7A9"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13</w:t>
            </w:r>
          </w:p>
        </w:tc>
      </w:tr>
      <w:tr w:rsidR="000941AC" w:rsidRPr="000941AC" w14:paraId="7528991C" w14:textId="77777777" w:rsidTr="009F3AA7">
        <w:tc>
          <w:tcPr>
            <w:cnfStyle w:val="001000000000" w:firstRow="0" w:lastRow="0" w:firstColumn="1" w:lastColumn="0" w:oddVBand="0" w:evenVBand="0" w:oddHBand="0" w:evenHBand="0" w:firstRowFirstColumn="0" w:firstRowLastColumn="0" w:lastRowFirstColumn="0" w:lastRowLastColumn="0"/>
            <w:tcW w:w="0" w:type="auto"/>
            <w:hideMark/>
          </w:tcPr>
          <w:p w14:paraId="067E6350" w14:textId="77777777" w:rsidR="000941AC" w:rsidRPr="000941AC" w:rsidRDefault="000941AC" w:rsidP="000941AC">
            <w:pPr>
              <w:spacing w:after="160" w:line="259" w:lineRule="auto"/>
            </w:pPr>
            <w:r w:rsidRPr="000941AC">
              <w:t>2022</w:t>
            </w:r>
          </w:p>
        </w:tc>
        <w:tc>
          <w:tcPr>
            <w:tcW w:w="0" w:type="auto"/>
            <w:hideMark/>
          </w:tcPr>
          <w:p w14:paraId="39B4B720"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52</w:t>
            </w:r>
          </w:p>
        </w:tc>
        <w:tc>
          <w:tcPr>
            <w:tcW w:w="0" w:type="auto"/>
            <w:hideMark/>
          </w:tcPr>
          <w:p w14:paraId="64E20FE7"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24</w:t>
            </w:r>
          </w:p>
        </w:tc>
        <w:tc>
          <w:tcPr>
            <w:tcW w:w="0" w:type="auto"/>
            <w:hideMark/>
          </w:tcPr>
          <w:p w14:paraId="4F89037C"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58</w:t>
            </w:r>
          </w:p>
        </w:tc>
        <w:tc>
          <w:tcPr>
            <w:tcW w:w="0" w:type="auto"/>
            <w:hideMark/>
          </w:tcPr>
          <w:p w14:paraId="56577B78"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18</w:t>
            </w:r>
          </w:p>
        </w:tc>
      </w:tr>
      <w:tr w:rsidR="000941AC" w:rsidRPr="000941AC" w14:paraId="09AE0075" w14:textId="77777777" w:rsidTr="009F3AA7">
        <w:tc>
          <w:tcPr>
            <w:cnfStyle w:val="001000000000" w:firstRow="0" w:lastRow="0" w:firstColumn="1" w:lastColumn="0" w:oddVBand="0" w:evenVBand="0" w:oddHBand="0" w:evenHBand="0" w:firstRowFirstColumn="0" w:firstRowLastColumn="0" w:lastRowFirstColumn="0" w:lastRowLastColumn="0"/>
            <w:tcW w:w="0" w:type="auto"/>
            <w:hideMark/>
          </w:tcPr>
          <w:p w14:paraId="3186C44E" w14:textId="77777777" w:rsidR="000941AC" w:rsidRPr="000941AC" w:rsidRDefault="000941AC" w:rsidP="000941AC">
            <w:pPr>
              <w:spacing w:after="160" w:line="259" w:lineRule="auto"/>
            </w:pPr>
            <w:r w:rsidRPr="000941AC">
              <w:lastRenderedPageBreak/>
              <w:t>2023</w:t>
            </w:r>
          </w:p>
        </w:tc>
        <w:tc>
          <w:tcPr>
            <w:tcW w:w="0" w:type="auto"/>
            <w:hideMark/>
          </w:tcPr>
          <w:p w14:paraId="1A25A500"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60</w:t>
            </w:r>
          </w:p>
        </w:tc>
        <w:tc>
          <w:tcPr>
            <w:tcW w:w="0" w:type="auto"/>
            <w:hideMark/>
          </w:tcPr>
          <w:p w14:paraId="3137C179"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28</w:t>
            </w:r>
          </w:p>
        </w:tc>
        <w:tc>
          <w:tcPr>
            <w:tcW w:w="0" w:type="auto"/>
            <w:hideMark/>
          </w:tcPr>
          <w:p w14:paraId="43061BF1"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60</w:t>
            </w:r>
          </w:p>
        </w:tc>
        <w:tc>
          <w:tcPr>
            <w:tcW w:w="0" w:type="auto"/>
            <w:hideMark/>
          </w:tcPr>
          <w:p w14:paraId="5C6AD659"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28</w:t>
            </w:r>
          </w:p>
        </w:tc>
      </w:tr>
      <w:tr w:rsidR="000941AC" w:rsidRPr="000941AC" w14:paraId="12B7D89A" w14:textId="77777777" w:rsidTr="009F3AA7">
        <w:tc>
          <w:tcPr>
            <w:cnfStyle w:val="001000000000" w:firstRow="0" w:lastRow="0" w:firstColumn="1" w:lastColumn="0" w:oddVBand="0" w:evenVBand="0" w:oddHBand="0" w:evenHBand="0" w:firstRowFirstColumn="0" w:firstRowLastColumn="0" w:lastRowFirstColumn="0" w:lastRowLastColumn="0"/>
            <w:tcW w:w="0" w:type="auto"/>
            <w:hideMark/>
          </w:tcPr>
          <w:p w14:paraId="73544019" w14:textId="77777777" w:rsidR="000941AC" w:rsidRPr="000941AC" w:rsidRDefault="000941AC" w:rsidP="000941AC">
            <w:pPr>
              <w:spacing w:after="160" w:line="259" w:lineRule="auto"/>
            </w:pPr>
            <w:r w:rsidRPr="000941AC">
              <w:t>2024</w:t>
            </w:r>
          </w:p>
        </w:tc>
        <w:tc>
          <w:tcPr>
            <w:tcW w:w="0" w:type="auto"/>
            <w:hideMark/>
          </w:tcPr>
          <w:p w14:paraId="022BF6BF"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58</w:t>
            </w:r>
          </w:p>
        </w:tc>
        <w:tc>
          <w:tcPr>
            <w:tcW w:w="0" w:type="auto"/>
            <w:hideMark/>
          </w:tcPr>
          <w:p w14:paraId="6BA5B402"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30</w:t>
            </w:r>
          </w:p>
        </w:tc>
        <w:tc>
          <w:tcPr>
            <w:tcW w:w="0" w:type="auto"/>
            <w:hideMark/>
          </w:tcPr>
          <w:p w14:paraId="4EF79A87"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62</w:t>
            </w:r>
          </w:p>
        </w:tc>
        <w:tc>
          <w:tcPr>
            <w:tcW w:w="0" w:type="auto"/>
            <w:hideMark/>
          </w:tcPr>
          <w:p w14:paraId="0BF009E2" w14:textId="77777777" w:rsidR="000941AC" w:rsidRPr="000941AC" w:rsidRDefault="000941AC" w:rsidP="000941AC">
            <w:pPr>
              <w:spacing w:after="160" w:line="259" w:lineRule="auto"/>
              <w:cnfStyle w:val="000000000000" w:firstRow="0" w:lastRow="0" w:firstColumn="0" w:lastColumn="0" w:oddVBand="0" w:evenVBand="0" w:oddHBand="0" w:evenHBand="0" w:firstRowFirstColumn="0" w:firstRowLastColumn="0" w:lastRowFirstColumn="0" w:lastRowLastColumn="0"/>
            </w:pPr>
            <w:r w:rsidRPr="000941AC">
              <w:t>26</w:t>
            </w:r>
          </w:p>
        </w:tc>
      </w:tr>
    </w:tbl>
    <w:p w14:paraId="31FD59F2" w14:textId="75015AAA" w:rsidR="000941AC" w:rsidRPr="000941AC" w:rsidRDefault="000941AC" w:rsidP="000941AC">
      <w:pPr>
        <w:spacing w:line="259" w:lineRule="auto"/>
      </w:pPr>
    </w:p>
    <w:p w14:paraId="503A9F20" w14:textId="77777777" w:rsidR="009F3AA7" w:rsidRDefault="009F3AA7" w:rsidP="009F3AA7">
      <w:r>
        <w:t>The CCC of NIO improved to 28 days in 2023, and slightly dropped to 26 days in 2024. This 17-day decline is a major indication of deterioration in working capital efficiency, which means that the company is taking more time to utilize its operational investments in the form of cash.</w:t>
      </w:r>
    </w:p>
    <w:p w14:paraId="73F77BA5" w14:textId="77777777" w:rsidR="009F3AA7" w:rsidRDefault="009F3AA7" w:rsidP="009F3AA7">
      <w:r>
        <w:t>The number of inventory days rose by 15 days in 2020 versus 2023 as the inventory days moved up to 60 days. This growth considerably postpones the recovery of cash, raising the working capital and subjecting the liquidity to an increased stress. The trend implies an imbalance between the increase in production and the realised demand, which is in line with the aggressive capacity growth strategy of NIO.</w:t>
      </w:r>
    </w:p>
    <w:p w14:paraId="784F4DCB" w14:textId="77777777" w:rsidR="009F3AA7" w:rsidRDefault="009F3AA7" w:rsidP="009F3AA7">
      <w:r>
        <w:t>The number of days outstanding has gone up to 30 days and this is a sign of slower turnover of customer receivables. This is indicative of the employment of longer credit terms to facilitate the growth of sales in an extremely competitive EV industry. Nonetheless, this plan involves holding cash in receivables and delaying inflows, which further restricts liquidity.</w:t>
      </w:r>
    </w:p>
    <w:p w14:paraId="15685178" w14:textId="77777777" w:rsidR="009F3AA7" w:rsidRDefault="009F3AA7" w:rsidP="009F3AA7">
      <w:r>
        <w:t>Despite the fact that the payable days went up by one month to a 62 days, which partially neutralized the effect of increased inventory and receivable cycles, the entire CCC continued to grow. This shows that supplier credit is being utilized as a financing tool and not an indicator of better operational efficiency.</w:t>
      </w:r>
    </w:p>
    <w:p w14:paraId="5E0A31A6" w14:textId="77777777" w:rsidR="009F3AA7" w:rsidRDefault="009F3AA7" w:rsidP="009F3AA7">
      <w:r>
        <w:t>Notably, the rise in CCC is associated with the falling profitability observed in Section 2. The longer cash cycles result in higher holding costs, financing needs, and operating inefficiency further squeezing the operating margins. This brings out the direct correlation between the inefficiency of working capital and financial performance.</w:t>
      </w:r>
    </w:p>
    <w:p w14:paraId="481F8AF7" w14:textId="77777777" w:rsidR="009F3AA7" w:rsidRDefault="009F3AA7" w:rsidP="009F3AA7"/>
    <w:p w14:paraId="7D230184" w14:textId="0453F31F" w:rsidR="009F3AA7" w:rsidRDefault="009F3AA7" w:rsidP="009F3AA7">
      <w:pPr>
        <w:pStyle w:val="Heading2"/>
      </w:pPr>
      <w:bookmarkStart w:id="11" w:name="_Toc227074712"/>
      <w:r>
        <w:t>3.2 Working Capital Performance and Key Issues</w:t>
      </w:r>
      <w:bookmarkEnd w:id="11"/>
    </w:p>
    <w:p w14:paraId="42FE1259" w14:textId="77777777" w:rsidR="009F3AA7" w:rsidRDefault="009F3AA7" w:rsidP="009F3AA7">
      <w:r>
        <w:t>The working capital structure of NIO indicates a basic ineffective operation model as the expansion in operations has not been accompanied by efficient management of cash flows.</w:t>
      </w:r>
    </w:p>
    <w:p w14:paraId="2812C1AA" w14:textId="77777777" w:rsidR="009F3AA7" w:rsidRDefault="009F3AA7" w:rsidP="009F3AA7">
      <w:r>
        <w:t>The growing inventory days show that the growth of production has been higher than the realisation of demands and this has led to excess inventory. This ties up a lot of capital in goods that are not sold, lowers liquidity and raises storage and obsolescence expenses. This, also, increases the likelihood of technological obsolescence in a fast-developing EV market.</w:t>
      </w:r>
    </w:p>
    <w:p w14:paraId="729C6EB9" w14:textId="77777777" w:rsidR="009F3AA7" w:rsidRDefault="009F3AA7" w:rsidP="009F3AA7">
      <w:r>
        <w:t>In the same vein the increase in receivable days points to credit management inefficiencies. Even though a longer credit period can be effective in boosting sales, it postpones cash flows and exposes a company to credit risks. This is especially problematic considering that NIO has continued to incur operating losses as it further compromises internal cash generation.</w:t>
      </w:r>
    </w:p>
    <w:p w14:paraId="7650927C" w14:textId="77777777" w:rsidR="009F3AA7" w:rsidRDefault="009F3AA7" w:rsidP="009F3AA7">
      <w:r>
        <w:t>The growth of payable days indicates that NIO is increasingly taking shelter in supplier financing to fund its operations. Although this will give temporary relief on liquidity, it can undermine the supplier relationships and decrease bargaining power in the long-term.</w:t>
      </w:r>
    </w:p>
    <w:p w14:paraId="0C1092D1" w14:textId="77777777" w:rsidR="009F3AA7" w:rsidRDefault="009F3AA7" w:rsidP="009F3AA7">
      <w:r>
        <w:t xml:space="preserve">Although extending payable days will offer short-term liquidity relief, it can be indicative of underlying financial stress as opposed to strategic optimisation. Over dependence on supplier credit may weaken the long-term supplier relationship and decrease bargaining power, especially in an industry with limited suppliers like EV manufacturing. Thus, what seems to be </w:t>
      </w:r>
      <w:r>
        <w:lastRenderedPageBreak/>
        <w:t>enhanced liquidity can actually amount to a change in the internal-external stakeholder financial pressure.</w:t>
      </w:r>
    </w:p>
    <w:p w14:paraId="72DD0176" w14:textId="77777777" w:rsidR="009F3AA7" w:rsidRDefault="009F3AA7" w:rsidP="009F3AA7">
      <w:r>
        <w:t>These aspects are highly interrelated. Poor profitability decreases the internal cash generation and poor working capital management further limits the liquidity. This forms a self-perpetuating loop of financial strain with inefficiency in operations leading to more and more reliance on outside funding.</w:t>
      </w:r>
    </w:p>
    <w:p w14:paraId="238E0C25" w14:textId="77777777" w:rsidR="009F3AA7" w:rsidRDefault="009F3AA7" w:rsidP="009F3AA7">
      <w:r>
        <w:t>Altogether, the working capital inefficiency of NIO indicates the imbalance between operational growth and cash flow management, which supports its reliance on the external financing.</w:t>
      </w:r>
    </w:p>
    <w:p w14:paraId="1B74C016" w14:textId="77777777" w:rsidR="009F3AA7" w:rsidRDefault="009F3AA7" w:rsidP="009F3AA7">
      <w:r>
        <w:t>This, as a CFO, implies that the working capital management is not a strategically optimised approach, but rather a reactive one, which is a vital area to restructure the financial.</w:t>
      </w:r>
    </w:p>
    <w:p w14:paraId="68F9BAE5" w14:textId="77777777" w:rsidR="009F3AA7" w:rsidRDefault="009F3AA7" w:rsidP="009F3AA7"/>
    <w:p w14:paraId="4F83D827" w14:textId="77777777" w:rsidR="009F3AA7" w:rsidRDefault="009F3AA7" w:rsidP="009F3AA7">
      <w:pPr>
        <w:pStyle w:val="Heading2"/>
      </w:pPr>
      <w:bookmarkStart w:id="12" w:name="_Toc227074713"/>
      <w:r>
        <w:t>3.3 Strategies to Improve Working Capital Efficiency</w:t>
      </w:r>
      <w:bookmarkEnd w:id="12"/>
    </w:p>
    <w:p w14:paraId="10083EC4" w14:textId="77777777" w:rsidR="009F3AA7" w:rsidRDefault="009F3AA7" w:rsidP="009F3AA7">
      <w:r>
        <w:t>In order to solve these problems, NIO needs to adopt specific and cost-effective working capital plans.</w:t>
      </w:r>
    </w:p>
    <w:p w14:paraId="275C9C94" w14:textId="77777777" w:rsidR="009F3AA7" w:rsidRDefault="009F3AA7" w:rsidP="009F3AA7">
      <w:r>
        <w:t>To begin with, demand forecasting and production alignment should be used to optimise inventory management. The adoption of just-in-time (JIT) inventory systems would decrease the holding periods, minimise storage costs and free up cash that would be held in inventory, which would directly improve liquidity and decrease financing requirements.</w:t>
      </w:r>
    </w:p>
    <w:p w14:paraId="26EF9629" w14:textId="77777777" w:rsidR="009F3AA7" w:rsidRDefault="009F3AA7" w:rsidP="009F3AA7">
      <w:r>
        <w:t>Secondly, tighter credit policy and enhanced collection should be used to strengthen the receivables management. The implementation of early payment incentives and tougher credit evaluations would speed up cash inflows, lessen the number of days and enhance the efficiency of working capital.</w:t>
      </w:r>
    </w:p>
    <w:p w14:paraId="506065CE" w14:textId="77777777" w:rsidR="009F3AA7" w:rsidRDefault="009F3AA7" w:rsidP="009F3AA7">
      <w:r>
        <w:t>Thirdly, supplier financing policies must be institutionalised by way of formalised agreements as opposed to protracted payment periods. This would enable NIO to retain supplier relations and at the same time enjoy better cash flow management.</w:t>
      </w:r>
    </w:p>
    <w:p w14:paraId="1D2E718B" w14:textId="77777777" w:rsidR="009F3AA7" w:rsidRDefault="009F3AA7" w:rsidP="009F3AA7">
      <w:r>
        <w:t>Moreover, incorporation of digital supply chain management systems would also boost real-time visibility of inventory, production, and sales and enhance coordination and minimize inefficiencies.</w:t>
      </w:r>
    </w:p>
    <w:p w14:paraId="19C6B5F1" w14:textId="77777777" w:rsidR="009F3AA7" w:rsidRDefault="009F3AA7" w:rsidP="009F3AA7">
      <w:r>
        <w:t>These steps would strategically reduce the CCC, enhance the internal cash generation, and decrease the use of outside funding, making them more financially resilient and sustainable in growth.</w:t>
      </w:r>
    </w:p>
    <w:p w14:paraId="773EAD39" w14:textId="77777777" w:rsidR="009F3AA7" w:rsidRDefault="009F3AA7" w:rsidP="009F3AA7"/>
    <w:p w14:paraId="3A885945" w14:textId="77777777" w:rsidR="009F3AA7" w:rsidRDefault="009F3AA7" w:rsidP="009F3AA7">
      <w:pPr>
        <w:pStyle w:val="Heading2"/>
      </w:pPr>
      <w:bookmarkStart w:id="13" w:name="_Toc227074714"/>
      <w:r>
        <w:t>3.4 Short-Term vs Long-Term Financing</w:t>
      </w:r>
      <w:bookmarkEnd w:id="13"/>
    </w:p>
    <w:p w14:paraId="1BD585C2" w14:textId="77777777" w:rsidR="009F3AA7" w:rsidRDefault="009F3AA7" w:rsidP="009F3AA7">
      <w:r>
        <w:t>The working capital needs of NIO are now being financed through a mix of both the short and long term financing, as it is facing continuous cash flow shortfalls.</w:t>
      </w:r>
    </w:p>
    <w:p w14:paraId="69792736" w14:textId="77777777" w:rsidR="009F3AA7" w:rsidRDefault="009F3AA7" w:rsidP="009F3AA7">
      <w:r>
        <w:t>Short-term funding, such as trade credit and short term funding, is short term funding that gives an immediate liquidity but exposes a person to the risk of refinancing and exposure to interest rate fluctuations. Short-term financing can pose liquidity mismatches due to the growing CCC of the firm.</w:t>
      </w:r>
    </w:p>
    <w:p w14:paraId="67E2243F" w14:textId="77777777" w:rsidR="009F3AA7" w:rsidRDefault="009F3AA7" w:rsidP="009F3AA7">
      <w:r>
        <w:lastRenderedPageBreak/>
        <w:t>Equity and long-term debt are examples of long-term financing, which is more stable and compatible with the capital intensive nature of NIO. It can, however, raise the cost of capital and water down the value of shareholders.</w:t>
      </w:r>
    </w:p>
    <w:p w14:paraId="699578B9" w14:textId="77777777" w:rsidR="009F3AA7" w:rsidRDefault="009F3AA7" w:rsidP="009F3AA7">
      <w:r>
        <w:t>More importantly, the maturity of the present short term funding to finance long term operational investments leads to a maturity mismatch that enhances refinancing risk and financial instability.</w:t>
      </w:r>
    </w:p>
    <w:p w14:paraId="26454A5E" w14:textId="77777777" w:rsidR="009F3AA7" w:rsidRDefault="009F3AA7" w:rsidP="009F3AA7">
      <w:r>
        <w:t>Strategically NIO needs to shift to a more balanced financing model where long-term funding is associated with long-term investments to improve financial stability and decrease risk exposure.</w:t>
      </w:r>
    </w:p>
    <w:p w14:paraId="4B42C6F9" w14:textId="77777777" w:rsidR="009F3AA7" w:rsidRDefault="009F3AA7" w:rsidP="009F3AA7"/>
    <w:p w14:paraId="5BD81B97" w14:textId="77777777" w:rsidR="009F3AA7" w:rsidRDefault="009F3AA7" w:rsidP="009F3AA7">
      <w:pPr>
        <w:pStyle w:val="Heading2"/>
      </w:pPr>
      <w:bookmarkStart w:id="14" w:name="_Toc227074715"/>
      <w:r>
        <w:t>3.5 Critical Summary</w:t>
      </w:r>
      <w:bookmarkEnd w:id="14"/>
    </w:p>
    <w:p w14:paraId="0CA76798" w14:textId="77777777" w:rsidR="009F3AA7" w:rsidRDefault="009F3AA7" w:rsidP="009F3AA7">
      <w:r>
        <w:t>On the whole, the working capital management of NIO is marked by a decreased efficiency of working capital, long cash conversion period and a growing dependence on external funding, which means that much better working discipline and financial policy could help to improve the liquidity and promote sustainable growth.</w:t>
      </w:r>
    </w:p>
    <w:p w14:paraId="0D3DEFBD" w14:textId="77777777" w:rsidR="009F3AA7" w:rsidRDefault="009F3AA7" w:rsidP="009F3AA7"/>
    <w:p w14:paraId="1C22DE02" w14:textId="77777777" w:rsidR="009F3AA7" w:rsidRDefault="009F3AA7" w:rsidP="009F3AA7">
      <w:pPr>
        <w:pStyle w:val="Heading1"/>
      </w:pPr>
      <w:bookmarkStart w:id="15" w:name="_Toc227074716"/>
      <w:r>
        <w:t>4. Strategic Financial Restructuring Plan</w:t>
      </w:r>
      <w:bookmarkEnd w:id="15"/>
      <w:r>
        <w:t xml:space="preserve"> </w:t>
      </w:r>
    </w:p>
    <w:p w14:paraId="00ABBCFC" w14:textId="77777777" w:rsidR="009F3AA7" w:rsidRDefault="009F3AA7" w:rsidP="009F3AA7">
      <w:pPr>
        <w:pStyle w:val="Heading2"/>
      </w:pPr>
      <w:bookmarkStart w:id="16" w:name="_Toc227074717"/>
      <w:r>
        <w:t>4.1 Current Financial Issues</w:t>
      </w:r>
      <w:bookmarkEnd w:id="16"/>
    </w:p>
    <w:p w14:paraId="577DC33F" w14:textId="77777777" w:rsidR="009F3AA7" w:rsidRDefault="009F3AA7" w:rsidP="009F3AA7">
      <w:r>
        <w:t>The financial status of NIO indicates an imbalanced growth model in terms of structure, where the revenue growth is fast but with a consistent underperformance in financial terms. The operating margins as noted in Section 2 worsened to -33.28% in 2024, whereas the return on capital employed (ROCE) was highly negative at -32.10% which reflects continued destruction of values. The cost increase has been more than the revenue, although the revenue growth has been robust, and this has shown inefficiency in terms of scale in operation.</w:t>
      </w:r>
    </w:p>
    <w:p w14:paraId="0EB82E78" w14:textId="77777777" w:rsidR="009F3AA7" w:rsidRDefault="009F3AA7" w:rsidP="009F3AA7">
      <w:r>
        <w:t>This imbalance is further supported by the liquidity pressures. As illustrated in Section 3, the cash conversion cycle of the firm had gone up to 26 days in 2024, which implies slower cash collection and decreasing efficiency of working capital. This extends the cash cycle, finances more, and worsens the liquidity situation.</w:t>
      </w:r>
    </w:p>
    <w:p w14:paraId="4ADB63B8" w14:textId="77777777" w:rsidR="009F3AA7" w:rsidRDefault="009F3AA7" w:rsidP="009F3AA7">
      <w:r>
        <w:t>Besides, the capital structure of the firm shows that it is increasingly relying on outside funding as the debt-to-equity ratio is increasing to 1.25 in 2024. This implies that the growth is being funded with leverage and not internally generated cash flows, which raises the financial risk.</w:t>
      </w:r>
    </w:p>
    <w:p w14:paraId="5D8D778A" w14:textId="77777777" w:rsidR="009F3AA7" w:rsidRDefault="009F3AA7" w:rsidP="009F3AA7">
      <w:r>
        <w:t>The lack of growth is not the cause of the financial issues facing NIO, but their inefficient allocation of capital and unsustainable cost base.</w:t>
      </w:r>
    </w:p>
    <w:p w14:paraId="172FBFFA" w14:textId="77777777" w:rsidR="009F3AA7" w:rsidRDefault="009F3AA7" w:rsidP="009F3AA7">
      <w:r>
        <w:t>As a CFO, these trends are a sign that the current strategy of the firm is more focused on growth rather than financial discipline, and thus it is necessary to revise the structure of the firm and make it more profitable, liquid, and effective in terms of capital use.</w:t>
      </w:r>
    </w:p>
    <w:p w14:paraId="1DE4A14E" w14:textId="77777777" w:rsidR="009F3AA7" w:rsidRDefault="009F3AA7" w:rsidP="009F3AA7"/>
    <w:p w14:paraId="670CEBC0" w14:textId="77777777" w:rsidR="009F3AA7" w:rsidRDefault="009F3AA7" w:rsidP="009F3AA7">
      <w:pPr>
        <w:pStyle w:val="Heading2"/>
      </w:pPr>
      <w:bookmarkStart w:id="17" w:name="_Toc227074718"/>
      <w:r>
        <w:t>4.2 Financial Restructuring Options</w:t>
      </w:r>
      <w:bookmarkEnd w:id="17"/>
    </w:p>
    <w:p w14:paraId="75BD0A5A" w14:textId="77777777" w:rsidR="009F3AA7" w:rsidRDefault="009F3AA7" w:rsidP="009F3AA7">
      <w:r>
        <w:t>1. Cost Rationalisation and Margin Recovery</w:t>
      </w:r>
    </w:p>
    <w:p w14:paraId="70430438" w14:textId="77777777" w:rsidR="009F3AA7" w:rsidRDefault="009F3AA7" w:rsidP="009F3AA7">
      <w:r>
        <w:lastRenderedPageBreak/>
        <w:t>Cost rationalisation is one of the main restructuring priorities to regain profitability. In 2024 the operating margins went to -33.28 per cent indicating that the company had excessive operating expenses compared to revenue.</w:t>
      </w:r>
    </w:p>
    <w:p w14:paraId="5605DD57" w14:textId="77777777" w:rsidR="009F3AA7" w:rsidRDefault="009F3AA7" w:rsidP="009F3AA7">
      <w:r>
        <w:t>Supply chain optimization, procurement efficiency and production standardisation would directly lead to a cost per unit reduction which would in turn improve the operating margins and help shift to positive operating profitability. Since gross margins also fell to 9.88% in 2024, it is important to contain the cost of production to rehabilitate the margins.</w:t>
      </w:r>
    </w:p>
    <w:p w14:paraId="3A093C54" w14:textId="77777777" w:rsidR="009F3AA7" w:rsidRDefault="009F3AA7" w:rsidP="009F3AA7">
      <w:r>
        <w:t>Strategically, cost efficiency would be improved and this would decrease the operating losses, improve the internal cash generation and decrease the reliance on the outside financing.</w:t>
      </w:r>
    </w:p>
    <w:p w14:paraId="0F5C47AC" w14:textId="77777777" w:rsidR="009F3AA7" w:rsidRDefault="009F3AA7" w:rsidP="009F3AA7"/>
    <w:p w14:paraId="62364D33" w14:textId="77777777" w:rsidR="009F3AA7" w:rsidRDefault="009F3AA7" w:rsidP="009F3AA7">
      <w:r>
        <w:t>2. Asset Optimisation and Capital Efficiency</w:t>
      </w:r>
    </w:p>
    <w:p w14:paraId="583C94D0" w14:textId="77777777" w:rsidR="009F3AA7" w:rsidRDefault="009F3AA7" w:rsidP="009F3AA7">
      <w:r>
        <w:t>The decreasing ROCE of NIO that dropped to -32.10% in 2024 means that the capital is not used efficiently. This is an indication of over investment in assets which are not yielding satisfactory returns.</w:t>
      </w:r>
    </w:p>
    <w:p w14:paraId="2725CFFF" w14:textId="77777777" w:rsidR="009F3AA7" w:rsidRDefault="009F3AA7" w:rsidP="009F3AA7">
      <w:r>
        <w:t>Capital productivity would be directly enhanced through asset optimisation such as selling underutilised assets and better utilisation of capacity. The firm is able to increase ROCE and decrease value destruction by shifting capital in activities that have higher returns.</w:t>
      </w:r>
    </w:p>
    <w:p w14:paraId="70A93AB5" w14:textId="77777777" w:rsidR="009F3AA7" w:rsidRDefault="009F3AA7" w:rsidP="009F3AA7">
      <w:r>
        <w:t>This is especially necessary with the capital-intensive investments by the firm in battery-swapping infrastructure, which have to yield enough returns to justify their cost.</w:t>
      </w:r>
    </w:p>
    <w:p w14:paraId="273E2020" w14:textId="77777777" w:rsidR="009F3AA7" w:rsidRDefault="009F3AA7" w:rsidP="009F3AA7"/>
    <w:p w14:paraId="15633488" w14:textId="77777777" w:rsidR="009F3AA7" w:rsidRDefault="009F3AA7" w:rsidP="009F3AA7">
      <w:r>
        <w:t>3. Working Capital Optimisation</w:t>
      </w:r>
    </w:p>
    <w:p w14:paraId="19E31522" w14:textId="77777777" w:rsidR="009F3AA7" w:rsidRDefault="009F3AA7" w:rsidP="009F3AA7">
      <w:r>
        <w:t>The company has a prolonged working capital turnover of 26 days in 2024, which is an indicator of poor working capital management. A decrease in inventory days and receivable days would reduce the CCC and enhance liquidity and decrease financing needs.</w:t>
      </w:r>
    </w:p>
    <w:p w14:paraId="37AE7705" w14:textId="77777777" w:rsidR="009F3AA7" w:rsidRDefault="009F3AA7" w:rsidP="009F3AA7">
      <w:r>
        <w:t>To illustrate, the decreasing of inventory holding would free up cash that is locked up in inventory and the acceleration of cash inflows through the elevation of the receivables collection. This would directly enhance liquidity, lessen dependency on exterior financing, as well as enable operational stability.</w:t>
      </w:r>
    </w:p>
    <w:p w14:paraId="3B18C11A" w14:textId="77777777" w:rsidR="009F3AA7" w:rsidRDefault="009F3AA7" w:rsidP="009F3AA7">
      <w:r>
        <w:t>Tactically, enhancing efficiency of working capital would make the firm more resilient in terms of its capacity to generate internal cash flow, which would make it less financially vulnerable.</w:t>
      </w:r>
    </w:p>
    <w:p w14:paraId="3FB4C475" w14:textId="77777777" w:rsidR="009F3AA7" w:rsidRDefault="009F3AA7" w:rsidP="009F3AA7"/>
    <w:p w14:paraId="14E19752" w14:textId="77777777" w:rsidR="009F3AA7" w:rsidRDefault="009F3AA7" w:rsidP="009F3AA7">
      <w:r>
        <w:t>4. Capital Structure Rebalancing</w:t>
      </w:r>
    </w:p>
    <w:p w14:paraId="2D76DDF6" w14:textId="77777777" w:rsidR="009F3AA7" w:rsidRDefault="009F3AA7" w:rsidP="009F3AA7">
      <w:r>
        <w:t>The rising debt-to-equity ratio of NIO is 1.25 in 2024, which shows the growing dependence on debt. This puts the company at greater financial risk, especially in the negative operating income environment.</w:t>
      </w:r>
    </w:p>
    <w:p w14:paraId="442DF08C" w14:textId="77777777" w:rsidR="009F3AA7" w:rsidRDefault="009F3AA7" w:rsidP="009F3AA7">
      <w:r>
        <w:t>The balance of the capital structure should be rebalanced, and the short-term debt should be minimized, which implies that the long-term financing should be increased. Refinancing debt to shorter maturity would create less refinancing risk and selective equity financing would enhance the balance sheet of the company.</w:t>
      </w:r>
    </w:p>
    <w:p w14:paraId="3171FDF5" w14:textId="77777777" w:rsidR="009F3AA7" w:rsidRDefault="009F3AA7" w:rsidP="009F3AA7">
      <w:r>
        <w:lastRenderedPageBreak/>
        <w:t>Equity financing can potentially dilute the current shareholders; however, it would lower the financial risk and increase the sustainability of the firm.</w:t>
      </w:r>
    </w:p>
    <w:p w14:paraId="7D286456" w14:textId="77777777" w:rsidR="009F3AA7" w:rsidRDefault="009F3AA7" w:rsidP="009F3AA7"/>
    <w:p w14:paraId="119E2A43" w14:textId="77777777" w:rsidR="009F3AA7" w:rsidRDefault="009F3AA7" w:rsidP="009F3AA7">
      <w:r>
        <w:t>5. Risk sharing and Strategic Partnerships.</w:t>
      </w:r>
    </w:p>
    <w:p w14:paraId="7BC7F8EB" w14:textId="77777777" w:rsidR="009F3AA7" w:rsidRDefault="009F3AA7" w:rsidP="009F3AA7">
      <w:r>
        <w:t>NIO should also seek strategic alliances to minimize the capital expenditure needs, especially in battery technology and development of infrastructure. Cost sharing would make investments more financially efficient and less costly.</w:t>
      </w:r>
    </w:p>
    <w:p w14:paraId="0BDC2AF5" w14:textId="41A5527F" w:rsidR="00D2500A" w:rsidRPr="00D2500A" w:rsidRDefault="009F3AA7" w:rsidP="009F3AA7">
      <w:pPr>
        <w:spacing w:line="259" w:lineRule="auto"/>
      </w:pPr>
      <w:r>
        <w:t>This would enable the firm to remain competitive with regard to technology without straining its financial resources hence helping in profitability and liquidity gains.</w:t>
      </w:r>
    </w:p>
    <w:p w14:paraId="6F82B909" w14:textId="77777777" w:rsidR="009F3AA7" w:rsidRDefault="009F3AA7" w:rsidP="00D2500A"/>
    <w:p w14:paraId="206791D4" w14:textId="77777777" w:rsidR="009F3AA7" w:rsidRDefault="009F3AA7" w:rsidP="009F3AA7">
      <w:pPr>
        <w:pStyle w:val="Heading2"/>
      </w:pPr>
      <w:bookmarkStart w:id="18" w:name="_Toc227074719"/>
      <w:r>
        <w:t>4.3 Impact on Shareholder Value</w:t>
      </w:r>
      <w:bookmarkEnd w:id="18"/>
    </w:p>
    <w:p w14:paraId="40522797" w14:textId="77777777" w:rsidR="009F3AA7" w:rsidRDefault="009F3AA7" w:rsidP="009F3AA7">
      <w:r>
        <w:t>The restructuring strategies suggested imply direct effects to shareholder value. Increasing the operating margins of -33.28% will improve profitability and internal cash generation, which will boost financial performance.</w:t>
      </w:r>
    </w:p>
    <w:p w14:paraId="2AC5A0D3" w14:textId="77777777" w:rsidR="009F3AA7" w:rsidRDefault="009F3AA7" w:rsidP="009F3AA7">
      <w:r>
        <w:t>The capital efficiency would be improved by increasing ROCE of -32.10 as the invested capital would yield better returns. This is essential to value creation, with shareholders enjoying more effective capital allocation.</w:t>
      </w:r>
    </w:p>
    <w:p w14:paraId="7AB797BD" w14:textId="77777777" w:rsidR="009F3AA7" w:rsidRDefault="009F3AA7" w:rsidP="009F3AA7">
      <w:r>
        <w:t>Also, a decrease in leverage compared to debt-to-equity ratio of 1.25 would decrease financial risk and the cost of capital of the firm. The reduced cost of capital boosts the valuation of firms because discounts applied to future cash flows are reduced (Brealey et al., 2023).</w:t>
      </w:r>
    </w:p>
    <w:p w14:paraId="70452CBC" w14:textId="77777777" w:rsidR="009F3AA7" w:rsidRDefault="009F3AA7" w:rsidP="009F3AA7">
      <w:r>
        <w:t>Although equity financing can cause dilution of ownership in the short-run, the subsequent increase in financial stability and decreased risk would increase the value of shareholders in the long-term.</w:t>
      </w:r>
    </w:p>
    <w:p w14:paraId="28D22AE6" w14:textId="77777777" w:rsidR="009F3AA7" w:rsidRDefault="009F3AA7" w:rsidP="009F3AA7">
      <w:r>
        <w:t>Strategically speaking, shareholder value is not maximised by the mere fact that a company has grown very rapidly, but rather by sustainable, efficient and financially disciplined growth.</w:t>
      </w:r>
    </w:p>
    <w:p w14:paraId="21C4841C" w14:textId="77777777" w:rsidR="009F3AA7" w:rsidRDefault="009F3AA7" w:rsidP="009F3AA7">
      <w:r>
        <w:t>In the theoretical sense, this is in line with the trade-off theory of capital structure which posits that companies have to strike a balance between the advantages of debt including taxation benefits with the rising cost of financial distress. The increase in leverage without a commensurate increase in profitability in the case of NIO suggests that the company may have reached its optimal capital structure and increased its financial risks without improving shareholder value.</w:t>
      </w:r>
    </w:p>
    <w:p w14:paraId="0B0CF5C0" w14:textId="77777777" w:rsidR="009F3AA7" w:rsidRDefault="009F3AA7" w:rsidP="009F3AA7"/>
    <w:p w14:paraId="0B3C767C" w14:textId="77777777" w:rsidR="009F3AA7" w:rsidRDefault="009F3AA7" w:rsidP="009F3AA7">
      <w:pPr>
        <w:pStyle w:val="Heading2"/>
      </w:pPr>
      <w:bookmarkStart w:id="19" w:name="_Toc227074720"/>
      <w:r>
        <w:t>4.4 Global and Ethical Considerations</w:t>
      </w:r>
      <w:bookmarkEnd w:id="19"/>
    </w:p>
    <w:p w14:paraId="299A1B36" w14:textId="77777777" w:rsidR="009F3AA7" w:rsidRDefault="009F3AA7" w:rsidP="009F3AA7">
      <w:r>
        <w:t>The restructuring strategy adopted by NIO should consider global and ethical considerations that directly impact its financial results. As the company goes global, it has currency risk, regulatory and geopolitical risks. These risks need to be addressed by effective risk management strategies such as currency hedging and geographic diversification.</w:t>
      </w:r>
    </w:p>
    <w:p w14:paraId="1812A7E2" w14:textId="77777777" w:rsidR="009F3AA7" w:rsidRDefault="009F3AA7" w:rsidP="009F3AA7">
      <w:r>
        <w:t>Financial performance is also influenced by inflationary pressures and fluctuation in raw material prices especially on battery components. Cost structures can be stabilised by managing these risks using long-term supplier contracts and strategic sourcing.</w:t>
      </w:r>
    </w:p>
    <w:p w14:paraId="1EBF4499" w14:textId="77777777" w:rsidR="009F3AA7" w:rsidRDefault="009F3AA7" w:rsidP="009F3AA7">
      <w:r>
        <w:lastRenderedPageBreak/>
        <w:t>Ethically, it is of great importance to uphold great ESG standards. Lack of adherence to environmental and social promises can raise the cost of capital of the firm and decrease investor trust, especially because of the growing importance of ESG considerations in investment choices.</w:t>
      </w:r>
    </w:p>
    <w:p w14:paraId="2AB75D9A" w14:textId="77777777" w:rsidR="009F3AA7" w:rsidRDefault="009F3AA7" w:rsidP="009F3AA7">
      <w:r>
        <w:t>Further, there is a need to balance cost rationalisation and the corporate social responsibility. Costs must be reduced without affecting the welfare of the employees or environmental sustainability since reputational losses can affect the financial performance of an organization in the long run.</w:t>
      </w:r>
    </w:p>
    <w:p w14:paraId="578EA360" w14:textId="77777777" w:rsidR="009F3AA7" w:rsidRDefault="009F3AA7" w:rsidP="009F3AA7"/>
    <w:p w14:paraId="161E9031" w14:textId="77777777" w:rsidR="009F3AA7" w:rsidRDefault="009F3AA7" w:rsidP="009F3AA7">
      <w:pPr>
        <w:pStyle w:val="Heading2"/>
      </w:pPr>
      <w:r>
        <w:t xml:space="preserve"> </w:t>
      </w:r>
      <w:bookmarkStart w:id="20" w:name="_Toc227074721"/>
      <w:r>
        <w:t>4.5 Critical Evaluation</w:t>
      </w:r>
      <w:bookmarkEnd w:id="20"/>
    </w:p>
    <w:p w14:paraId="2D8E5403" w14:textId="77777777" w:rsidR="009F3AA7" w:rsidRDefault="009F3AA7" w:rsidP="009F3AA7">
      <w:r>
        <w:t>Although the restructuring strategies suggested are of great advantage, they have trade-offs. Innovation can be restricted by cost reduction whereas assets divestment can restrict the growth potential in the future. Equally, leverage can be minimized to enhance financial stability but limit expansion.</w:t>
      </w:r>
    </w:p>
    <w:p w14:paraId="4839B102" w14:textId="77777777" w:rsidR="009F3AA7" w:rsidRDefault="009F3AA7" w:rsidP="009F3AA7">
      <w:r>
        <w:t>Yet, considering the financial position of NIO, which is characterised by negative margins, falling ROCE, and rising leverage the risks of doing nothing are greater than the restructuring costs.</w:t>
      </w:r>
    </w:p>
    <w:p w14:paraId="68488339" w14:textId="77777777" w:rsidR="009F3AA7" w:rsidRDefault="009F3AA7" w:rsidP="009F3AA7">
      <w:r>
        <w:t>This necessitates a balanced strategy whereby there is increased financial discipline without compromising strategic growth capabilities.</w:t>
      </w:r>
    </w:p>
    <w:p w14:paraId="40DF1852" w14:textId="77777777" w:rsidR="009F3AA7" w:rsidRDefault="009F3AA7" w:rsidP="009F3AA7">
      <w:r>
        <w:t>These restructuring strategies, however, are associated with trade-offs. As an illustration, the cost cut can be aggressive to enhance short term margins but might weaken innovation capacity, which is essential in a technology driven industry. On the same note, capital expenditure could be cut in favor of financial stability but at the expense of long term competitive positioning. Thus, it is not merely a question of cost reduction NIO should face, but rather a question of optimal balance between financial discipline and strategic investment.</w:t>
      </w:r>
    </w:p>
    <w:p w14:paraId="49B4C9DF" w14:textId="77777777" w:rsidR="009F3AA7" w:rsidRDefault="009F3AA7" w:rsidP="009F3AA7"/>
    <w:p w14:paraId="37B13FD0" w14:textId="77777777" w:rsidR="009F3AA7" w:rsidRDefault="009F3AA7" w:rsidP="009F3AA7">
      <w:pPr>
        <w:pStyle w:val="Heading1"/>
      </w:pPr>
      <w:bookmarkStart w:id="21" w:name="_Toc227074722"/>
      <w:r>
        <w:t>5. Investment Appraisal</w:t>
      </w:r>
      <w:bookmarkEnd w:id="21"/>
    </w:p>
    <w:p w14:paraId="25E9D333" w14:textId="77777777" w:rsidR="009F3AA7" w:rsidRDefault="009F3AA7" w:rsidP="009F3AA7">
      <w:pPr>
        <w:pStyle w:val="Heading2"/>
      </w:pPr>
      <w:bookmarkStart w:id="22" w:name="_Toc227074723"/>
      <w:r>
        <w:t>5.1 Introduction</w:t>
      </w:r>
      <w:bookmarkEnd w:id="22"/>
      <w:r>
        <w:t xml:space="preserve"> </w:t>
      </w:r>
    </w:p>
    <w:p w14:paraId="11399C06" w14:textId="16580DB1" w:rsidR="00E51B00" w:rsidRPr="00E51B00" w:rsidRDefault="009F3AA7" w:rsidP="009F3AA7">
      <w:pPr>
        <w:spacing w:line="259" w:lineRule="auto"/>
      </w:pPr>
      <w:r>
        <w:t>Investment appraisal plays a crucial role in assessing the financial acceptability of projects and efficient distribution of capital. Since NIO is currently experiencing a deteriorating profitability, negative ROCE, and growing dependence on external financing, value creation and capital discipline should be prioritized in investment decisions. The section compares three proposed projects based on the Payback Period (PBP), Accounting rate of return (ARR) Net Present value (NPV) Profitability Index (PI) and Internal rate of return (IRR). The methods give a holistic evaluation of the liquidity, profitability, and shareholder value and help in making informed strategic decisions.</w:t>
      </w:r>
    </w:p>
    <w:p w14:paraId="2C76CD4E" w14:textId="77777777" w:rsidR="009F3AA7" w:rsidRDefault="009F3AA7" w:rsidP="00E51B00"/>
    <w:p w14:paraId="6576583D" w14:textId="38F40F9A" w:rsidR="00E51B00" w:rsidRPr="00E51B00" w:rsidRDefault="00E51B00" w:rsidP="009F3AA7">
      <w:pPr>
        <w:pStyle w:val="Heading2"/>
      </w:pPr>
      <w:bookmarkStart w:id="23" w:name="_Toc227074724"/>
      <w:r w:rsidRPr="00E51B00">
        <w:t>5.2 Payback Period (PBP)</w:t>
      </w:r>
      <w:bookmarkEnd w:id="23"/>
      <w:r w:rsidRPr="00E51B00">
        <w:t xml:space="preserve"> </w:t>
      </w:r>
    </w:p>
    <w:p w14:paraId="0823F900" w14:textId="77777777" w:rsidR="00E51B00" w:rsidRPr="00E51B00" w:rsidRDefault="00E51B00" w:rsidP="00E51B00">
      <w:pPr>
        <w:spacing w:line="259" w:lineRule="auto"/>
      </w:pPr>
      <w:r w:rsidRPr="00E51B00">
        <w:t>Cash Flows (£ million)</w:t>
      </w:r>
    </w:p>
    <w:tbl>
      <w:tblPr>
        <w:tblStyle w:val="TableGrid"/>
        <w:tblW w:w="0" w:type="auto"/>
        <w:tblLook w:val="04A0" w:firstRow="1" w:lastRow="0" w:firstColumn="1" w:lastColumn="0" w:noHBand="0" w:noVBand="1"/>
      </w:tblPr>
      <w:tblGrid>
        <w:gridCol w:w="696"/>
        <w:gridCol w:w="1178"/>
        <w:gridCol w:w="1178"/>
        <w:gridCol w:w="1191"/>
      </w:tblGrid>
      <w:tr w:rsidR="008D748F" w:rsidRPr="008D748F" w14:paraId="115F0F17" w14:textId="77777777" w:rsidTr="009F3AA7">
        <w:tc>
          <w:tcPr>
            <w:tcW w:w="0" w:type="auto"/>
            <w:hideMark/>
          </w:tcPr>
          <w:p w14:paraId="7397624B" w14:textId="77777777" w:rsidR="008D748F" w:rsidRPr="008D748F" w:rsidRDefault="008D748F" w:rsidP="008D748F">
            <w:pPr>
              <w:spacing w:after="160" w:line="259" w:lineRule="auto"/>
              <w:jc w:val="left"/>
              <w:rPr>
                <w:b/>
                <w:bCs/>
              </w:rPr>
            </w:pPr>
            <w:r w:rsidRPr="008D748F">
              <w:rPr>
                <w:b/>
                <w:bCs/>
              </w:rPr>
              <w:lastRenderedPageBreak/>
              <w:t>Year</w:t>
            </w:r>
          </w:p>
        </w:tc>
        <w:tc>
          <w:tcPr>
            <w:tcW w:w="0" w:type="auto"/>
            <w:hideMark/>
          </w:tcPr>
          <w:p w14:paraId="11A2D61A" w14:textId="77777777" w:rsidR="008D748F" w:rsidRPr="008D748F" w:rsidRDefault="008D748F" w:rsidP="008D748F">
            <w:pPr>
              <w:spacing w:after="160" w:line="259" w:lineRule="auto"/>
              <w:jc w:val="left"/>
              <w:rPr>
                <w:b/>
                <w:bCs/>
              </w:rPr>
            </w:pPr>
            <w:r w:rsidRPr="008D748F">
              <w:rPr>
                <w:b/>
                <w:bCs/>
              </w:rPr>
              <w:t>Project A</w:t>
            </w:r>
          </w:p>
        </w:tc>
        <w:tc>
          <w:tcPr>
            <w:tcW w:w="0" w:type="auto"/>
            <w:hideMark/>
          </w:tcPr>
          <w:p w14:paraId="2EFC6ADA" w14:textId="77777777" w:rsidR="008D748F" w:rsidRPr="008D748F" w:rsidRDefault="008D748F" w:rsidP="008D748F">
            <w:pPr>
              <w:spacing w:after="160" w:line="259" w:lineRule="auto"/>
              <w:jc w:val="left"/>
              <w:rPr>
                <w:b/>
                <w:bCs/>
              </w:rPr>
            </w:pPr>
            <w:r w:rsidRPr="008D748F">
              <w:rPr>
                <w:b/>
                <w:bCs/>
              </w:rPr>
              <w:t>Project B</w:t>
            </w:r>
          </w:p>
        </w:tc>
        <w:tc>
          <w:tcPr>
            <w:tcW w:w="0" w:type="auto"/>
            <w:hideMark/>
          </w:tcPr>
          <w:p w14:paraId="249C0B02" w14:textId="77777777" w:rsidR="008D748F" w:rsidRPr="008D748F" w:rsidRDefault="008D748F" w:rsidP="008D748F">
            <w:pPr>
              <w:spacing w:after="160" w:line="259" w:lineRule="auto"/>
              <w:jc w:val="left"/>
              <w:rPr>
                <w:b/>
                <w:bCs/>
              </w:rPr>
            </w:pPr>
            <w:r w:rsidRPr="008D748F">
              <w:rPr>
                <w:b/>
                <w:bCs/>
              </w:rPr>
              <w:t>Project C</w:t>
            </w:r>
          </w:p>
        </w:tc>
      </w:tr>
      <w:tr w:rsidR="008D748F" w:rsidRPr="008D748F" w14:paraId="53BFD04F" w14:textId="77777777" w:rsidTr="009F3AA7">
        <w:tc>
          <w:tcPr>
            <w:tcW w:w="0" w:type="auto"/>
            <w:hideMark/>
          </w:tcPr>
          <w:p w14:paraId="06D2A426" w14:textId="77777777" w:rsidR="008D748F" w:rsidRPr="008D748F" w:rsidRDefault="008D748F" w:rsidP="008D748F">
            <w:pPr>
              <w:spacing w:after="160" w:line="259" w:lineRule="auto"/>
            </w:pPr>
            <w:r w:rsidRPr="008D748F">
              <w:t>1</w:t>
            </w:r>
          </w:p>
        </w:tc>
        <w:tc>
          <w:tcPr>
            <w:tcW w:w="0" w:type="auto"/>
            <w:hideMark/>
          </w:tcPr>
          <w:p w14:paraId="59F00185" w14:textId="77777777" w:rsidR="008D748F" w:rsidRPr="008D748F" w:rsidRDefault="008D748F" w:rsidP="008D748F">
            <w:pPr>
              <w:spacing w:after="160" w:line="259" w:lineRule="auto"/>
            </w:pPr>
            <w:r w:rsidRPr="008D748F">
              <w:t>10</w:t>
            </w:r>
          </w:p>
        </w:tc>
        <w:tc>
          <w:tcPr>
            <w:tcW w:w="0" w:type="auto"/>
            <w:hideMark/>
          </w:tcPr>
          <w:p w14:paraId="6777429A" w14:textId="77777777" w:rsidR="008D748F" w:rsidRPr="008D748F" w:rsidRDefault="008D748F" w:rsidP="008D748F">
            <w:pPr>
              <w:spacing w:after="160" w:line="259" w:lineRule="auto"/>
            </w:pPr>
            <w:r w:rsidRPr="008D748F">
              <w:t>11</w:t>
            </w:r>
          </w:p>
        </w:tc>
        <w:tc>
          <w:tcPr>
            <w:tcW w:w="0" w:type="auto"/>
            <w:hideMark/>
          </w:tcPr>
          <w:p w14:paraId="6542EE60" w14:textId="77777777" w:rsidR="008D748F" w:rsidRPr="008D748F" w:rsidRDefault="008D748F" w:rsidP="008D748F">
            <w:pPr>
              <w:spacing w:after="160" w:line="259" w:lineRule="auto"/>
            </w:pPr>
            <w:r w:rsidRPr="008D748F">
              <w:t>5</w:t>
            </w:r>
          </w:p>
        </w:tc>
      </w:tr>
      <w:tr w:rsidR="008D748F" w:rsidRPr="008D748F" w14:paraId="53F7449D" w14:textId="77777777" w:rsidTr="009F3AA7">
        <w:tc>
          <w:tcPr>
            <w:tcW w:w="0" w:type="auto"/>
            <w:hideMark/>
          </w:tcPr>
          <w:p w14:paraId="00A75513" w14:textId="77777777" w:rsidR="008D748F" w:rsidRPr="008D748F" w:rsidRDefault="008D748F" w:rsidP="008D748F">
            <w:pPr>
              <w:spacing w:after="160" w:line="259" w:lineRule="auto"/>
            </w:pPr>
            <w:r w:rsidRPr="008D748F">
              <w:t>2</w:t>
            </w:r>
          </w:p>
        </w:tc>
        <w:tc>
          <w:tcPr>
            <w:tcW w:w="0" w:type="auto"/>
            <w:hideMark/>
          </w:tcPr>
          <w:p w14:paraId="2E775C5F" w14:textId="77777777" w:rsidR="008D748F" w:rsidRPr="008D748F" w:rsidRDefault="008D748F" w:rsidP="008D748F">
            <w:pPr>
              <w:spacing w:after="160" w:line="259" w:lineRule="auto"/>
            </w:pPr>
            <w:r w:rsidRPr="008D748F">
              <w:t>12</w:t>
            </w:r>
          </w:p>
        </w:tc>
        <w:tc>
          <w:tcPr>
            <w:tcW w:w="0" w:type="auto"/>
            <w:hideMark/>
          </w:tcPr>
          <w:p w14:paraId="341F7145" w14:textId="77777777" w:rsidR="008D748F" w:rsidRPr="008D748F" w:rsidRDefault="008D748F" w:rsidP="008D748F">
            <w:pPr>
              <w:spacing w:after="160" w:line="259" w:lineRule="auto"/>
            </w:pPr>
            <w:r w:rsidRPr="008D748F">
              <w:t>11</w:t>
            </w:r>
          </w:p>
        </w:tc>
        <w:tc>
          <w:tcPr>
            <w:tcW w:w="0" w:type="auto"/>
            <w:hideMark/>
          </w:tcPr>
          <w:p w14:paraId="3549315B" w14:textId="77777777" w:rsidR="008D748F" w:rsidRPr="008D748F" w:rsidRDefault="008D748F" w:rsidP="008D748F">
            <w:pPr>
              <w:spacing w:after="160" w:line="259" w:lineRule="auto"/>
            </w:pPr>
            <w:r w:rsidRPr="008D748F">
              <w:t>10</w:t>
            </w:r>
          </w:p>
        </w:tc>
      </w:tr>
      <w:tr w:rsidR="008D748F" w:rsidRPr="008D748F" w14:paraId="2214B1EE" w14:textId="77777777" w:rsidTr="009F3AA7">
        <w:tc>
          <w:tcPr>
            <w:tcW w:w="0" w:type="auto"/>
            <w:hideMark/>
          </w:tcPr>
          <w:p w14:paraId="50102758" w14:textId="77777777" w:rsidR="008D748F" w:rsidRPr="008D748F" w:rsidRDefault="008D748F" w:rsidP="008D748F">
            <w:pPr>
              <w:spacing w:after="160" w:line="259" w:lineRule="auto"/>
            </w:pPr>
            <w:r w:rsidRPr="008D748F">
              <w:t>3</w:t>
            </w:r>
          </w:p>
        </w:tc>
        <w:tc>
          <w:tcPr>
            <w:tcW w:w="0" w:type="auto"/>
            <w:hideMark/>
          </w:tcPr>
          <w:p w14:paraId="16C23722" w14:textId="77777777" w:rsidR="008D748F" w:rsidRPr="008D748F" w:rsidRDefault="008D748F" w:rsidP="008D748F">
            <w:pPr>
              <w:spacing w:after="160" w:line="259" w:lineRule="auto"/>
            </w:pPr>
            <w:r w:rsidRPr="008D748F">
              <w:t>14</w:t>
            </w:r>
          </w:p>
        </w:tc>
        <w:tc>
          <w:tcPr>
            <w:tcW w:w="0" w:type="auto"/>
            <w:hideMark/>
          </w:tcPr>
          <w:p w14:paraId="33C9D6DD" w14:textId="77777777" w:rsidR="008D748F" w:rsidRPr="008D748F" w:rsidRDefault="008D748F" w:rsidP="008D748F">
            <w:pPr>
              <w:spacing w:after="160" w:line="259" w:lineRule="auto"/>
            </w:pPr>
            <w:r w:rsidRPr="008D748F">
              <w:t>11</w:t>
            </w:r>
          </w:p>
        </w:tc>
        <w:tc>
          <w:tcPr>
            <w:tcW w:w="0" w:type="auto"/>
            <w:hideMark/>
          </w:tcPr>
          <w:p w14:paraId="6144A903" w14:textId="77777777" w:rsidR="008D748F" w:rsidRPr="008D748F" w:rsidRDefault="008D748F" w:rsidP="008D748F">
            <w:pPr>
              <w:spacing w:after="160" w:line="259" w:lineRule="auto"/>
            </w:pPr>
            <w:r w:rsidRPr="008D748F">
              <w:t>20</w:t>
            </w:r>
          </w:p>
        </w:tc>
      </w:tr>
      <w:tr w:rsidR="008D748F" w:rsidRPr="008D748F" w14:paraId="7AF3766A" w14:textId="77777777" w:rsidTr="009F3AA7">
        <w:tc>
          <w:tcPr>
            <w:tcW w:w="0" w:type="auto"/>
            <w:hideMark/>
          </w:tcPr>
          <w:p w14:paraId="0EFAC923" w14:textId="77777777" w:rsidR="008D748F" w:rsidRPr="008D748F" w:rsidRDefault="008D748F" w:rsidP="008D748F">
            <w:pPr>
              <w:spacing w:after="160" w:line="259" w:lineRule="auto"/>
            </w:pPr>
            <w:r w:rsidRPr="008D748F">
              <w:t>4</w:t>
            </w:r>
          </w:p>
        </w:tc>
        <w:tc>
          <w:tcPr>
            <w:tcW w:w="0" w:type="auto"/>
            <w:hideMark/>
          </w:tcPr>
          <w:p w14:paraId="4602F6BE" w14:textId="77777777" w:rsidR="008D748F" w:rsidRPr="008D748F" w:rsidRDefault="008D748F" w:rsidP="008D748F">
            <w:pPr>
              <w:spacing w:after="160" w:line="259" w:lineRule="auto"/>
            </w:pPr>
            <w:r w:rsidRPr="008D748F">
              <w:t>10</w:t>
            </w:r>
          </w:p>
        </w:tc>
        <w:tc>
          <w:tcPr>
            <w:tcW w:w="0" w:type="auto"/>
            <w:hideMark/>
          </w:tcPr>
          <w:p w14:paraId="7AC0A53F" w14:textId="77777777" w:rsidR="008D748F" w:rsidRPr="008D748F" w:rsidRDefault="008D748F" w:rsidP="008D748F">
            <w:pPr>
              <w:spacing w:after="160" w:line="259" w:lineRule="auto"/>
            </w:pPr>
            <w:r w:rsidRPr="008D748F">
              <w:t>11</w:t>
            </w:r>
          </w:p>
        </w:tc>
        <w:tc>
          <w:tcPr>
            <w:tcW w:w="0" w:type="auto"/>
            <w:hideMark/>
          </w:tcPr>
          <w:p w14:paraId="4B905401" w14:textId="77777777" w:rsidR="008D748F" w:rsidRPr="008D748F" w:rsidRDefault="008D748F" w:rsidP="008D748F">
            <w:pPr>
              <w:spacing w:after="160" w:line="259" w:lineRule="auto"/>
            </w:pPr>
            <w:r w:rsidRPr="008D748F">
              <w:t>25</w:t>
            </w:r>
          </w:p>
        </w:tc>
      </w:tr>
      <w:tr w:rsidR="008D748F" w:rsidRPr="008D748F" w14:paraId="125412C5" w14:textId="77777777" w:rsidTr="009F3AA7">
        <w:tc>
          <w:tcPr>
            <w:tcW w:w="0" w:type="auto"/>
            <w:hideMark/>
          </w:tcPr>
          <w:p w14:paraId="6912A85B" w14:textId="77777777" w:rsidR="008D748F" w:rsidRPr="008D748F" w:rsidRDefault="008D748F" w:rsidP="008D748F">
            <w:pPr>
              <w:spacing w:after="160" w:line="259" w:lineRule="auto"/>
            </w:pPr>
            <w:r w:rsidRPr="008D748F">
              <w:t>5</w:t>
            </w:r>
          </w:p>
        </w:tc>
        <w:tc>
          <w:tcPr>
            <w:tcW w:w="0" w:type="auto"/>
            <w:hideMark/>
          </w:tcPr>
          <w:p w14:paraId="0BD1A1F9" w14:textId="77777777" w:rsidR="008D748F" w:rsidRPr="008D748F" w:rsidRDefault="008D748F" w:rsidP="008D748F">
            <w:pPr>
              <w:spacing w:after="160" w:line="259" w:lineRule="auto"/>
            </w:pPr>
            <w:r w:rsidRPr="008D748F">
              <w:t>8</w:t>
            </w:r>
          </w:p>
        </w:tc>
        <w:tc>
          <w:tcPr>
            <w:tcW w:w="0" w:type="auto"/>
            <w:hideMark/>
          </w:tcPr>
          <w:p w14:paraId="043F8B0D" w14:textId="77777777" w:rsidR="008D748F" w:rsidRPr="008D748F" w:rsidRDefault="008D748F" w:rsidP="008D748F">
            <w:pPr>
              <w:spacing w:after="160" w:line="259" w:lineRule="auto"/>
            </w:pPr>
            <w:r w:rsidRPr="008D748F">
              <w:t>11</w:t>
            </w:r>
          </w:p>
        </w:tc>
        <w:tc>
          <w:tcPr>
            <w:tcW w:w="0" w:type="auto"/>
            <w:hideMark/>
          </w:tcPr>
          <w:p w14:paraId="14C6310A" w14:textId="77777777" w:rsidR="008D748F" w:rsidRPr="008D748F" w:rsidRDefault="008D748F" w:rsidP="008D748F">
            <w:pPr>
              <w:spacing w:after="160" w:line="259" w:lineRule="auto"/>
            </w:pPr>
            <w:r w:rsidRPr="008D748F">
              <w:t>5</w:t>
            </w:r>
          </w:p>
        </w:tc>
      </w:tr>
    </w:tbl>
    <w:p w14:paraId="795280C3" w14:textId="77777777" w:rsidR="009F3AA7" w:rsidRDefault="009F3AA7" w:rsidP="00E51B00">
      <w:pPr>
        <w:rPr>
          <w:b/>
          <w:bCs/>
        </w:rPr>
      </w:pPr>
      <w:r w:rsidRPr="008D748F">
        <w:t xml:space="preserve">Initial Investment = </w:t>
      </w:r>
      <w:r w:rsidRPr="008D748F">
        <w:rPr>
          <w:b/>
          <w:bCs/>
        </w:rPr>
        <w:t>£50 million (each)</w:t>
      </w:r>
    </w:p>
    <w:p w14:paraId="02782F22" w14:textId="6D22BB5D" w:rsidR="009F3AA7" w:rsidRDefault="009F3AA7" w:rsidP="00E51B00">
      <w:pPr>
        <w:rPr>
          <w:b/>
          <w:bCs/>
        </w:rPr>
      </w:pPr>
      <w:r w:rsidRPr="008D748F">
        <w:t xml:space="preserve">Discount Rate = </w:t>
      </w:r>
      <w:r w:rsidRPr="008D748F">
        <w:rPr>
          <w:b/>
          <w:bCs/>
        </w:rPr>
        <w:t>10%</w:t>
      </w:r>
    </w:p>
    <w:p w14:paraId="273B698F" w14:textId="2A38E8A9" w:rsidR="008D748F" w:rsidRPr="008D748F" w:rsidRDefault="008D748F" w:rsidP="008D748F">
      <w:pPr>
        <w:spacing w:line="259" w:lineRule="auto"/>
        <w:rPr>
          <w:b/>
          <w:bCs/>
        </w:rPr>
      </w:pPr>
      <w:r w:rsidRPr="008D748F">
        <w:rPr>
          <w:b/>
          <w:bCs/>
        </w:rPr>
        <w:t>Calculation:</w:t>
      </w:r>
    </w:p>
    <w:p w14:paraId="2D4D678B" w14:textId="77777777" w:rsidR="008D748F" w:rsidRPr="008D748F" w:rsidRDefault="008D748F" w:rsidP="008D748F">
      <w:pPr>
        <w:spacing w:line="259" w:lineRule="auto"/>
      </w:pPr>
      <w:r w:rsidRPr="008D748F">
        <w:t>Project A:</w:t>
      </w:r>
    </w:p>
    <w:p w14:paraId="0D8A1C1C" w14:textId="77777777" w:rsidR="008D748F" w:rsidRPr="008D748F" w:rsidRDefault="008D748F" w:rsidP="008D748F">
      <w:pPr>
        <w:spacing w:line="259" w:lineRule="auto"/>
      </w:pPr>
      <w:r w:rsidRPr="008D748F">
        <w:t>Cumulative:</w:t>
      </w:r>
    </w:p>
    <w:p w14:paraId="06652522" w14:textId="77777777" w:rsidR="008D748F" w:rsidRPr="008D748F" w:rsidRDefault="008D748F" w:rsidP="008D748F">
      <w:pPr>
        <w:numPr>
          <w:ilvl w:val="0"/>
          <w:numId w:val="16"/>
        </w:numPr>
        <w:spacing w:line="259" w:lineRule="auto"/>
      </w:pPr>
      <w:r w:rsidRPr="008D748F">
        <w:t xml:space="preserve">Year 1 = 10 </w:t>
      </w:r>
    </w:p>
    <w:p w14:paraId="714E3D59" w14:textId="77777777" w:rsidR="008D748F" w:rsidRPr="008D748F" w:rsidRDefault="008D748F" w:rsidP="008D748F">
      <w:pPr>
        <w:numPr>
          <w:ilvl w:val="0"/>
          <w:numId w:val="16"/>
        </w:numPr>
        <w:spacing w:line="259" w:lineRule="auto"/>
      </w:pPr>
      <w:r w:rsidRPr="008D748F">
        <w:t xml:space="preserve">Year 2 = 22 </w:t>
      </w:r>
    </w:p>
    <w:p w14:paraId="619481C8" w14:textId="77777777" w:rsidR="008D748F" w:rsidRPr="008D748F" w:rsidRDefault="008D748F" w:rsidP="008D748F">
      <w:pPr>
        <w:numPr>
          <w:ilvl w:val="0"/>
          <w:numId w:val="16"/>
        </w:numPr>
        <w:spacing w:line="259" w:lineRule="auto"/>
      </w:pPr>
      <w:r w:rsidRPr="008D748F">
        <w:t xml:space="preserve">Year 3 = 36 </w:t>
      </w:r>
    </w:p>
    <w:p w14:paraId="1943B8A4" w14:textId="77777777" w:rsidR="008D748F" w:rsidRPr="008D748F" w:rsidRDefault="008D748F" w:rsidP="008D748F">
      <w:pPr>
        <w:numPr>
          <w:ilvl w:val="0"/>
          <w:numId w:val="16"/>
        </w:numPr>
        <w:spacing w:line="259" w:lineRule="auto"/>
      </w:pPr>
      <w:r w:rsidRPr="008D748F">
        <w:t xml:space="preserve">Year 4 = 46 </w:t>
      </w:r>
    </w:p>
    <w:p w14:paraId="560F1D08" w14:textId="77777777" w:rsidR="008D748F" w:rsidRPr="008D748F" w:rsidRDefault="008D748F" w:rsidP="008D748F">
      <w:pPr>
        <w:numPr>
          <w:ilvl w:val="0"/>
          <w:numId w:val="16"/>
        </w:numPr>
        <w:spacing w:line="259" w:lineRule="auto"/>
      </w:pPr>
      <w:r w:rsidRPr="008D748F">
        <w:t xml:space="preserve">Year 5 = 54 </w:t>
      </w:r>
    </w:p>
    <w:p w14:paraId="1CD99141" w14:textId="60961EA3" w:rsidR="008D748F" w:rsidRPr="008D748F" w:rsidRDefault="008D748F" w:rsidP="008D748F">
      <w:pPr>
        <w:spacing w:line="259" w:lineRule="auto"/>
      </w:pPr>
      <w:r w:rsidRPr="008D748F">
        <w:t>Payback = 4 + (4/8) = 4.5 years</w:t>
      </w:r>
    </w:p>
    <w:p w14:paraId="61A619D1" w14:textId="7A223A03" w:rsidR="008D748F" w:rsidRPr="008D748F" w:rsidRDefault="008D748F" w:rsidP="008D748F">
      <w:pPr>
        <w:spacing w:line="259" w:lineRule="auto"/>
      </w:pPr>
    </w:p>
    <w:p w14:paraId="3C395166" w14:textId="77777777" w:rsidR="008D748F" w:rsidRPr="008D748F" w:rsidRDefault="008D748F" w:rsidP="008D748F">
      <w:pPr>
        <w:spacing w:line="259" w:lineRule="auto"/>
      </w:pPr>
      <w:r w:rsidRPr="008D748F">
        <w:t>Project B:</w:t>
      </w:r>
    </w:p>
    <w:p w14:paraId="2359EC6A" w14:textId="77777777" w:rsidR="009F3AA7" w:rsidRDefault="008D748F" w:rsidP="008D748F">
      <w:pPr>
        <w:numPr>
          <w:ilvl w:val="0"/>
          <w:numId w:val="17"/>
        </w:numPr>
        <w:spacing w:line="259" w:lineRule="auto"/>
      </w:pPr>
      <w:r w:rsidRPr="008D748F">
        <w:t>Equal inflows: 11 × 5 = 55</w:t>
      </w:r>
    </w:p>
    <w:p w14:paraId="7DF49429" w14:textId="6349DAC0" w:rsidR="008D748F" w:rsidRPr="008D748F" w:rsidRDefault="008D748F" w:rsidP="009F3AA7">
      <w:pPr>
        <w:spacing w:line="259" w:lineRule="auto"/>
        <w:ind w:left="720"/>
      </w:pPr>
      <w:r w:rsidRPr="008D748F">
        <w:t xml:space="preserve">Payback = 50 / 11 = 4.55 years </w:t>
      </w:r>
    </w:p>
    <w:p w14:paraId="2AE4EE7E" w14:textId="6F4C00A2" w:rsidR="008D748F" w:rsidRPr="008D748F" w:rsidRDefault="008D748F" w:rsidP="008D748F">
      <w:pPr>
        <w:spacing w:line="259" w:lineRule="auto"/>
      </w:pPr>
    </w:p>
    <w:p w14:paraId="2B9E2C85" w14:textId="77777777" w:rsidR="008D748F" w:rsidRPr="008D748F" w:rsidRDefault="008D748F" w:rsidP="008D748F">
      <w:pPr>
        <w:spacing w:line="259" w:lineRule="auto"/>
      </w:pPr>
      <w:r w:rsidRPr="008D748F">
        <w:t>Project C:</w:t>
      </w:r>
    </w:p>
    <w:p w14:paraId="6E1EAE80" w14:textId="77777777" w:rsidR="008D748F" w:rsidRPr="008D748F" w:rsidRDefault="008D748F" w:rsidP="008D748F">
      <w:pPr>
        <w:spacing w:line="259" w:lineRule="auto"/>
      </w:pPr>
      <w:r w:rsidRPr="008D748F">
        <w:t>Cumulative:</w:t>
      </w:r>
    </w:p>
    <w:p w14:paraId="2A194994" w14:textId="77777777" w:rsidR="008D748F" w:rsidRPr="008D748F" w:rsidRDefault="008D748F" w:rsidP="008D748F">
      <w:pPr>
        <w:numPr>
          <w:ilvl w:val="0"/>
          <w:numId w:val="18"/>
        </w:numPr>
        <w:spacing w:line="259" w:lineRule="auto"/>
      </w:pPr>
      <w:r w:rsidRPr="008D748F">
        <w:t xml:space="preserve">Year 1 = 5 </w:t>
      </w:r>
    </w:p>
    <w:p w14:paraId="27288DF5" w14:textId="77777777" w:rsidR="008D748F" w:rsidRPr="008D748F" w:rsidRDefault="008D748F" w:rsidP="008D748F">
      <w:pPr>
        <w:numPr>
          <w:ilvl w:val="0"/>
          <w:numId w:val="18"/>
        </w:numPr>
        <w:spacing w:line="259" w:lineRule="auto"/>
      </w:pPr>
      <w:r w:rsidRPr="008D748F">
        <w:t xml:space="preserve">Year 2 = 15 </w:t>
      </w:r>
    </w:p>
    <w:p w14:paraId="59DAA5A7" w14:textId="77777777" w:rsidR="008D748F" w:rsidRPr="008D748F" w:rsidRDefault="008D748F" w:rsidP="008D748F">
      <w:pPr>
        <w:numPr>
          <w:ilvl w:val="0"/>
          <w:numId w:val="18"/>
        </w:numPr>
        <w:spacing w:line="259" w:lineRule="auto"/>
      </w:pPr>
      <w:r w:rsidRPr="008D748F">
        <w:t xml:space="preserve">Year 3 = 35 </w:t>
      </w:r>
    </w:p>
    <w:p w14:paraId="3411D39B" w14:textId="77777777" w:rsidR="008D748F" w:rsidRPr="008D748F" w:rsidRDefault="008D748F" w:rsidP="008D748F">
      <w:pPr>
        <w:numPr>
          <w:ilvl w:val="0"/>
          <w:numId w:val="18"/>
        </w:numPr>
        <w:spacing w:line="259" w:lineRule="auto"/>
      </w:pPr>
      <w:r w:rsidRPr="008D748F">
        <w:t xml:space="preserve">Year 4 = 60 </w:t>
      </w:r>
    </w:p>
    <w:p w14:paraId="6FE32F33" w14:textId="327FE39E" w:rsidR="00E51B00" w:rsidRPr="00E51B00" w:rsidRDefault="008D748F" w:rsidP="00E51B00">
      <w:pPr>
        <w:spacing w:line="259" w:lineRule="auto"/>
      </w:pPr>
      <w:r w:rsidRPr="008D748F">
        <w:t xml:space="preserve"> Payback = 3 + (15/25) = 3.6 years</w:t>
      </w:r>
    </w:p>
    <w:p w14:paraId="7996A8D1" w14:textId="51C137B1" w:rsidR="00E51B00" w:rsidRPr="00E51B00" w:rsidRDefault="00E51B00" w:rsidP="00E51B00">
      <w:pPr>
        <w:spacing w:line="259" w:lineRule="auto"/>
      </w:pPr>
    </w:p>
    <w:p w14:paraId="15988D89" w14:textId="097FD2F2" w:rsidR="00E51B00" w:rsidRPr="00E51B00" w:rsidRDefault="008D748F" w:rsidP="00E51B00">
      <w:pPr>
        <w:spacing w:line="259" w:lineRule="auto"/>
      </w:pPr>
      <w:r w:rsidRPr="008D748F">
        <w:lastRenderedPageBreak/>
        <w:t>Project C has the shortest payback period, indicating faster recovery and lower liquidity risk.</w:t>
      </w:r>
      <w:r w:rsidR="00E51B00" w:rsidRPr="00E51B00">
        <w:t xml:space="preserve"> However, the method ignores the time value of money and post-payback cash flows, limiting its ability to assess long-term value creation.</w:t>
      </w:r>
    </w:p>
    <w:p w14:paraId="5F71293C" w14:textId="77777777" w:rsidR="009F3AA7" w:rsidRDefault="009F3AA7" w:rsidP="00E51B00"/>
    <w:p w14:paraId="2C6B8AD4" w14:textId="69626507" w:rsidR="00E51B00" w:rsidRPr="00E51B00" w:rsidRDefault="00E51B00" w:rsidP="009F3AA7">
      <w:pPr>
        <w:pStyle w:val="Heading2"/>
      </w:pPr>
      <w:bookmarkStart w:id="24" w:name="_Toc227074725"/>
      <w:r w:rsidRPr="00E51B00">
        <w:t>5.3 Accounting Rate of Return (ARR)</w:t>
      </w:r>
      <w:bookmarkEnd w:id="24"/>
      <w:r w:rsidRPr="00E51B00">
        <w:t xml:space="preserve"> </w:t>
      </w:r>
    </w:p>
    <w:p w14:paraId="67ED5B8E" w14:textId="77777777" w:rsidR="008D748F" w:rsidRPr="008D748F" w:rsidRDefault="008D748F" w:rsidP="009F3AA7">
      <w:pPr>
        <w:rPr>
          <w:lang w:eastAsia="en-IN"/>
        </w:rPr>
      </w:pPr>
      <w:r w:rsidRPr="008D748F">
        <w:rPr>
          <w:lang w:eastAsia="en-IN"/>
        </w:rPr>
        <w:t>Formula:</w:t>
      </w:r>
    </w:p>
    <w:p w14:paraId="17DE4EA0" w14:textId="77777777" w:rsidR="008D748F" w:rsidRPr="009F3AA7" w:rsidRDefault="008D748F" w:rsidP="009F3AA7">
      <w:pPr>
        <w:rPr>
          <w:b/>
          <w:bCs/>
          <w:lang w:eastAsia="en-IN"/>
        </w:rPr>
      </w:pPr>
      <w:r w:rsidRPr="009F3AA7">
        <w:rPr>
          <w:b/>
          <w:bCs/>
          <w:lang w:eastAsia="en-IN"/>
        </w:rPr>
        <w:t>ARR = Average Profit / Initial Investment × 100</w:t>
      </w:r>
    </w:p>
    <w:p w14:paraId="467B0327" w14:textId="7ECAB7E6" w:rsidR="008D748F" w:rsidRPr="008D748F" w:rsidRDefault="008D748F" w:rsidP="008D748F">
      <w:pPr>
        <w:spacing w:after="0"/>
        <w:rPr>
          <w:rFonts w:eastAsia="Times New Roman" w:cs="Times New Roman"/>
          <w:noProof w:val="0"/>
          <w:kern w:val="0"/>
          <w:szCs w:val="24"/>
          <w:lang w:eastAsia="en-IN"/>
          <w14:ligatures w14:val="none"/>
        </w:rPr>
      </w:pPr>
    </w:p>
    <w:p w14:paraId="7834BD64" w14:textId="77777777" w:rsidR="008D748F" w:rsidRPr="008D748F" w:rsidRDefault="008D748F" w:rsidP="009F3AA7">
      <w:pPr>
        <w:rPr>
          <w:lang w:eastAsia="en-IN"/>
        </w:rPr>
      </w:pPr>
      <w:r w:rsidRPr="008D748F">
        <w:rPr>
          <w:lang w:eastAsia="en-IN"/>
        </w:rPr>
        <w:t>Project A:</w:t>
      </w:r>
    </w:p>
    <w:p w14:paraId="0B8A7FA9" w14:textId="77777777" w:rsidR="009F3AA7" w:rsidRDefault="008D748F" w:rsidP="008D748F">
      <w:pPr>
        <w:spacing w:before="100" w:beforeAutospacing="1" w:after="100" w:afterAutospacing="1"/>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Total inflow = 54</w:t>
      </w:r>
    </w:p>
    <w:p w14:paraId="58EFDB9A" w14:textId="77777777" w:rsidR="009F3AA7" w:rsidRDefault="008D748F" w:rsidP="008D748F">
      <w:pPr>
        <w:spacing w:before="100" w:beforeAutospacing="1" w:after="100" w:afterAutospacing="1"/>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Profit = 54 – 50 = 4</w:t>
      </w:r>
    </w:p>
    <w:p w14:paraId="1A529772" w14:textId="2D3803A0" w:rsidR="008D748F" w:rsidRPr="008D748F" w:rsidRDefault="008D748F" w:rsidP="008D748F">
      <w:pPr>
        <w:spacing w:before="100" w:beforeAutospacing="1" w:after="100" w:afterAutospacing="1"/>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ARR = (4/5)/50 ×100 = 1.6%</w:t>
      </w:r>
    </w:p>
    <w:p w14:paraId="6D88BC77" w14:textId="41FDE425" w:rsidR="008D748F" w:rsidRPr="008D748F" w:rsidRDefault="008D748F" w:rsidP="008D748F">
      <w:pPr>
        <w:spacing w:after="0"/>
        <w:rPr>
          <w:rFonts w:eastAsia="Times New Roman" w:cs="Times New Roman"/>
          <w:noProof w:val="0"/>
          <w:kern w:val="0"/>
          <w:szCs w:val="24"/>
          <w:lang w:eastAsia="en-IN"/>
          <w14:ligatures w14:val="none"/>
        </w:rPr>
      </w:pPr>
    </w:p>
    <w:p w14:paraId="31B30915" w14:textId="77777777" w:rsidR="008D748F" w:rsidRPr="008D748F" w:rsidRDefault="008D748F" w:rsidP="009F3AA7">
      <w:pPr>
        <w:rPr>
          <w:lang w:eastAsia="en-IN"/>
        </w:rPr>
      </w:pPr>
      <w:r w:rsidRPr="008D748F">
        <w:rPr>
          <w:lang w:eastAsia="en-IN"/>
        </w:rPr>
        <w:t>Project B:</w:t>
      </w:r>
    </w:p>
    <w:p w14:paraId="20DECAC8" w14:textId="77777777" w:rsidR="009F3AA7" w:rsidRDefault="008D748F" w:rsidP="008D748F">
      <w:pPr>
        <w:spacing w:before="100" w:beforeAutospacing="1" w:after="100" w:afterAutospacing="1"/>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Total inflow = 55</w:t>
      </w:r>
    </w:p>
    <w:p w14:paraId="1BE690DC" w14:textId="55044BDA" w:rsidR="009F3AA7" w:rsidRDefault="008D748F" w:rsidP="008D748F">
      <w:pPr>
        <w:spacing w:before="100" w:beforeAutospacing="1" w:after="100" w:afterAutospacing="1"/>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Profit = 5</w:t>
      </w:r>
    </w:p>
    <w:p w14:paraId="3C703B2D" w14:textId="1D929839" w:rsidR="008D748F" w:rsidRPr="008D748F" w:rsidRDefault="008D748F" w:rsidP="008D748F">
      <w:pPr>
        <w:spacing w:before="100" w:beforeAutospacing="1" w:after="100" w:afterAutospacing="1"/>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 xml:space="preserve">ARR = </w:t>
      </w:r>
      <w:r w:rsidRPr="008D748F">
        <w:rPr>
          <w:rFonts w:eastAsia="Times New Roman" w:cs="Times New Roman"/>
          <w:b/>
          <w:bCs/>
          <w:noProof w:val="0"/>
          <w:kern w:val="0"/>
          <w:szCs w:val="24"/>
          <w:lang w:eastAsia="en-IN"/>
          <w14:ligatures w14:val="none"/>
        </w:rPr>
        <w:t>2%</w:t>
      </w:r>
    </w:p>
    <w:p w14:paraId="389B114E" w14:textId="3FAD40A1" w:rsidR="008D748F" w:rsidRPr="008D748F" w:rsidRDefault="008D748F" w:rsidP="008D748F">
      <w:pPr>
        <w:spacing w:after="0"/>
        <w:rPr>
          <w:rFonts w:eastAsia="Times New Roman" w:cs="Times New Roman"/>
          <w:noProof w:val="0"/>
          <w:kern w:val="0"/>
          <w:szCs w:val="24"/>
          <w:lang w:eastAsia="en-IN"/>
          <w14:ligatures w14:val="none"/>
        </w:rPr>
      </w:pPr>
    </w:p>
    <w:p w14:paraId="2FF39CA7" w14:textId="77777777" w:rsidR="008D748F" w:rsidRPr="008D748F" w:rsidRDefault="008D748F" w:rsidP="009F3AA7">
      <w:pPr>
        <w:rPr>
          <w:lang w:eastAsia="en-IN"/>
        </w:rPr>
      </w:pPr>
      <w:r w:rsidRPr="008D748F">
        <w:rPr>
          <w:lang w:eastAsia="en-IN"/>
        </w:rPr>
        <w:t>Project C:</w:t>
      </w:r>
    </w:p>
    <w:p w14:paraId="2BED4A07" w14:textId="77777777" w:rsidR="009F3AA7" w:rsidRDefault="008D748F" w:rsidP="008D748F">
      <w:pPr>
        <w:spacing w:before="100" w:beforeAutospacing="1" w:after="100" w:afterAutospacing="1"/>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Total inflow = 65</w:t>
      </w:r>
    </w:p>
    <w:p w14:paraId="2AD40B07" w14:textId="77777777" w:rsidR="009F3AA7" w:rsidRDefault="008D748F" w:rsidP="008D748F">
      <w:pPr>
        <w:spacing w:before="100" w:beforeAutospacing="1" w:after="100" w:afterAutospacing="1"/>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Profit = 15</w:t>
      </w:r>
    </w:p>
    <w:p w14:paraId="20BB376B" w14:textId="5E9F92EA" w:rsidR="00E51B00" w:rsidRPr="00E51B00" w:rsidRDefault="008D748F" w:rsidP="008D748F">
      <w:pPr>
        <w:spacing w:before="100" w:beforeAutospacing="1" w:after="100" w:afterAutospacing="1"/>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 xml:space="preserve">ARR = </w:t>
      </w:r>
      <w:r w:rsidRPr="008D748F">
        <w:rPr>
          <w:rFonts w:eastAsia="Times New Roman" w:cs="Times New Roman"/>
          <w:b/>
          <w:bCs/>
          <w:noProof w:val="0"/>
          <w:kern w:val="0"/>
          <w:szCs w:val="24"/>
          <w:lang w:eastAsia="en-IN"/>
          <w14:ligatures w14:val="none"/>
        </w:rPr>
        <w:t>6%</w:t>
      </w:r>
    </w:p>
    <w:p w14:paraId="77FCFE1B" w14:textId="77777777" w:rsidR="009F3AA7" w:rsidRDefault="009F3AA7" w:rsidP="00E51B00">
      <w:pPr>
        <w:rPr>
          <w:b/>
          <w:bCs/>
        </w:rPr>
      </w:pPr>
    </w:p>
    <w:p w14:paraId="0C1068B8" w14:textId="1BA08437" w:rsidR="00E51B00" w:rsidRPr="00E51B00" w:rsidRDefault="00E51B00" w:rsidP="00E51B00">
      <w:pPr>
        <w:spacing w:line="259" w:lineRule="auto"/>
      </w:pPr>
      <w:r w:rsidRPr="00E51B00">
        <w:t>Project C provides the highest ARR, indicating superior accounting profitability. However, ARR is based on accounting profits rather than cash flows and ignores timing differences, reducing its reliability as a primary decision-making tool.</w:t>
      </w:r>
    </w:p>
    <w:p w14:paraId="6C8E23BF" w14:textId="0A1047A9" w:rsidR="00E51B00" w:rsidRPr="00E51B00" w:rsidRDefault="00E51B00" w:rsidP="00E51B00">
      <w:pPr>
        <w:spacing w:line="259" w:lineRule="auto"/>
      </w:pPr>
    </w:p>
    <w:p w14:paraId="23FE4C7A" w14:textId="1A5EA331" w:rsidR="00E51B00" w:rsidRPr="00E51B00" w:rsidRDefault="00E51B00" w:rsidP="009F3AA7">
      <w:pPr>
        <w:pStyle w:val="Heading2"/>
      </w:pPr>
      <w:bookmarkStart w:id="25" w:name="_Toc227074726"/>
      <w:r w:rsidRPr="00E51B00">
        <w:t>5.4 Net Present Value (NPV)</w:t>
      </w:r>
      <w:bookmarkEnd w:id="25"/>
    </w:p>
    <w:tbl>
      <w:tblPr>
        <w:tblStyle w:val="TableGrid"/>
        <w:tblW w:w="0" w:type="auto"/>
        <w:tblLook w:val="04A0" w:firstRow="1" w:lastRow="0" w:firstColumn="1" w:lastColumn="0" w:noHBand="0" w:noVBand="1"/>
      </w:tblPr>
      <w:tblGrid>
        <w:gridCol w:w="723"/>
        <w:gridCol w:w="896"/>
      </w:tblGrid>
      <w:tr w:rsidR="008D748F" w:rsidRPr="008D748F" w14:paraId="49390E21" w14:textId="77777777" w:rsidTr="009F3AA7">
        <w:tc>
          <w:tcPr>
            <w:tcW w:w="0" w:type="auto"/>
            <w:hideMark/>
          </w:tcPr>
          <w:p w14:paraId="10185B57" w14:textId="77777777" w:rsidR="008D748F" w:rsidRPr="008D748F" w:rsidRDefault="008D748F" w:rsidP="008D748F">
            <w:pPr>
              <w:jc w:val="center"/>
              <w:rPr>
                <w:rFonts w:eastAsia="Times New Roman" w:cs="Times New Roman"/>
                <w:b/>
                <w:bCs/>
                <w:noProof w:val="0"/>
                <w:kern w:val="0"/>
                <w:szCs w:val="24"/>
                <w:lang w:eastAsia="en-IN"/>
                <w14:ligatures w14:val="none"/>
              </w:rPr>
            </w:pPr>
            <w:r w:rsidRPr="008D748F">
              <w:rPr>
                <w:rFonts w:eastAsia="Times New Roman" w:cs="Times New Roman"/>
                <w:b/>
                <w:bCs/>
                <w:noProof w:val="0"/>
                <w:kern w:val="0"/>
                <w:szCs w:val="24"/>
                <w:lang w:eastAsia="en-IN"/>
                <w14:ligatures w14:val="none"/>
              </w:rPr>
              <w:t>Year</w:t>
            </w:r>
          </w:p>
        </w:tc>
        <w:tc>
          <w:tcPr>
            <w:tcW w:w="0" w:type="auto"/>
            <w:hideMark/>
          </w:tcPr>
          <w:p w14:paraId="1174CF15" w14:textId="77777777" w:rsidR="008D748F" w:rsidRPr="008D748F" w:rsidRDefault="008D748F" w:rsidP="008D748F">
            <w:pPr>
              <w:jc w:val="center"/>
              <w:rPr>
                <w:rFonts w:eastAsia="Times New Roman" w:cs="Times New Roman"/>
                <w:b/>
                <w:bCs/>
                <w:noProof w:val="0"/>
                <w:kern w:val="0"/>
                <w:szCs w:val="24"/>
                <w:lang w:eastAsia="en-IN"/>
                <w14:ligatures w14:val="none"/>
              </w:rPr>
            </w:pPr>
            <w:r w:rsidRPr="008D748F">
              <w:rPr>
                <w:rFonts w:eastAsia="Times New Roman" w:cs="Times New Roman"/>
                <w:b/>
                <w:bCs/>
                <w:noProof w:val="0"/>
                <w:kern w:val="0"/>
                <w:szCs w:val="24"/>
                <w:lang w:eastAsia="en-IN"/>
                <w14:ligatures w14:val="none"/>
              </w:rPr>
              <w:t>Factor</w:t>
            </w:r>
          </w:p>
        </w:tc>
      </w:tr>
      <w:tr w:rsidR="008D748F" w:rsidRPr="008D748F" w14:paraId="6D0D059A" w14:textId="77777777" w:rsidTr="009F3AA7">
        <w:tc>
          <w:tcPr>
            <w:tcW w:w="0" w:type="auto"/>
            <w:hideMark/>
          </w:tcPr>
          <w:p w14:paraId="2CDFD5FD" w14:textId="77777777" w:rsidR="008D748F" w:rsidRPr="008D748F" w:rsidRDefault="008D748F" w:rsidP="008D748F">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1</w:t>
            </w:r>
          </w:p>
        </w:tc>
        <w:tc>
          <w:tcPr>
            <w:tcW w:w="0" w:type="auto"/>
            <w:hideMark/>
          </w:tcPr>
          <w:p w14:paraId="22212820" w14:textId="77777777" w:rsidR="008D748F" w:rsidRPr="008D748F" w:rsidRDefault="008D748F" w:rsidP="008D748F">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0.909</w:t>
            </w:r>
          </w:p>
        </w:tc>
      </w:tr>
      <w:tr w:rsidR="008D748F" w:rsidRPr="008D748F" w14:paraId="75782ACB" w14:textId="77777777" w:rsidTr="009F3AA7">
        <w:tc>
          <w:tcPr>
            <w:tcW w:w="0" w:type="auto"/>
            <w:hideMark/>
          </w:tcPr>
          <w:p w14:paraId="279CC4B5" w14:textId="77777777" w:rsidR="008D748F" w:rsidRPr="008D748F" w:rsidRDefault="008D748F" w:rsidP="008D748F">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2</w:t>
            </w:r>
          </w:p>
        </w:tc>
        <w:tc>
          <w:tcPr>
            <w:tcW w:w="0" w:type="auto"/>
            <w:hideMark/>
          </w:tcPr>
          <w:p w14:paraId="44330CA0" w14:textId="77777777" w:rsidR="008D748F" w:rsidRPr="008D748F" w:rsidRDefault="008D748F" w:rsidP="008D748F">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0.826</w:t>
            </w:r>
          </w:p>
        </w:tc>
      </w:tr>
      <w:tr w:rsidR="008D748F" w:rsidRPr="008D748F" w14:paraId="4005654E" w14:textId="77777777" w:rsidTr="009F3AA7">
        <w:tc>
          <w:tcPr>
            <w:tcW w:w="0" w:type="auto"/>
            <w:hideMark/>
          </w:tcPr>
          <w:p w14:paraId="1E0E9154" w14:textId="77777777" w:rsidR="008D748F" w:rsidRPr="008D748F" w:rsidRDefault="008D748F" w:rsidP="008D748F">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3</w:t>
            </w:r>
          </w:p>
        </w:tc>
        <w:tc>
          <w:tcPr>
            <w:tcW w:w="0" w:type="auto"/>
            <w:hideMark/>
          </w:tcPr>
          <w:p w14:paraId="2FEA066E" w14:textId="77777777" w:rsidR="008D748F" w:rsidRPr="008D748F" w:rsidRDefault="008D748F" w:rsidP="008D748F">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0.751</w:t>
            </w:r>
          </w:p>
        </w:tc>
      </w:tr>
      <w:tr w:rsidR="008D748F" w:rsidRPr="008D748F" w14:paraId="64E47414" w14:textId="77777777" w:rsidTr="009F3AA7">
        <w:tc>
          <w:tcPr>
            <w:tcW w:w="0" w:type="auto"/>
            <w:hideMark/>
          </w:tcPr>
          <w:p w14:paraId="2A0C35C8" w14:textId="77777777" w:rsidR="008D748F" w:rsidRPr="008D748F" w:rsidRDefault="008D748F" w:rsidP="008D748F">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lastRenderedPageBreak/>
              <w:t>4</w:t>
            </w:r>
          </w:p>
        </w:tc>
        <w:tc>
          <w:tcPr>
            <w:tcW w:w="0" w:type="auto"/>
            <w:hideMark/>
          </w:tcPr>
          <w:p w14:paraId="31780855" w14:textId="77777777" w:rsidR="008D748F" w:rsidRPr="008D748F" w:rsidRDefault="008D748F" w:rsidP="008D748F">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0.683</w:t>
            </w:r>
          </w:p>
        </w:tc>
      </w:tr>
      <w:tr w:rsidR="008D748F" w:rsidRPr="008D748F" w14:paraId="0EF6F868" w14:textId="77777777" w:rsidTr="009F3AA7">
        <w:tc>
          <w:tcPr>
            <w:tcW w:w="0" w:type="auto"/>
            <w:hideMark/>
          </w:tcPr>
          <w:p w14:paraId="2B45FCE2" w14:textId="77777777" w:rsidR="008D748F" w:rsidRPr="008D748F" w:rsidRDefault="008D748F" w:rsidP="008D748F">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5</w:t>
            </w:r>
          </w:p>
        </w:tc>
        <w:tc>
          <w:tcPr>
            <w:tcW w:w="0" w:type="auto"/>
            <w:hideMark/>
          </w:tcPr>
          <w:p w14:paraId="370326DF" w14:textId="77777777" w:rsidR="008D748F" w:rsidRPr="008D748F" w:rsidRDefault="008D748F" w:rsidP="008D748F">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0.621</w:t>
            </w:r>
          </w:p>
        </w:tc>
      </w:tr>
    </w:tbl>
    <w:p w14:paraId="6260CFB8" w14:textId="77777777" w:rsidR="009F3AA7" w:rsidRPr="009F3AA7" w:rsidRDefault="009F3AA7" w:rsidP="009F3AA7">
      <w:pPr>
        <w:rPr>
          <w:rFonts w:eastAsia="Times New Roman" w:cs="Times New Roman"/>
          <w:noProof w:val="0"/>
          <w:kern w:val="0"/>
          <w:szCs w:val="24"/>
          <w:lang w:eastAsia="en-IN"/>
          <w14:ligatures w14:val="none"/>
        </w:rPr>
      </w:pPr>
    </w:p>
    <w:p w14:paraId="19DE394D" w14:textId="55C42F8B" w:rsidR="009F3AA7" w:rsidRPr="008D748F" w:rsidRDefault="009F3AA7" w:rsidP="009F3AA7">
      <w:pPr>
        <w:spacing w:after="0"/>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Project A PV:</w:t>
      </w:r>
    </w:p>
    <w:p w14:paraId="51FE8F1B" w14:textId="77777777" w:rsidR="009F3AA7" w:rsidRDefault="009F3AA7" w:rsidP="009F3AA7">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 10×0.909 + 12×0.826 + 14×0.751 + 10×0.683 + 8×0.621</w:t>
      </w:r>
    </w:p>
    <w:p w14:paraId="6B441E41" w14:textId="35DF48F4" w:rsidR="009F3AA7" w:rsidRDefault="009F3AA7" w:rsidP="009F3AA7">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 9.09 + 9.91 + 10.51 + 6.83 + 4.97</w:t>
      </w:r>
    </w:p>
    <w:p w14:paraId="7D48F7C4" w14:textId="07ABF78A" w:rsidR="009F3AA7" w:rsidRPr="008D748F" w:rsidRDefault="009F3AA7" w:rsidP="009F3AA7">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 41.31</w:t>
      </w:r>
    </w:p>
    <w:p w14:paraId="73560E44" w14:textId="0AC28B5F" w:rsidR="009F3AA7" w:rsidRPr="008D748F" w:rsidRDefault="009F3AA7" w:rsidP="009F3AA7">
      <w:pPr>
        <w:spacing w:after="0"/>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NPV = 41.31 – 50 = −8.69</w:t>
      </w:r>
    </w:p>
    <w:p w14:paraId="677F2579" w14:textId="77777777" w:rsidR="009F3AA7" w:rsidRPr="009F3AA7" w:rsidRDefault="009F3AA7" w:rsidP="00E51B00"/>
    <w:p w14:paraId="0E28AF6C" w14:textId="77777777" w:rsidR="009F3AA7" w:rsidRPr="008D748F" w:rsidRDefault="009F3AA7" w:rsidP="009F3AA7">
      <w:pPr>
        <w:spacing w:after="0"/>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Project B PV:</w:t>
      </w:r>
    </w:p>
    <w:p w14:paraId="50AEA4E2" w14:textId="77777777" w:rsidR="009F3AA7" w:rsidRPr="009F3AA7" w:rsidRDefault="009F3AA7" w:rsidP="009F3AA7">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 11 × (sum of factors 3.79 approx)</w:t>
      </w:r>
    </w:p>
    <w:p w14:paraId="49DE8B70" w14:textId="3823CE50" w:rsidR="009F3AA7" w:rsidRPr="008D748F" w:rsidRDefault="009F3AA7" w:rsidP="009F3AA7">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 41.69</w:t>
      </w:r>
    </w:p>
    <w:p w14:paraId="79983348" w14:textId="3B805555" w:rsidR="009F3AA7" w:rsidRPr="008D748F" w:rsidRDefault="009F3AA7" w:rsidP="009F3AA7">
      <w:pPr>
        <w:spacing w:after="0"/>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NPV = −8.31</w:t>
      </w:r>
    </w:p>
    <w:p w14:paraId="3276AF1D" w14:textId="77777777" w:rsidR="009F3AA7" w:rsidRPr="009F3AA7" w:rsidRDefault="009F3AA7" w:rsidP="00E51B00"/>
    <w:p w14:paraId="35C22A92" w14:textId="77777777" w:rsidR="009F3AA7" w:rsidRPr="008D748F" w:rsidRDefault="009F3AA7" w:rsidP="009F3AA7">
      <w:pPr>
        <w:spacing w:after="0"/>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Project C PV:</w:t>
      </w:r>
    </w:p>
    <w:p w14:paraId="562A8E6A" w14:textId="77777777" w:rsidR="009F3AA7" w:rsidRPr="009F3AA7" w:rsidRDefault="009F3AA7" w:rsidP="009F3AA7">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 5×0.909 + 10×0.826 + 20×0.751 + 25×0.683 + 5×0.621</w:t>
      </w:r>
    </w:p>
    <w:p w14:paraId="6FB44A46" w14:textId="77777777" w:rsidR="009F3AA7" w:rsidRPr="009F3AA7" w:rsidRDefault="009F3AA7" w:rsidP="009F3AA7">
      <w:pPr>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 4.55 + 8.26 + 15.02 + 17.08 + 3.11</w:t>
      </w:r>
    </w:p>
    <w:p w14:paraId="74E80498" w14:textId="3F4FB3DF" w:rsidR="009F3AA7" w:rsidRPr="008D748F" w:rsidRDefault="009F3AA7" w:rsidP="009F3AA7">
      <w:pPr>
        <w:spacing w:after="0"/>
        <w:rPr>
          <w:rFonts w:eastAsia="Times New Roman" w:cs="Times New Roman"/>
          <w:noProof w:val="0"/>
          <w:kern w:val="0"/>
          <w:szCs w:val="24"/>
          <w:lang w:eastAsia="en-IN"/>
          <w14:ligatures w14:val="none"/>
        </w:rPr>
      </w:pPr>
      <w:r w:rsidRPr="008D748F">
        <w:rPr>
          <w:rFonts w:eastAsia="Times New Roman" w:cs="Times New Roman"/>
          <w:noProof w:val="0"/>
          <w:kern w:val="0"/>
          <w:szCs w:val="24"/>
          <w:lang w:eastAsia="en-IN"/>
          <w14:ligatures w14:val="none"/>
        </w:rPr>
        <w:t>= 48.02</w:t>
      </w:r>
    </w:p>
    <w:p w14:paraId="74435D68" w14:textId="77777777" w:rsidR="009F3AA7" w:rsidRPr="009F3AA7" w:rsidRDefault="009F3AA7" w:rsidP="009F3AA7">
      <w:pPr>
        <w:rPr>
          <w:rFonts w:eastAsia="Times New Roman" w:cs="Times New Roman"/>
          <w:noProof w:val="0"/>
          <w:kern w:val="0"/>
          <w:szCs w:val="24"/>
          <w:lang w:eastAsia="en-IN"/>
          <w14:ligatures w14:val="none"/>
        </w:rPr>
      </w:pPr>
    </w:p>
    <w:p w14:paraId="52432C4D" w14:textId="72925E95" w:rsidR="009F3AA7" w:rsidRPr="009F3AA7" w:rsidRDefault="009F3AA7" w:rsidP="009F3AA7">
      <w:r w:rsidRPr="008D748F">
        <w:rPr>
          <w:rFonts w:eastAsia="Times New Roman" w:cs="Times New Roman"/>
          <w:noProof w:val="0"/>
          <w:kern w:val="0"/>
          <w:szCs w:val="24"/>
          <w:lang w:eastAsia="en-IN"/>
          <w14:ligatures w14:val="none"/>
        </w:rPr>
        <w:t>NPV = −1.98</w:t>
      </w:r>
    </w:p>
    <w:p w14:paraId="57AA8E5C" w14:textId="370DB916" w:rsidR="00E51B00" w:rsidRPr="00E51B00" w:rsidRDefault="00E51B00" w:rsidP="00E51B00">
      <w:pPr>
        <w:spacing w:line="259" w:lineRule="auto"/>
      </w:pPr>
    </w:p>
    <w:p w14:paraId="199032B2" w14:textId="77777777" w:rsidR="00E51B00" w:rsidRPr="00E51B00" w:rsidRDefault="00E51B00" w:rsidP="00E51B00">
      <w:pPr>
        <w:spacing w:line="259" w:lineRule="auto"/>
      </w:pPr>
      <w:r w:rsidRPr="00E51B00">
        <w:t>All projects generate negative NPVs, indicating that the present value of cash inflows is less than the initial investment. This indicates that all projects fail to meet the firm’s required rate of return and would result in a reduction in shareholder value.</w:t>
      </w:r>
    </w:p>
    <w:p w14:paraId="4BF598E6" w14:textId="77777777" w:rsidR="00E51B00" w:rsidRPr="00E51B00" w:rsidRDefault="00E51B00" w:rsidP="00E51B00">
      <w:pPr>
        <w:spacing w:line="259" w:lineRule="auto"/>
      </w:pPr>
      <w:r w:rsidRPr="00E51B00">
        <w:t>Among the options, Project C has the least negative NPV, making it the relatively superior option. However, the negative NPVs across all projects suggest that each project would destroy value rather than create it.</w:t>
      </w:r>
    </w:p>
    <w:p w14:paraId="27F79F46" w14:textId="77777777" w:rsidR="00E51B00" w:rsidRPr="00E51B00" w:rsidRDefault="00E51B00" w:rsidP="00E51B00">
      <w:pPr>
        <w:spacing w:line="259" w:lineRule="auto"/>
      </w:pPr>
      <w:r w:rsidRPr="00E51B00">
        <w:t>This is particularly critical in the context of NIO’s financial position. Given the firm’s negative ROCE and inefficient capital utilisation identified in Section 2, undertaking investments that fail to meet the cost of capital would further exacerbate value destruction and weaken financial performance.</w:t>
      </w:r>
    </w:p>
    <w:p w14:paraId="3D7D46C2" w14:textId="77777777" w:rsidR="009F3AA7" w:rsidRDefault="009F3AA7" w:rsidP="00E51B00"/>
    <w:p w14:paraId="3B4AC640" w14:textId="5736E1FF" w:rsidR="00E51B00" w:rsidRPr="00E51B00" w:rsidRDefault="00E51B00" w:rsidP="009F3AA7">
      <w:pPr>
        <w:pStyle w:val="Heading2"/>
      </w:pPr>
      <w:bookmarkStart w:id="26" w:name="_Toc227074727"/>
      <w:r w:rsidRPr="00E51B00">
        <w:t>5.5 Profitability Index (PI)</w:t>
      </w:r>
      <w:bookmarkEnd w:id="26"/>
      <w:r w:rsidRPr="00E51B00">
        <w:t xml:space="preserve"> </w:t>
      </w:r>
    </w:p>
    <w:tbl>
      <w:tblPr>
        <w:tblStyle w:val="TableGrid"/>
        <w:tblW w:w="0" w:type="auto"/>
        <w:tblLook w:val="04A0" w:firstRow="1" w:lastRow="0" w:firstColumn="1" w:lastColumn="0" w:noHBand="0" w:noVBand="1"/>
      </w:tblPr>
      <w:tblGrid>
        <w:gridCol w:w="958"/>
        <w:gridCol w:w="636"/>
      </w:tblGrid>
      <w:tr w:rsidR="008D748F" w:rsidRPr="008D748F" w14:paraId="5F91AA54" w14:textId="77777777" w:rsidTr="009F3AA7">
        <w:tc>
          <w:tcPr>
            <w:tcW w:w="0" w:type="auto"/>
            <w:hideMark/>
          </w:tcPr>
          <w:p w14:paraId="2B423B4A" w14:textId="77777777" w:rsidR="008D748F" w:rsidRPr="008D748F" w:rsidRDefault="008D748F" w:rsidP="008D748F">
            <w:pPr>
              <w:spacing w:after="160" w:line="259" w:lineRule="auto"/>
              <w:jc w:val="left"/>
              <w:rPr>
                <w:b/>
                <w:bCs/>
              </w:rPr>
            </w:pPr>
            <w:r w:rsidRPr="008D748F">
              <w:rPr>
                <w:b/>
                <w:bCs/>
              </w:rPr>
              <w:t>Project</w:t>
            </w:r>
          </w:p>
        </w:tc>
        <w:tc>
          <w:tcPr>
            <w:tcW w:w="0" w:type="auto"/>
            <w:hideMark/>
          </w:tcPr>
          <w:p w14:paraId="26E94F3D" w14:textId="77777777" w:rsidR="008D748F" w:rsidRPr="008D748F" w:rsidRDefault="008D748F" w:rsidP="008D748F">
            <w:pPr>
              <w:spacing w:after="160" w:line="259" w:lineRule="auto"/>
              <w:jc w:val="left"/>
              <w:rPr>
                <w:b/>
                <w:bCs/>
              </w:rPr>
            </w:pPr>
            <w:r w:rsidRPr="008D748F">
              <w:rPr>
                <w:b/>
                <w:bCs/>
              </w:rPr>
              <w:t>PI</w:t>
            </w:r>
          </w:p>
        </w:tc>
      </w:tr>
      <w:tr w:rsidR="008D748F" w:rsidRPr="008D748F" w14:paraId="43C5CE8E" w14:textId="77777777" w:rsidTr="009F3AA7">
        <w:tc>
          <w:tcPr>
            <w:tcW w:w="0" w:type="auto"/>
            <w:hideMark/>
          </w:tcPr>
          <w:p w14:paraId="72404A2E" w14:textId="77777777" w:rsidR="008D748F" w:rsidRPr="008D748F" w:rsidRDefault="008D748F" w:rsidP="008D748F">
            <w:pPr>
              <w:spacing w:after="160" w:line="259" w:lineRule="auto"/>
            </w:pPr>
            <w:r w:rsidRPr="008D748F">
              <w:t>A</w:t>
            </w:r>
          </w:p>
        </w:tc>
        <w:tc>
          <w:tcPr>
            <w:tcW w:w="0" w:type="auto"/>
            <w:hideMark/>
          </w:tcPr>
          <w:p w14:paraId="276AB59B" w14:textId="77777777" w:rsidR="008D748F" w:rsidRPr="008D748F" w:rsidRDefault="008D748F" w:rsidP="008D748F">
            <w:pPr>
              <w:spacing w:after="160" w:line="259" w:lineRule="auto"/>
            </w:pPr>
            <w:r w:rsidRPr="008D748F">
              <w:t>0.83</w:t>
            </w:r>
          </w:p>
        </w:tc>
      </w:tr>
      <w:tr w:rsidR="008D748F" w:rsidRPr="008D748F" w14:paraId="0BA68381" w14:textId="77777777" w:rsidTr="009F3AA7">
        <w:tc>
          <w:tcPr>
            <w:tcW w:w="0" w:type="auto"/>
            <w:hideMark/>
          </w:tcPr>
          <w:p w14:paraId="1691EFDC" w14:textId="77777777" w:rsidR="008D748F" w:rsidRPr="008D748F" w:rsidRDefault="008D748F" w:rsidP="008D748F">
            <w:pPr>
              <w:spacing w:after="160" w:line="259" w:lineRule="auto"/>
            </w:pPr>
            <w:r w:rsidRPr="008D748F">
              <w:t>B</w:t>
            </w:r>
          </w:p>
        </w:tc>
        <w:tc>
          <w:tcPr>
            <w:tcW w:w="0" w:type="auto"/>
            <w:hideMark/>
          </w:tcPr>
          <w:p w14:paraId="77AB8F54" w14:textId="77777777" w:rsidR="008D748F" w:rsidRPr="008D748F" w:rsidRDefault="008D748F" w:rsidP="008D748F">
            <w:pPr>
              <w:spacing w:after="160" w:line="259" w:lineRule="auto"/>
            </w:pPr>
            <w:r w:rsidRPr="008D748F">
              <w:t>0.83</w:t>
            </w:r>
          </w:p>
        </w:tc>
      </w:tr>
      <w:tr w:rsidR="008D748F" w:rsidRPr="008D748F" w14:paraId="3CEFAB5D" w14:textId="77777777" w:rsidTr="009F3AA7">
        <w:tc>
          <w:tcPr>
            <w:tcW w:w="0" w:type="auto"/>
            <w:hideMark/>
          </w:tcPr>
          <w:p w14:paraId="0E0F9441" w14:textId="77777777" w:rsidR="008D748F" w:rsidRPr="008D748F" w:rsidRDefault="008D748F" w:rsidP="008D748F">
            <w:pPr>
              <w:spacing w:after="160" w:line="259" w:lineRule="auto"/>
            </w:pPr>
            <w:r w:rsidRPr="008D748F">
              <w:lastRenderedPageBreak/>
              <w:t>C</w:t>
            </w:r>
          </w:p>
        </w:tc>
        <w:tc>
          <w:tcPr>
            <w:tcW w:w="0" w:type="auto"/>
            <w:hideMark/>
          </w:tcPr>
          <w:p w14:paraId="06B7316C" w14:textId="77777777" w:rsidR="008D748F" w:rsidRPr="008D748F" w:rsidRDefault="008D748F" w:rsidP="008D748F">
            <w:pPr>
              <w:spacing w:after="160" w:line="259" w:lineRule="auto"/>
            </w:pPr>
            <w:r w:rsidRPr="008D748F">
              <w:t>0.96</w:t>
            </w:r>
          </w:p>
        </w:tc>
      </w:tr>
    </w:tbl>
    <w:p w14:paraId="0C5F0D4B" w14:textId="77777777" w:rsidR="009F3AA7" w:rsidRDefault="009F3AA7" w:rsidP="00E51B00">
      <w:pPr>
        <w:rPr>
          <w:b/>
          <w:bCs/>
        </w:rPr>
      </w:pPr>
    </w:p>
    <w:p w14:paraId="35B881E9" w14:textId="51C1A18A" w:rsidR="00E51B00" w:rsidRPr="00E51B00" w:rsidRDefault="00E51B00" w:rsidP="00E51B00">
      <w:pPr>
        <w:spacing w:line="259" w:lineRule="auto"/>
      </w:pPr>
      <w:r w:rsidRPr="00E51B00">
        <w:t>All projects have PI values below 1, confirming that they destroy value. Project C has the highest PI, indicating relatively greater efficiency in capital utilisation.</w:t>
      </w:r>
    </w:p>
    <w:p w14:paraId="025C9DD2" w14:textId="77777777" w:rsidR="00E51B00" w:rsidRPr="00E51B00" w:rsidRDefault="00E51B00" w:rsidP="00E51B00">
      <w:pPr>
        <w:spacing w:line="259" w:lineRule="auto"/>
      </w:pPr>
      <w:r w:rsidRPr="00E51B00">
        <w:t>The PI results are consistent with NPV findings, reinforcing the conclusion that none of the projects generate sufficient returns. However, Project C remains the least value-destructive option.</w:t>
      </w:r>
    </w:p>
    <w:p w14:paraId="39641EC9" w14:textId="77777777" w:rsidR="009F3AA7" w:rsidRDefault="009F3AA7" w:rsidP="00E51B00"/>
    <w:p w14:paraId="634416E3" w14:textId="656FBCDF" w:rsidR="00E51B00" w:rsidRPr="00E51B00" w:rsidRDefault="00E51B00" w:rsidP="009F3AA7">
      <w:pPr>
        <w:pStyle w:val="Heading2"/>
      </w:pPr>
      <w:bookmarkStart w:id="27" w:name="_Toc227074728"/>
      <w:r w:rsidRPr="00E51B00">
        <w:t>5.6 Internal Rate of Return (IRR)</w:t>
      </w:r>
      <w:bookmarkEnd w:id="27"/>
      <w:r w:rsidRPr="00E51B00">
        <w:t xml:space="preserve"> </w:t>
      </w:r>
    </w:p>
    <w:tbl>
      <w:tblPr>
        <w:tblStyle w:val="TableGrid"/>
        <w:tblW w:w="0" w:type="auto"/>
        <w:tblLook w:val="04A0" w:firstRow="1" w:lastRow="0" w:firstColumn="1" w:lastColumn="0" w:noHBand="0" w:noVBand="1"/>
      </w:tblPr>
      <w:tblGrid>
        <w:gridCol w:w="958"/>
        <w:gridCol w:w="716"/>
      </w:tblGrid>
      <w:tr w:rsidR="008D748F" w:rsidRPr="008D748F" w14:paraId="7A4A8D86" w14:textId="77777777" w:rsidTr="009F3AA7">
        <w:tc>
          <w:tcPr>
            <w:tcW w:w="0" w:type="auto"/>
            <w:hideMark/>
          </w:tcPr>
          <w:p w14:paraId="3C9D04E5" w14:textId="77777777" w:rsidR="008D748F" w:rsidRPr="008D748F" w:rsidRDefault="008D748F" w:rsidP="008D748F">
            <w:pPr>
              <w:spacing w:after="160" w:line="259" w:lineRule="auto"/>
              <w:jc w:val="left"/>
              <w:rPr>
                <w:b/>
                <w:bCs/>
              </w:rPr>
            </w:pPr>
            <w:r w:rsidRPr="008D748F">
              <w:rPr>
                <w:b/>
                <w:bCs/>
              </w:rPr>
              <w:t>Project</w:t>
            </w:r>
          </w:p>
        </w:tc>
        <w:tc>
          <w:tcPr>
            <w:tcW w:w="0" w:type="auto"/>
            <w:hideMark/>
          </w:tcPr>
          <w:p w14:paraId="6ED19B95" w14:textId="77777777" w:rsidR="008D748F" w:rsidRPr="008D748F" w:rsidRDefault="008D748F" w:rsidP="008D748F">
            <w:pPr>
              <w:spacing w:after="160" w:line="259" w:lineRule="auto"/>
              <w:jc w:val="left"/>
              <w:rPr>
                <w:b/>
                <w:bCs/>
              </w:rPr>
            </w:pPr>
            <w:r w:rsidRPr="008D748F">
              <w:rPr>
                <w:b/>
                <w:bCs/>
              </w:rPr>
              <w:t>IRR</w:t>
            </w:r>
          </w:p>
        </w:tc>
      </w:tr>
      <w:tr w:rsidR="008D748F" w:rsidRPr="008D748F" w14:paraId="648F8920" w14:textId="77777777" w:rsidTr="009F3AA7">
        <w:tc>
          <w:tcPr>
            <w:tcW w:w="0" w:type="auto"/>
            <w:hideMark/>
          </w:tcPr>
          <w:p w14:paraId="19244B30" w14:textId="77777777" w:rsidR="008D748F" w:rsidRPr="008D748F" w:rsidRDefault="008D748F" w:rsidP="008D748F">
            <w:pPr>
              <w:spacing w:after="160" w:line="259" w:lineRule="auto"/>
            </w:pPr>
            <w:r w:rsidRPr="008D748F">
              <w:t>A</w:t>
            </w:r>
          </w:p>
        </w:tc>
        <w:tc>
          <w:tcPr>
            <w:tcW w:w="0" w:type="auto"/>
            <w:hideMark/>
          </w:tcPr>
          <w:p w14:paraId="20652D82" w14:textId="6E003899" w:rsidR="008D748F" w:rsidRPr="008D748F" w:rsidRDefault="008D748F" w:rsidP="008D748F">
            <w:pPr>
              <w:spacing w:after="160" w:line="259" w:lineRule="auto"/>
            </w:pPr>
            <w:r w:rsidRPr="008D748F">
              <w:t>6%</w:t>
            </w:r>
          </w:p>
        </w:tc>
      </w:tr>
      <w:tr w:rsidR="008D748F" w:rsidRPr="008D748F" w14:paraId="770575F7" w14:textId="77777777" w:rsidTr="009F3AA7">
        <w:tc>
          <w:tcPr>
            <w:tcW w:w="0" w:type="auto"/>
            <w:hideMark/>
          </w:tcPr>
          <w:p w14:paraId="718C739A" w14:textId="77777777" w:rsidR="008D748F" w:rsidRPr="008D748F" w:rsidRDefault="008D748F" w:rsidP="008D748F">
            <w:pPr>
              <w:spacing w:after="160" w:line="259" w:lineRule="auto"/>
            </w:pPr>
            <w:r w:rsidRPr="008D748F">
              <w:t>B</w:t>
            </w:r>
          </w:p>
        </w:tc>
        <w:tc>
          <w:tcPr>
            <w:tcW w:w="0" w:type="auto"/>
            <w:hideMark/>
          </w:tcPr>
          <w:p w14:paraId="343BD920" w14:textId="6C834C64" w:rsidR="008D748F" w:rsidRPr="008D748F" w:rsidRDefault="008D748F" w:rsidP="008D748F">
            <w:pPr>
              <w:spacing w:after="160" w:line="259" w:lineRule="auto"/>
            </w:pPr>
            <w:r w:rsidRPr="008D748F">
              <w:t>6.5%</w:t>
            </w:r>
          </w:p>
        </w:tc>
      </w:tr>
      <w:tr w:rsidR="008D748F" w:rsidRPr="008D748F" w14:paraId="2F2D8B80" w14:textId="77777777" w:rsidTr="009F3AA7">
        <w:tc>
          <w:tcPr>
            <w:tcW w:w="0" w:type="auto"/>
            <w:hideMark/>
          </w:tcPr>
          <w:p w14:paraId="278B80AA" w14:textId="77777777" w:rsidR="008D748F" w:rsidRPr="008D748F" w:rsidRDefault="008D748F" w:rsidP="008D748F">
            <w:pPr>
              <w:spacing w:after="160" w:line="259" w:lineRule="auto"/>
            </w:pPr>
            <w:r w:rsidRPr="008D748F">
              <w:t>C</w:t>
            </w:r>
          </w:p>
        </w:tc>
        <w:tc>
          <w:tcPr>
            <w:tcW w:w="0" w:type="auto"/>
            <w:hideMark/>
          </w:tcPr>
          <w:p w14:paraId="2DD3BE05" w14:textId="04167A7D" w:rsidR="008D748F" w:rsidRPr="008D748F" w:rsidRDefault="008D748F" w:rsidP="008D748F">
            <w:pPr>
              <w:spacing w:after="160" w:line="259" w:lineRule="auto"/>
            </w:pPr>
            <w:r w:rsidRPr="008D748F">
              <w:t>9%</w:t>
            </w:r>
          </w:p>
        </w:tc>
      </w:tr>
    </w:tbl>
    <w:p w14:paraId="3FD44A48" w14:textId="77777777" w:rsidR="009F3AA7" w:rsidRDefault="009F3AA7" w:rsidP="00E51B00"/>
    <w:p w14:paraId="4A5613D2" w14:textId="77777777" w:rsidR="009F3AA7" w:rsidRDefault="009F3AA7" w:rsidP="009F3AA7">
      <w:r>
        <w:t>All projects have IRRs that are much lower than the required project rate of return of 10% which proves that these investments are not paying off enough to cover their risk.</w:t>
      </w:r>
    </w:p>
    <w:p w14:paraId="63434BDC" w14:textId="77777777" w:rsidR="009F3AA7" w:rsidRDefault="009F3AA7" w:rsidP="009F3AA7">
      <w:r>
        <w:t>Project C is once again doing relatively better, with the highest IRR of the three. The difference between IRR and the required return however shows that all projects are not economically appealing.</w:t>
      </w:r>
    </w:p>
    <w:p w14:paraId="27C21855" w14:textId="77777777" w:rsidR="009F3AA7" w:rsidRDefault="009F3AA7" w:rsidP="009F3AA7">
      <w:r>
        <w:t>The similarity of IRR and NPV outcomes enhances the accuracy of the appraisal because both tools show that all the projects are rejected according to the value creation criteria.</w:t>
      </w:r>
    </w:p>
    <w:p w14:paraId="5C2C2D73" w14:textId="77777777" w:rsidR="009F3AA7" w:rsidRDefault="009F3AA7" w:rsidP="009F3AA7"/>
    <w:p w14:paraId="25D873F0" w14:textId="77777777" w:rsidR="009F3AA7" w:rsidRDefault="009F3AA7" w:rsidP="009F3AA7">
      <w:pPr>
        <w:pStyle w:val="Heading2"/>
      </w:pPr>
      <w:bookmarkStart w:id="28" w:name="_Toc227074729"/>
      <w:r>
        <w:t>5.7 Integrated Decision and Justification</w:t>
      </w:r>
      <w:bookmarkEnd w:id="28"/>
      <w:r>
        <w:t xml:space="preserve"> </w:t>
      </w:r>
    </w:p>
    <w:p w14:paraId="7BE48BE3" w14:textId="77777777" w:rsidR="009F3AA7" w:rsidRDefault="009F3AA7" w:rsidP="009F3AA7">
      <w:r>
        <w:t>The fact that the Project C has been ranked consistently using all the appraisal techniques increases the accuracy of the decision made, which means that it is the most financially viable decision of the three.</w:t>
      </w:r>
    </w:p>
    <w:p w14:paraId="09D76B2B" w14:textId="77777777" w:rsidR="009F3AA7" w:rsidRDefault="009F3AA7" w:rsidP="009F3AA7">
      <w:r>
        <w:t>But based on strict financial calculation, all projects are to be rejected. This negative NPV, PI of less than 1, and IRR less than the required return all imply that these investments would decrease shareholder value.</w:t>
      </w:r>
    </w:p>
    <w:p w14:paraId="28371316" w14:textId="77777777" w:rsidR="009F3AA7" w:rsidRDefault="009F3AA7" w:rsidP="009F3AA7">
      <w:r>
        <w:t>Considering the current financial status of NIO, with negative ROCE and a high leverage, the implementation of negative NPV projects would further deteriorate financial sustainability.</w:t>
      </w:r>
    </w:p>
    <w:p w14:paraId="63E3EAE3" w14:textId="77777777" w:rsidR="009F3AA7" w:rsidRDefault="009F3AA7" w:rsidP="009F3AA7">
      <w:r>
        <w:t>Although project C is the least value-destructive project, the negative NPV of all projects indicates that in terms of value maximisation, none of the projects should be accepted unless cash flows can be enhanced or the cost of capital can be minimised.</w:t>
      </w:r>
    </w:p>
    <w:p w14:paraId="39B6F3A3" w14:textId="77777777" w:rsidR="009F3AA7" w:rsidRDefault="009F3AA7" w:rsidP="009F3AA7">
      <w:r>
        <w:t xml:space="preserve">Despite the fact that Project C is the least value-destructive choice, the fact to take a negative NPV project would have gone against the basic principle of maximising shareholder wealth. In reality, however, companies can still make such investments, in case they create strategic benefits that are not reflected in financial models, i.e. technological development or </w:t>
      </w:r>
      <w:r>
        <w:lastRenderedPageBreak/>
        <w:t xml:space="preserve">positioning. Thus, all the projects must be rejected based on purely financial reasons, but Project C may be taken conditionally on the position of the long-term strategic purposes. </w:t>
      </w:r>
    </w:p>
    <w:p w14:paraId="3AAD80A4" w14:textId="77777777" w:rsidR="009F3AA7" w:rsidRDefault="009F3AA7" w:rsidP="009F3AA7">
      <w:r>
        <w:t>This underlines the shortcoming of using only quantitative methods in capital budgeting decisions (Brealey et al., 2023).</w:t>
      </w:r>
    </w:p>
    <w:p w14:paraId="2D2CF7E9" w14:textId="77777777" w:rsidR="009F3AA7" w:rsidRDefault="009F3AA7" w:rsidP="009F3AA7">
      <w:r>
        <w:t>It must also be noted that this analysis is also limited, especially the cash flows that are projected and a constant discount rate. In practice, market conditions, technological disruption and macroeconomic factors uncertain conditions can drastically change the project outcomes. Thus, although the quantitative findings offer an orderly framework to make a decision, they need to be explained in conjunction with strategic judgement and analysis of scenarios.</w:t>
      </w:r>
    </w:p>
    <w:p w14:paraId="312F6170" w14:textId="77777777" w:rsidR="009F3AA7" w:rsidRDefault="009F3AA7" w:rsidP="009F3AA7"/>
    <w:p w14:paraId="01B9DD95" w14:textId="77777777" w:rsidR="009F3AA7" w:rsidRDefault="009F3AA7" w:rsidP="009F3AA7">
      <w:pPr>
        <w:pStyle w:val="Heading2"/>
      </w:pPr>
      <w:bookmarkStart w:id="29" w:name="_Toc227074730"/>
      <w:r>
        <w:t>5.8 Capital Rationing</w:t>
      </w:r>
      <w:bookmarkEnd w:id="29"/>
      <w:r>
        <w:t xml:space="preserve"> </w:t>
      </w:r>
    </w:p>
    <w:p w14:paraId="52765314" w14:textId="77777777" w:rsidR="009F3AA7" w:rsidRDefault="009F3AA7" w:rsidP="009F3AA7">
      <w:r>
        <w:t>Project C would be the comparatively preferable project considering a capital constraint of £100 million. Nevertheless, since it has a negative NPV, the most financially optimal choice would be to abandon all projects unless the revised projections enhance their value-creating potential.</w:t>
      </w:r>
    </w:p>
    <w:p w14:paraId="1137F82B" w14:textId="77777777" w:rsidR="009F3AA7" w:rsidRDefault="009F3AA7" w:rsidP="009F3AA7"/>
    <w:p w14:paraId="205DF7B8" w14:textId="77777777" w:rsidR="009F3AA7" w:rsidRDefault="009F3AA7" w:rsidP="009F3AA7">
      <w:pPr>
        <w:pStyle w:val="Heading1"/>
      </w:pPr>
      <w:bookmarkStart w:id="30" w:name="_Toc227074731"/>
      <w:r>
        <w:t>6. Conclusion</w:t>
      </w:r>
      <w:bookmarkEnd w:id="30"/>
    </w:p>
    <w:p w14:paraId="4FF502F8" w14:textId="77777777" w:rsidR="009F3AA7" w:rsidRDefault="009F3AA7" w:rsidP="009F3AA7">
      <w:r>
        <w:t>This report critically analyzed the financial performance of NIO Inc. in the years 20202024 and found an underlying conflict between growth and financial sustainability. The company is still showing the signs of continuous negative profitability, inefficient capital use and rising financial leverage, despite significant revenue growth, which means that it has not been creating economic value with growth.</w:t>
      </w:r>
    </w:p>
    <w:p w14:paraId="057FB59F" w14:textId="77777777" w:rsidR="009F3AA7" w:rsidRDefault="009F3AA7" w:rsidP="009F3AA7">
      <w:r>
        <w:t>The discussion shows that NIO financial problems are structural as opposed to cyclical. A decreasing margin, a long cash conversion cycle and an increasing reliance on external financing all suggest that the current operating model of the firm is not financially viable as it stands. The aggressive growth has been beneficial in terms of market positioning but it has also exposed the company to heightened financial risk, thus necessitating a strategic realignment.</w:t>
      </w:r>
    </w:p>
    <w:p w14:paraId="0F6739DB" w14:textId="77777777" w:rsidR="009F3AA7" w:rsidRDefault="009F3AA7" w:rsidP="009F3AA7">
      <w:r>
        <w:t>The restructuring measures such as cost rationalisation, asset optimisation, and rebalancing of capital structure are meant to restore financial discipline, but retain strategic competitiveness. These strategies should however be put in place in a manner that does not compromise on innovation and potential long term growth. This is where the key issue of NIO lies: how to strike the balance between financial stability and ambition.</w:t>
      </w:r>
    </w:p>
    <w:p w14:paraId="062336AB" w14:textId="77777777" w:rsidR="009F3AA7" w:rsidRDefault="009F3AA7" w:rsidP="009F3AA7">
      <w:r>
        <w:t>Moreover, the investment appraisal shows that all the proposed projects are not worthwhile as they have negative NPVs, therefore, capital discipline is vital. Value-destructive investments would create additional weaknesses in financial performance in a negative ROCE and high leverage environment. Thus, positive value creation and alignment to the cost of capital of the firm should be prioritised in the future investment decision. This supports the significance of strategic ambition in marrying to financial discipline to gain sustainable competitive advantage.</w:t>
      </w:r>
    </w:p>
    <w:p w14:paraId="5F6688C2" w14:textId="0FF4E2C4" w:rsidR="001F5D24" w:rsidRDefault="009F3AA7" w:rsidP="009F3AA7">
      <w:r>
        <w:t xml:space="preserve">To conclude, although NIO has a great expansion potential in a fast growing industry, its long-term success will hinge on its capacity to shift its expansion-driven growth to financially disciplined value creation. The absence of such a transition can lead to further growth not being conducive to competitive advantage, but to further value destruction. Finally, it is not that NIO </w:t>
      </w:r>
      <w:r>
        <w:lastRenderedPageBreak/>
        <w:t>is not growing, but that it is unable to translate growth into economic value, which is what sets high-growth firms and high-performance firms apart.</w:t>
      </w:r>
    </w:p>
    <w:p w14:paraId="018C500D" w14:textId="77777777" w:rsidR="009F3AA7" w:rsidRDefault="009F3AA7" w:rsidP="001F5D24"/>
    <w:p w14:paraId="1B6DA6E2" w14:textId="77777777" w:rsidR="009F3AA7" w:rsidRDefault="009F3AA7" w:rsidP="001F5D24"/>
    <w:p w14:paraId="4D045CFE" w14:textId="7EE7BDEA" w:rsidR="009F3AA7" w:rsidRDefault="009F3AA7" w:rsidP="009F3AA7">
      <w:pPr>
        <w:pStyle w:val="Heading1"/>
      </w:pPr>
      <w:bookmarkStart w:id="31" w:name="_Toc227074732"/>
      <w:r>
        <w:t>References</w:t>
      </w:r>
      <w:bookmarkEnd w:id="31"/>
    </w:p>
    <w:p w14:paraId="26DFE11E" w14:textId="77777777" w:rsidR="009F3AA7" w:rsidRPr="009F3AA7" w:rsidRDefault="009F3AA7" w:rsidP="009F3AA7">
      <w:pPr>
        <w:spacing w:line="259" w:lineRule="auto"/>
      </w:pPr>
      <w:r w:rsidRPr="009F3AA7">
        <w:t xml:space="preserve">NIO Inc. (2025) </w:t>
      </w:r>
      <w:r w:rsidRPr="009F3AA7">
        <w:rPr>
          <w:i/>
          <w:iCs/>
        </w:rPr>
        <w:t>Annual Report 2024</w:t>
      </w:r>
      <w:r w:rsidRPr="009F3AA7">
        <w:t>. Available at: NIO Investor Relations.</w:t>
      </w:r>
    </w:p>
    <w:p w14:paraId="75CBF704" w14:textId="77777777" w:rsidR="009F3AA7" w:rsidRPr="009F3AA7" w:rsidRDefault="009F3AA7" w:rsidP="009F3AA7">
      <w:pPr>
        <w:spacing w:line="259" w:lineRule="auto"/>
      </w:pPr>
      <w:r w:rsidRPr="009F3AA7">
        <w:t xml:space="preserve">NIO Inc. (2024) </w:t>
      </w:r>
      <w:r w:rsidRPr="009F3AA7">
        <w:rPr>
          <w:i/>
          <w:iCs/>
        </w:rPr>
        <w:t>Annual Report 2023</w:t>
      </w:r>
      <w:r w:rsidRPr="009F3AA7">
        <w:t>. Available at: SEC filings.</w:t>
      </w:r>
    </w:p>
    <w:p w14:paraId="2CD03A5B" w14:textId="77777777" w:rsidR="009F3AA7" w:rsidRPr="009F3AA7" w:rsidRDefault="009F3AA7" w:rsidP="009F3AA7">
      <w:pPr>
        <w:spacing w:line="259" w:lineRule="auto"/>
      </w:pPr>
      <w:r w:rsidRPr="009F3AA7">
        <w:t xml:space="preserve">Sheng, Z. (2026) </w:t>
      </w:r>
      <w:r w:rsidRPr="009F3AA7">
        <w:rPr>
          <w:i/>
          <w:iCs/>
        </w:rPr>
        <w:t>Research on NIO’s strategic layout and development path</w:t>
      </w:r>
      <w:r w:rsidRPr="009F3AA7">
        <w:t>.</w:t>
      </w:r>
    </w:p>
    <w:p w14:paraId="4B5B9019" w14:textId="77777777" w:rsidR="009F3AA7" w:rsidRPr="009F3AA7" w:rsidRDefault="009F3AA7" w:rsidP="009F3AA7">
      <w:pPr>
        <w:spacing w:line="259" w:lineRule="auto"/>
      </w:pPr>
      <w:r w:rsidRPr="009F3AA7">
        <w:t>Thomas, X. (2024) ‘Financial performance analysis of NIO using DuPont method’.</w:t>
      </w:r>
    </w:p>
    <w:p w14:paraId="12B3DD29" w14:textId="77777777" w:rsidR="009F3AA7" w:rsidRPr="009F3AA7" w:rsidRDefault="009F3AA7" w:rsidP="009F3AA7">
      <w:pPr>
        <w:spacing w:line="259" w:lineRule="auto"/>
      </w:pPr>
      <w:r w:rsidRPr="009F3AA7">
        <w:t xml:space="preserve">Pisano, A. (2023) ‘A critical review of NIO’s business model’, </w:t>
      </w:r>
      <w:r w:rsidRPr="009F3AA7">
        <w:rPr>
          <w:i/>
          <w:iCs/>
        </w:rPr>
        <w:t>MDPI</w:t>
      </w:r>
      <w:r w:rsidRPr="009F3AA7">
        <w:t>.</w:t>
      </w:r>
    </w:p>
    <w:p w14:paraId="465FF860" w14:textId="77777777" w:rsidR="009F3AA7" w:rsidRPr="009F3AA7" w:rsidRDefault="009F3AA7" w:rsidP="009F3AA7">
      <w:pPr>
        <w:spacing w:line="259" w:lineRule="auto"/>
      </w:pPr>
      <w:r w:rsidRPr="009F3AA7">
        <w:t xml:space="preserve">International Energy Agency (IEA) (2024) </w:t>
      </w:r>
      <w:r w:rsidRPr="009F3AA7">
        <w:rPr>
          <w:i/>
          <w:iCs/>
        </w:rPr>
        <w:t>Global EV Outlook 2024</w:t>
      </w:r>
      <w:r w:rsidRPr="009F3AA7">
        <w:t>.</w:t>
      </w:r>
    </w:p>
    <w:p w14:paraId="6AC8566F" w14:textId="77777777" w:rsidR="009F3AA7" w:rsidRPr="009F3AA7" w:rsidRDefault="009F3AA7" w:rsidP="009F3AA7">
      <w:pPr>
        <w:spacing w:line="259" w:lineRule="auto"/>
      </w:pPr>
      <w:r w:rsidRPr="009F3AA7">
        <w:t xml:space="preserve">Tian, J. (2024) </w:t>
      </w:r>
      <w:r w:rsidRPr="009F3AA7">
        <w:rPr>
          <w:i/>
          <w:iCs/>
        </w:rPr>
        <w:t>Overview of Chinese new energy vehicle industry</w:t>
      </w:r>
      <w:r w:rsidRPr="009F3AA7">
        <w:t>. Elsevier.</w:t>
      </w:r>
    </w:p>
    <w:p w14:paraId="22A8DF2E" w14:textId="77777777" w:rsidR="009F3AA7" w:rsidRPr="009F3AA7" w:rsidRDefault="009F3AA7" w:rsidP="009F3AA7">
      <w:pPr>
        <w:spacing w:line="259" w:lineRule="auto"/>
      </w:pPr>
      <w:r w:rsidRPr="009F3AA7">
        <w:t>Katterbauer, K. (2025) ‘Financial performance of Chinese EV companies’.</w:t>
      </w:r>
    </w:p>
    <w:p w14:paraId="4386AF1E" w14:textId="77777777" w:rsidR="009F3AA7" w:rsidRPr="009F3AA7" w:rsidRDefault="009F3AA7" w:rsidP="009F3AA7">
      <w:pPr>
        <w:spacing w:line="259" w:lineRule="auto"/>
      </w:pPr>
      <w:r w:rsidRPr="009F3AA7">
        <w:t>IJNRD (2025) ‘Comparative study of Tesla, BYD and NIO’.</w:t>
      </w:r>
    </w:p>
    <w:p w14:paraId="20F8EFB6" w14:textId="77777777" w:rsidR="009F3AA7" w:rsidRPr="009F3AA7" w:rsidRDefault="009F3AA7" w:rsidP="009F3AA7">
      <w:pPr>
        <w:spacing w:line="259" w:lineRule="auto"/>
      </w:pPr>
      <w:r w:rsidRPr="009F3AA7">
        <w:t xml:space="preserve">NITI Aayog (2025) </w:t>
      </w:r>
      <w:r w:rsidRPr="009F3AA7">
        <w:rPr>
          <w:i/>
          <w:iCs/>
        </w:rPr>
        <w:t>Electric vehicles industry report</w:t>
      </w:r>
      <w:r w:rsidRPr="009F3AA7">
        <w:t>.</w:t>
      </w:r>
    </w:p>
    <w:p w14:paraId="4AC9190A" w14:textId="77777777" w:rsidR="009F3AA7" w:rsidRPr="009F3AA7" w:rsidRDefault="009F3AA7" w:rsidP="009F3AA7">
      <w:pPr>
        <w:spacing w:line="259" w:lineRule="auto"/>
      </w:pPr>
      <w:r w:rsidRPr="009F3AA7">
        <w:t>Kruglov, P. and Shaw, C. (2024) ‘Financial performance and innovation’.</w:t>
      </w:r>
    </w:p>
    <w:p w14:paraId="1FD2658F" w14:textId="77777777" w:rsidR="009F3AA7" w:rsidRPr="009F3AA7" w:rsidRDefault="009F3AA7" w:rsidP="009F3AA7">
      <w:pPr>
        <w:spacing w:line="259" w:lineRule="auto"/>
      </w:pPr>
      <w:r w:rsidRPr="009F3AA7">
        <w:t>Wu, Y. (2024) ‘ESG and corporate financial performance’.</w:t>
      </w:r>
    </w:p>
    <w:p w14:paraId="658ED904" w14:textId="77777777" w:rsidR="009F3AA7" w:rsidRPr="009F3AA7" w:rsidRDefault="009F3AA7" w:rsidP="009F3AA7">
      <w:pPr>
        <w:spacing w:line="259" w:lineRule="auto"/>
      </w:pPr>
      <w:r w:rsidRPr="009F3AA7">
        <w:t xml:space="preserve">Narisetty, V. </w:t>
      </w:r>
      <w:r w:rsidRPr="009F3AA7">
        <w:rPr>
          <w:i/>
          <w:iCs/>
        </w:rPr>
        <w:t>et al.</w:t>
      </w:r>
      <w:r w:rsidRPr="009F3AA7">
        <w:t xml:space="preserve"> (2024) ‘EV battery innovation and sustainability’.</w:t>
      </w:r>
    </w:p>
    <w:p w14:paraId="146F1193" w14:textId="77777777" w:rsidR="009F3AA7" w:rsidRPr="009F3AA7" w:rsidRDefault="009F3AA7" w:rsidP="009F3AA7">
      <w:pPr>
        <w:spacing w:line="259" w:lineRule="auto"/>
      </w:pPr>
      <w:r w:rsidRPr="009F3AA7">
        <w:t>Reuters (2024) ‘NIO sales growth and profitability challenges’.</w:t>
      </w:r>
    </w:p>
    <w:p w14:paraId="0401FD29" w14:textId="77777777" w:rsidR="009F3AA7" w:rsidRPr="009F3AA7" w:rsidRDefault="009F3AA7" w:rsidP="009F3AA7">
      <w:pPr>
        <w:spacing w:line="259" w:lineRule="auto"/>
      </w:pPr>
      <w:r w:rsidRPr="009F3AA7">
        <w:t>Wall Street Journal (2025) ‘NIO financial performance and profit trends’.</w:t>
      </w:r>
    </w:p>
    <w:p w14:paraId="5B59CFAE" w14:textId="77777777" w:rsidR="009F3AA7" w:rsidRPr="009F3AA7" w:rsidRDefault="009F3AA7" w:rsidP="009F3AA7">
      <w:pPr>
        <w:spacing w:line="259" w:lineRule="auto"/>
      </w:pPr>
      <w:r w:rsidRPr="009F3AA7">
        <w:t>Wall Street Journal (2024) ‘NIO losses and pricing pressure’.</w:t>
      </w:r>
    </w:p>
    <w:p w14:paraId="1F81327C" w14:textId="77777777" w:rsidR="009F3AA7" w:rsidRPr="009F3AA7" w:rsidRDefault="009F3AA7" w:rsidP="009F3AA7">
      <w:pPr>
        <w:spacing w:line="259" w:lineRule="auto"/>
      </w:pPr>
      <w:r w:rsidRPr="009F3AA7">
        <w:t>Business Insider (2024) ‘Chinese EV market competition and losses’.</w:t>
      </w:r>
    </w:p>
    <w:p w14:paraId="06C915BD" w14:textId="3D1CD70A" w:rsidR="009F3AA7" w:rsidRPr="009F3AA7" w:rsidRDefault="009F3AA7" w:rsidP="009F3AA7">
      <w:pPr>
        <w:spacing w:line="259" w:lineRule="auto"/>
      </w:pPr>
      <w:r w:rsidRPr="009F3AA7">
        <w:t>Barron’s (2024) ‘NIO investment and capital injection’.</w:t>
      </w:r>
    </w:p>
    <w:p w14:paraId="6B53A915" w14:textId="77777777" w:rsidR="009F3AA7" w:rsidRPr="009F3AA7" w:rsidRDefault="009F3AA7" w:rsidP="009F3AA7">
      <w:pPr>
        <w:spacing w:line="259" w:lineRule="auto"/>
      </w:pPr>
      <w:r w:rsidRPr="009F3AA7">
        <w:t xml:space="preserve">Brealey, R., Myers, S. and Allen, F. (2023) </w:t>
      </w:r>
      <w:r w:rsidRPr="009F3AA7">
        <w:rPr>
          <w:i/>
          <w:iCs/>
        </w:rPr>
        <w:t>Principles of corporate finance</w:t>
      </w:r>
      <w:r w:rsidRPr="009F3AA7">
        <w:t>.</w:t>
      </w:r>
    </w:p>
    <w:p w14:paraId="038A7807" w14:textId="77777777" w:rsidR="009F3AA7" w:rsidRPr="009F3AA7" w:rsidRDefault="009F3AA7" w:rsidP="009F3AA7">
      <w:pPr>
        <w:spacing w:line="259" w:lineRule="auto"/>
      </w:pPr>
      <w:r w:rsidRPr="009F3AA7">
        <w:t xml:space="preserve">Atrill, P. (2023) </w:t>
      </w:r>
      <w:r w:rsidRPr="009F3AA7">
        <w:rPr>
          <w:i/>
          <w:iCs/>
        </w:rPr>
        <w:t>Financial management for decision makers</w:t>
      </w:r>
      <w:r w:rsidRPr="009F3AA7">
        <w:t>.</w:t>
      </w:r>
    </w:p>
    <w:p w14:paraId="3F040A32" w14:textId="77777777" w:rsidR="009F3AA7" w:rsidRPr="001F5D24" w:rsidRDefault="009F3AA7" w:rsidP="001F5D24">
      <w:pPr>
        <w:spacing w:line="259" w:lineRule="auto"/>
      </w:pPr>
    </w:p>
    <w:p w14:paraId="4CF0BF60" w14:textId="53145DB0" w:rsidR="006B01C2" w:rsidRDefault="006B01C2"/>
    <w:sectPr w:rsidR="006B01C2" w:rsidSect="009F3AA7">
      <w:footerReference w:type="default" r:id="rId9"/>
      <w:footerReference w:type="first" r:id="rId1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B13D1" w14:textId="77777777" w:rsidR="00D85BD9" w:rsidRDefault="00D85BD9" w:rsidP="009F3AA7">
      <w:pPr>
        <w:spacing w:after="0"/>
      </w:pPr>
      <w:r>
        <w:separator/>
      </w:r>
    </w:p>
  </w:endnote>
  <w:endnote w:type="continuationSeparator" w:id="0">
    <w:p w14:paraId="1D066A11" w14:textId="77777777" w:rsidR="00D85BD9" w:rsidRDefault="00D85BD9" w:rsidP="009F3A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051381001"/>
      <w:docPartObj>
        <w:docPartGallery w:val="Page Numbers (Bottom of Page)"/>
        <w:docPartUnique/>
      </w:docPartObj>
    </w:sdtPr>
    <w:sdtEndPr>
      <w:rPr>
        <w:noProof/>
        <w:color w:val="7F7F7F" w:themeColor="background1" w:themeShade="7F"/>
        <w:spacing w:val="60"/>
      </w:rPr>
    </w:sdtEndPr>
    <w:sdtContent>
      <w:p w14:paraId="3AB335F0" w14:textId="77777777" w:rsidR="009F3AA7" w:rsidRDefault="009F3AA7">
        <w:pPr>
          <w:pStyle w:val="Footer"/>
          <w:pBdr>
            <w:top w:val="single" w:sz="4" w:space="1" w:color="D9D9D9" w:themeColor="background1" w:themeShade="D9"/>
          </w:pBdr>
          <w:rPr>
            <w:b/>
            <w:bCs/>
          </w:rPr>
        </w:pPr>
        <w:r>
          <w:rPr>
            <w:noProof w:val="0"/>
          </w:rPr>
          <w:fldChar w:fldCharType="begin"/>
        </w:r>
        <w:r>
          <w:instrText xml:space="preserve"> PAGE   \* MERGEFORMAT </w:instrText>
        </w:r>
        <w:r>
          <w:rPr>
            <w:noProof w:val="0"/>
          </w:rP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828F94E" w14:textId="77777777" w:rsidR="009F3AA7" w:rsidRDefault="009F3A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539855172"/>
      <w:docPartObj>
        <w:docPartGallery w:val="Page Numbers (Bottom of Page)"/>
        <w:docPartUnique/>
      </w:docPartObj>
    </w:sdtPr>
    <w:sdtEndPr>
      <w:rPr>
        <w:noProof/>
        <w:color w:val="7F7F7F" w:themeColor="background1" w:themeShade="7F"/>
        <w:spacing w:val="60"/>
      </w:rPr>
    </w:sdtEndPr>
    <w:sdtContent>
      <w:p w14:paraId="2D532177" w14:textId="301EEFDA" w:rsidR="009F3AA7" w:rsidRDefault="009F3AA7">
        <w:pPr>
          <w:pStyle w:val="Footer"/>
          <w:pBdr>
            <w:top w:val="single" w:sz="4" w:space="1" w:color="D9D9D9" w:themeColor="background1" w:themeShade="D9"/>
          </w:pBdr>
          <w:rPr>
            <w:b/>
            <w:bCs/>
          </w:rPr>
        </w:pPr>
        <w:r>
          <w:rPr>
            <w:noProof w:val="0"/>
          </w:rPr>
          <w:fldChar w:fldCharType="begin"/>
        </w:r>
        <w:r>
          <w:instrText xml:space="preserve"> PAGE   \* MERGEFORMAT </w:instrText>
        </w:r>
        <w:r>
          <w:rPr>
            <w:noProof w:val="0"/>
          </w:rP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6417A617" w14:textId="77777777" w:rsidR="009F3AA7" w:rsidRDefault="009F3A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34188" w14:textId="77777777" w:rsidR="00D85BD9" w:rsidRDefault="00D85BD9" w:rsidP="009F3AA7">
      <w:pPr>
        <w:spacing w:after="0"/>
      </w:pPr>
      <w:r>
        <w:separator/>
      </w:r>
    </w:p>
  </w:footnote>
  <w:footnote w:type="continuationSeparator" w:id="0">
    <w:p w14:paraId="4E56E314" w14:textId="77777777" w:rsidR="00D85BD9" w:rsidRDefault="00D85BD9" w:rsidP="009F3AA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70857"/>
    <w:multiLevelType w:val="multilevel"/>
    <w:tmpl w:val="46CC8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8B4FC5"/>
    <w:multiLevelType w:val="multilevel"/>
    <w:tmpl w:val="E4145C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C732A8"/>
    <w:multiLevelType w:val="multilevel"/>
    <w:tmpl w:val="2EBC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994D79"/>
    <w:multiLevelType w:val="multilevel"/>
    <w:tmpl w:val="B412C1A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43772D"/>
    <w:multiLevelType w:val="multilevel"/>
    <w:tmpl w:val="AAD6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4F2822"/>
    <w:multiLevelType w:val="multilevel"/>
    <w:tmpl w:val="C764C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330E18"/>
    <w:multiLevelType w:val="multilevel"/>
    <w:tmpl w:val="C0D42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6B3F6A"/>
    <w:multiLevelType w:val="multilevel"/>
    <w:tmpl w:val="2F92716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2618A4"/>
    <w:multiLevelType w:val="multilevel"/>
    <w:tmpl w:val="E800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97597F"/>
    <w:multiLevelType w:val="multilevel"/>
    <w:tmpl w:val="3E06E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3217DC"/>
    <w:multiLevelType w:val="multilevel"/>
    <w:tmpl w:val="EE000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062CA7"/>
    <w:multiLevelType w:val="multilevel"/>
    <w:tmpl w:val="862E0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4745DD"/>
    <w:multiLevelType w:val="multilevel"/>
    <w:tmpl w:val="EADA3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867D84"/>
    <w:multiLevelType w:val="multilevel"/>
    <w:tmpl w:val="11461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A92FD3"/>
    <w:multiLevelType w:val="multilevel"/>
    <w:tmpl w:val="CF00D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3675BA"/>
    <w:multiLevelType w:val="multilevel"/>
    <w:tmpl w:val="7028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1609C5"/>
    <w:multiLevelType w:val="multilevel"/>
    <w:tmpl w:val="EE5002E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362453"/>
    <w:multiLevelType w:val="multilevel"/>
    <w:tmpl w:val="9674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1011721">
    <w:abstractNumId w:val="9"/>
  </w:num>
  <w:num w:numId="2" w16cid:durableId="953903884">
    <w:abstractNumId w:val="1"/>
  </w:num>
  <w:num w:numId="3" w16cid:durableId="1054965046">
    <w:abstractNumId w:val="16"/>
  </w:num>
  <w:num w:numId="4" w16cid:durableId="645403533">
    <w:abstractNumId w:val="7"/>
  </w:num>
  <w:num w:numId="5" w16cid:durableId="1075317976">
    <w:abstractNumId w:val="3"/>
  </w:num>
  <w:num w:numId="6" w16cid:durableId="1704750019">
    <w:abstractNumId w:val="8"/>
  </w:num>
  <w:num w:numId="7" w16cid:durableId="1057048508">
    <w:abstractNumId w:val="13"/>
  </w:num>
  <w:num w:numId="8" w16cid:durableId="621811408">
    <w:abstractNumId w:val="6"/>
  </w:num>
  <w:num w:numId="9" w16cid:durableId="105974532">
    <w:abstractNumId w:val="15"/>
  </w:num>
  <w:num w:numId="10" w16cid:durableId="1543706636">
    <w:abstractNumId w:val="10"/>
  </w:num>
  <w:num w:numId="11" w16cid:durableId="760027097">
    <w:abstractNumId w:val="2"/>
  </w:num>
  <w:num w:numId="12" w16cid:durableId="1754203368">
    <w:abstractNumId w:val="5"/>
  </w:num>
  <w:num w:numId="13" w16cid:durableId="11229119">
    <w:abstractNumId w:val="11"/>
  </w:num>
  <w:num w:numId="14" w16cid:durableId="326247837">
    <w:abstractNumId w:val="0"/>
  </w:num>
  <w:num w:numId="15" w16cid:durableId="1627616156">
    <w:abstractNumId w:val="4"/>
  </w:num>
  <w:num w:numId="16" w16cid:durableId="1697271521">
    <w:abstractNumId w:val="17"/>
  </w:num>
  <w:num w:numId="17" w16cid:durableId="174081317">
    <w:abstractNumId w:val="12"/>
  </w:num>
  <w:num w:numId="18" w16cid:durableId="1251243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CA0"/>
    <w:rsid w:val="000042C5"/>
    <w:rsid w:val="000941AC"/>
    <w:rsid w:val="001F5D24"/>
    <w:rsid w:val="00212C62"/>
    <w:rsid w:val="002275A3"/>
    <w:rsid w:val="003A2244"/>
    <w:rsid w:val="004B04B5"/>
    <w:rsid w:val="005B7BBD"/>
    <w:rsid w:val="006B01C2"/>
    <w:rsid w:val="006E7942"/>
    <w:rsid w:val="00762CA0"/>
    <w:rsid w:val="007E32C2"/>
    <w:rsid w:val="008D748F"/>
    <w:rsid w:val="009F3AA7"/>
    <w:rsid w:val="00A955EC"/>
    <w:rsid w:val="00D2500A"/>
    <w:rsid w:val="00D85BD9"/>
    <w:rsid w:val="00D91C68"/>
    <w:rsid w:val="00DC5321"/>
    <w:rsid w:val="00E16342"/>
    <w:rsid w:val="00E27655"/>
    <w:rsid w:val="00E51B0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EE744"/>
  <w15:chartTrackingRefBased/>
  <w15:docId w15:val="{ADBBD823-DAA2-47C1-8C54-D43BB2061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AA7"/>
    <w:pPr>
      <w:spacing w:line="240" w:lineRule="auto"/>
      <w:jc w:val="both"/>
    </w:pPr>
    <w:rPr>
      <w:rFonts w:ascii="Times New Roman" w:hAnsi="Times New Roman"/>
      <w:noProof/>
      <w:sz w:val="24"/>
    </w:rPr>
  </w:style>
  <w:style w:type="paragraph" w:styleId="Heading1">
    <w:name w:val="heading 1"/>
    <w:basedOn w:val="Normal"/>
    <w:next w:val="Normal"/>
    <w:link w:val="Heading1Char"/>
    <w:uiPriority w:val="9"/>
    <w:qFormat/>
    <w:rsid w:val="009F3AA7"/>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9F3AA7"/>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762CA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62CA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62CA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62C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2C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2C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2C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AA7"/>
    <w:rPr>
      <w:rFonts w:ascii="Times New Roman" w:eastAsiaTheme="majorEastAsia" w:hAnsi="Times New Roman" w:cstheme="majorBidi"/>
      <w:b/>
      <w:noProof/>
      <w:color w:val="000000" w:themeColor="text1"/>
      <w:sz w:val="32"/>
      <w:szCs w:val="40"/>
    </w:rPr>
  </w:style>
  <w:style w:type="character" w:customStyle="1" w:styleId="Heading2Char">
    <w:name w:val="Heading 2 Char"/>
    <w:basedOn w:val="DefaultParagraphFont"/>
    <w:link w:val="Heading2"/>
    <w:uiPriority w:val="9"/>
    <w:rsid w:val="009F3AA7"/>
    <w:rPr>
      <w:rFonts w:ascii="Times New Roman" w:eastAsiaTheme="majorEastAsia" w:hAnsi="Times New Roman" w:cstheme="majorBidi"/>
      <w:b/>
      <w:noProof/>
      <w:color w:val="000000" w:themeColor="text1"/>
      <w:sz w:val="28"/>
      <w:szCs w:val="32"/>
    </w:rPr>
  </w:style>
  <w:style w:type="character" w:customStyle="1" w:styleId="Heading3Char">
    <w:name w:val="Heading 3 Char"/>
    <w:basedOn w:val="DefaultParagraphFont"/>
    <w:link w:val="Heading3"/>
    <w:uiPriority w:val="9"/>
    <w:rsid w:val="00762CA0"/>
    <w:rPr>
      <w:rFonts w:eastAsiaTheme="majorEastAsia" w:cstheme="majorBidi"/>
      <w:noProof/>
      <w:color w:val="2F5496" w:themeColor="accent1" w:themeShade="BF"/>
      <w:sz w:val="28"/>
      <w:szCs w:val="28"/>
    </w:rPr>
  </w:style>
  <w:style w:type="character" w:customStyle="1" w:styleId="Heading4Char">
    <w:name w:val="Heading 4 Char"/>
    <w:basedOn w:val="DefaultParagraphFont"/>
    <w:link w:val="Heading4"/>
    <w:uiPriority w:val="9"/>
    <w:semiHidden/>
    <w:rsid w:val="00762CA0"/>
    <w:rPr>
      <w:rFonts w:eastAsiaTheme="majorEastAsia" w:cstheme="majorBidi"/>
      <w:i/>
      <w:iCs/>
      <w:noProof/>
      <w:color w:val="2F5496" w:themeColor="accent1" w:themeShade="BF"/>
    </w:rPr>
  </w:style>
  <w:style w:type="character" w:customStyle="1" w:styleId="Heading5Char">
    <w:name w:val="Heading 5 Char"/>
    <w:basedOn w:val="DefaultParagraphFont"/>
    <w:link w:val="Heading5"/>
    <w:uiPriority w:val="9"/>
    <w:semiHidden/>
    <w:rsid w:val="00762CA0"/>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762CA0"/>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762CA0"/>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762CA0"/>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762CA0"/>
    <w:rPr>
      <w:rFonts w:eastAsiaTheme="majorEastAsia" w:cstheme="majorBidi"/>
      <w:noProof/>
      <w:color w:val="272727" w:themeColor="text1" w:themeTint="D8"/>
    </w:rPr>
  </w:style>
  <w:style w:type="paragraph" w:styleId="Title">
    <w:name w:val="Title"/>
    <w:basedOn w:val="Normal"/>
    <w:next w:val="Normal"/>
    <w:link w:val="TitleChar"/>
    <w:uiPriority w:val="10"/>
    <w:qFormat/>
    <w:rsid w:val="00762CA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2CA0"/>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762C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2CA0"/>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762CA0"/>
    <w:pPr>
      <w:spacing w:before="160"/>
      <w:jc w:val="center"/>
    </w:pPr>
    <w:rPr>
      <w:i/>
      <w:iCs/>
      <w:color w:val="404040" w:themeColor="text1" w:themeTint="BF"/>
    </w:rPr>
  </w:style>
  <w:style w:type="character" w:customStyle="1" w:styleId="QuoteChar">
    <w:name w:val="Quote Char"/>
    <w:basedOn w:val="DefaultParagraphFont"/>
    <w:link w:val="Quote"/>
    <w:uiPriority w:val="29"/>
    <w:rsid w:val="00762CA0"/>
    <w:rPr>
      <w:i/>
      <w:iCs/>
      <w:noProof/>
      <w:color w:val="404040" w:themeColor="text1" w:themeTint="BF"/>
    </w:rPr>
  </w:style>
  <w:style w:type="paragraph" w:styleId="ListParagraph">
    <w:name w:val="List Paragraph"/>
    <w:basedOn w:val="Normal"/>
    <w:uiPriority w:val="34"/>
    <w:qFormat/>
    <w:rsid w:val="00762CA0"/>
    <w:pPr>
      <w:ind w:left="720"/>
      <w:contextualSpacing/>
    </w:pPr>
  </w:style>
  <w:style w:type="character" w:styleId="IntenseEmphasis">
    <w:name w:val="Intense Emphasis"/>
    <w:basedOn w:val="DefaultParagraphFont"/>
    <w:uiPriority w:val="21"/>
    <w:qFormat/>
    <w:rsid w:val="00762CA0"/>
    <w:rPr>
      <w:i/>
      <w:iCs/>
      <w:color w:val="2F5496" w:themeColor="accent1" w:themeShade="BF"/>
    </w:rPr>
  </w:style>
  <w:style w:type="paragraph" w:styleId="IntenseQuote">
    <w:name w:val="Intense Quote"/>
    <w:basedOn w:val="Normal"/>
    <w:next w:val="Normal"/>
    <w:link w:val="IntenseQuoteChar"/>
    <w:uiPriority w:val="30"/>
    <w:qFormat/>
    <w:rsid w:val="00762C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2CA0"/>
    <w:rPr>
      <w:i/>
      <w:iCs/>
      <w:noProof/>
      <w:color w:val="2F5496" w:themeColor="accent1" w:themeShade="BF"/>
    </w:rPr>
  </w:style>
  <w:style w:type="character" w:styleId="IntenseReference">
    <w:name w:val="Intense Reference"/>
    <w:basedOn w:val="DefaultParagraphFont"/>
    <w:uiPriority w:val="32"/>
    <w:qFormat/>
    <w:rsid w:val="00762CA0"/>
    <w:rPr>
      <w:b/>
      <w:bCs/>
      <w:smallCaps/>
      <w:color w:val="2F5496" w:themeColor="accent1" w:themeShade="BF"/>
      <w:spacing w:val="5"/>
    </w:rPr>
  </w:style>
  <w:style w:type="paragraph" w:styleId="NormalWeb">
    <w:name w:val="Normal (Web)"/>
    <w:basedOn w:val="Normal"/>
    <w:uiPriority w:val="99"/>
    <w:semiHidden/>
    <w:unhideWhenUsed/>
    <w:rsid w:val="00212C62"/>
    <w:rPr>
      <w:rFonts w:cs="Times New Roman"/>
      <w:szCs w:val="24"/>
    </w:rPr>
  </w:style>
  <w:style w:type="table" w:styleId="TableGrid">
    <w:name w:val="Table Grid"/>
    <w:basedOn w:val="TableNormal"/>
    <w:uiPriority w:val="39"/>
    <w:rsid w:val="004B04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D748F"/>
    <w:rPr>
      <w:b/>
      <w:bCs/>
    </w:rPr>
  </w:style>
  <w:style w:type="table" w:styleId="GridTable1Light">
    <w:name w:val="Grid Table 1 Light"/>
    <w:basedOn w:val="TableNormal"/>
    <w:uiPriority w:val="46"/>
    <w:rsid w:val="009F3AA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9F3AA7"/>
    <w:pPr>
      <w:spacing w:before="240" w:after="0" w:line="259" w:lineRule="auto"/>
      <w:jc w:val="left"/>
      <w:outlineLvl w:val="9"/>
    </w:pPr>
    <w:rPr>
      <w:rFonts w:asciiTheme="majorHAnsi" w:hAnsiTheme="majorHAnsi"/>
      <w:b w:val="0"/>
      <w:noProof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9F3AA7"/>
    <w:pPr>
      <w:spacing w:after="100"/>
    </w:pPr>
  </w:style>
  <w:style w:type="paragraph" w:styleId="TOC2">
    <w:name w:val="toc 2"/>
    <w:basedOn w:val="Normal"/>
    <w:next w:val="Normal"/>
    <w:autoRedefine/>
    <w:uiPriority w:val="39"/>
    <w:unhideWhenUsed/>
    <w:rsid w:val="009F3AA7"/>
    <w:pPr>
      <w:spacing w:after="100"/>
      <w:ind w:left="240"/>
    </w:pPr>
  </w:style>
  <w:style w:type="paragraph" w:styleId="TOC3">
    <w:name w:val="toc 3"/>
    <w:basedOn w:val="Normal"/>
    <w:next w:val="Normal"/>
    <w:autoRedefine/>
    <w:uiPriority w:val="39"/>
    <w:unhideWhenUsed/>
    <w:rsid w:val="009F3AA7"/>
    <w:pPr>
      <w:spacing w:after="100"/>
      <w:ind w:left="480"/>
    </w:pPr>
  </w:style>
  <w:style w:type="character" w:styleId="Hyperlink">
    <w:name w:val="Hyperlink"/>
    <w:basedOn w:val="DefaultParagraphFont"/>
    <w:uiPriority w:val="99"/>
    <w:unhideWhenUsed/>
    <w:rsid w:val="009F3AA7"/>
    <w:rPr>
      <w:color w:val="0563C1" w:themeColor="hyperlink"/>
      <w:u w:val="single"/>
    </w:rPr>
  </w:style>
  <w:style w:type="paragraph" w:styleId="Header">
    <w:name w:val="header"/>
    <w:basedOn w:val="Normal"/>
    <w:link w:val="HeaderChar"/>
    <w:uiPriority w:val="99"/>
    <w:unhideWhenUsed/>
    <w:rsid w:val="009F3AA7"/>
    <w:pPr>
      <w:tabs>
        <w:tab w:val="center" w:pos="4513"/>
        <w:tab w:val="right" w:pos="9026"/>
      </w:tabs>
      <w:spacing w:after="0"/>
    </w:pPr>
  </w:style>
  <w:style w:type="character" w:customStyle="1" w:styleId="HeaderChar">
    <w:name w:val="Header Char"/>
    <w:basedOn w:val="DefaultParagraphFont"/>
    <w:link w:val="Header"/>
    <w:uiPriority w:val="99"/>
    <w:rsid w:val="009F3AA7"/>
    <w:rPr>
      <w:rFonts w:ascii="Times New Roman" w:hAnsi="Times New Roman"/>
      <w:noProof/>
      <w:sz w:val="24"/>
    </w:rPr>
  </w:style>
  <w:style w:type="paragraph" w:styleId="Footer">
    <w:name w:val="footer"/>
    <w:basedOn w:val="Normal"/>
    <w:link w:val="FooterChar"/>
    <w:uiPriority w:val="99"/>
    <w:unhideWhenUsed/>
    <w:rsid w:val="009F3AA7"/>
    <w:pPr>
      <w:tabs>
        <w:tab w:val="center" w:pos="4513"/>
        <w:tab w:val="right" w:pos="9026"/>
      </w:tabs>
      <w:spacing w:after="0"/>
    </w:pPr>
  </w:style>
  <w:style w:type="character" w:customStyle="1" w:styleId="FooterChar">
    <w:name w:val="Footer Char"/>
    <w:basedOn w:val="DefaultParagraphFont"/>
    <w:link w:val="Footer"/>
    <w:uiPriority w:val="99"/>
    <w:rsid w:val="009F3AA7"/>
    <w:rPr>
      <w:rFonts w:ascii="Times New Roman" w:hAnsi="Times New Roman"/>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EDE19-1CD8-4264-92BC-6CCD4320F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19</Pages>
  <Words>6333</Words>
  <Characters>36104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Avani Kasundra</dc:creator>
  <cp:keywords/>
  <dc:description/>
  <cp:lastModifiedBy>Avani Kasundra</cp:lastModifiedBy>
  <cp:revision>2</cp:revision>
  <dcterms:created xsi:type="dcterms:W3CDTF">2026-04-14T06:45:00Z</dcterms:created>
  <dcterms:modified xsi:type="dcterms:W3CDTF">2026-04-17T16:32:00Z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3862855a-26f9-46cb-85b1-13c7468726e7</vt:lpwstr>
  </property>
</Properties>
</file>