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1981454719"/>
        <w:docPartObj>
          <w:docPartGallery w:val="Cover Pages"/>
          <w:docPartUnique/>
        </w:docPartObj>
      </w:sdtPr>
      <w:sdtEndPr>
        <w:rPr>
          <w:rFonts w:ascii="Arial Black" w:hAnsi="Arial Black" w:cs="Arial"/>
          <w:color w:val="auto"/>
        </w:rPr>
      </w:sdtEndPr>
      <w:sdtContent>
        <w:p w14:paraId="12C25AC1" w14:textId="7575D82B" w:rsidR="004919B1" w:rsidRDefault="004919B1">
          <w:pPr>
            <w:pStyle w:val="NoSpacing"/>
            <w:spacing w:before="1540" w:after="240"/>
            <w:jc w:val="center"/>
            <w:rPr>
              <w:color w:val="156082" w:themeColor="accent1"/>
            </w:rPr>
          </w:pPr>
          <w:r>
            <w:rPr>
              <w:noProof/>
              <w:color w:val="156082" w:themeColor="accent1"/>
            </w:rPr>
            <w:drawing>
              <wp:inline distT="0" distB="0" distL="0" distR="0" wp14:anchorId="30A392D1" wp14:editId="0E441FF7">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Black" w:eastAsiaTheme="majorEastAsia" w:hAnsi="Arial Black" w:cstheme="majorBidi"/>
              <w:caps/>
              <w:color w:val="156082" w:themeColor="accent1"/>
              <w:sz w:val="72"/>
              <w:szCs w:val="72"/>
            </w:rPr>
            <w:alias w:val="Title"/>
            <w:tag w:val=""/>
            <w:id w:val="1735040861"/>
            <w:placeholder>
              <w:docPart w:val="EA32ED66C7454938BA35FEF3B333E1A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5204873" w14:textId="54DC7E1B" w:rsidR="004919B1" w:rsidRDefault="009A5130">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Arial Black" w:eastAsiaTheme="majorEastAsia" w:hAnsi="Arial Black" w:cstheme="majorBidi"/>
                  <w:caps/>
                  <w:color w:val="156082" w:themeColor="accent1"/>
                  <w:sz w:val="72"/>
                  <w:szCs w:val="72"/>
                </w:rPr>
                <w:t>Sustainable Enterprise</w:t>
              </w:r>
            </w:p>
          </w:sdtContent>
        </w:sdt>
        <w:sdt>
          <w:sdtPr>
            <w:rPr>
              <w:rFonts w:ascii="Arial Black" w:hAnsi="Arial Black"/>
              <w:color w:val="156082" w:themeColor="accent1"/>
              <w:sz w:val="28"/>
              <w:szCs w:val="28"/>
            </w:rPr>
            <w:alias w:val="Subtitle"/>
            <w:tag w:val=""/>
            <w:id w:val="328029620"/>
            <w:placeholder>
              <w:docPart w:val="FD49B1372F9F41B88143047DCC360780"/>
            </w:placeholder>
            <w:dataBinding w:prefixMappings="xmlns:ns0='http://purl.org/dc/elements/1.1/' xmlns:ns1='http://schemas.openxmlformats.org/package/2006/metadata/core-properties' " w:xpath="/ns1:coreProperties[1]/ns0:subject[1]" w:storeItemID="{6C3C8BC8-F283-45AE-878A-BAB7291924A1}"/>
            <w:text/>
          </w:sdtPr>
          <w:sdtContent>
            <w:p w14:paraId="02882F4F" w14:textId="432E8629" w:rsidR="004919B1" w:rsidRPr="004919B1" w:rsidRDefault="009A5130">
              <w:pPr>
                <w:pStyle w:val="NoSpacing"/>
                <w:jc w:val="center"/>
                <w:rPr>
                  <w:rFonts w:ascii="Arial Black" w:hAnsi="Arial Black"/>
                  <w:color w:val="156082" w:themeColor="accent1"/>
                  <w:sz w:val="28"/>
                  <w:szCs w:val="28"/>
                </w:rPr>
              </w:pPr>
              <w:r>
                <w:rPr>
                  <w:rFonts w:ascii="Arial Black" w:hAnsi="Arial Black"/>
                  <w:color w:val="156082" w:themeColor="accent1"/>
                  <w:sz w:val="28"/>
                  <w:szCs w:val="28"/>
                </w:rPr>
                <w:t>Business Plan</w:t>
              </w:r>
            </w:p>
          </w:sdtContent>
        </w:sdt>
        <w:p w14:paraId="3D8BA0C6" w14:textId="77777777" w:rsidR="004919B1" w:rsidRDefault="004919B1">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668AF782" wp14:editId="7C46199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3-14T00:00:00Z">
                                    <w:dateFormat w:val="MMMM d, yyyy"/>
                                    <w:lid w:val="en-US"/>
                                    <w:storeMappedDataAs w:val="dateTime"/>
                                    <w:calendar w:val="gregorian"/>
                                  </w:date>
                                </w:sdtPr>
                                <w:sdtContent>
                                  <w:p w14:paraId="1DA753FB" w14:textId="49CCFBCF" w:rsidR="004919B1" w:rsidRPr="004919B1" w:rsidRDefault="004919B1">
                                    <w:pPr>
                                      <w:pStyle w:val="NoSpacing"/>
                                      <w:spacing w:after="40"/>
                                      <w:jc w:val="center"/>
                                      <w:rPr>
                                        <w:rFonts w:ascii="Arial Black" w:hAnsi="Arial Black"/>
                                        <w:caps/>
                                        <w:color w:val="156082" w:themeColor="accent1"/>
                                        <w:sz w:val="28"/>
                                        <w:szCs w:val="28"/>
                                      </w:rPr>
                                    </w:pPr>
                                    <w:r w:rsidRPr="004919B1">
                                      <w:rPr>
                                        <w:rFonts w:ascii="Arial Black" w:hAnsi="Arial Black"/>
                                        <w:caps/>
                                        <w:color w:val="156082" w:themeColor="accent1"/>
                                        <w:sz w:val="28"/>
                                        <w:szCs w:val="28"/>
                                      </w:rPr>
                                      <w:t>March 14, 2025</w:t>
                                    </w:r>
                                  </w:p>
                                </w:sdtContent>
                              </w:sdt>
                              <w:p w14:paraId="374D83CC" w14:textId="281B7815" w:rsidR="004919B1" w:rsidRPr="004919B1" w:rsidRDefault="00000000">
                                <w:pPr>
                                  <w:pStyle w:val="NoSpacing"/>
                                  <w:jc w:val="center"/>
                                  <w:rPr>
                                    <w:rFonts w:ascii="Arial Black" w:hAnsi="Arial Black"/>
                                    <w:color w:val="156082" w:themeColor="accent1"/>
                                    <w:sz w:val="28"/>
                                    <w:szCs w:val="28"/>
                                  </w:rPr>
                                </w:pPr>
                                <w:sdt>
                                  <w:sdtPr>
                                    <w:rPr>
                                      <w:rFonts w:ascii="Arial Black" w:hAnsi="Arial Black"/>
                                      <w:caps/>
                                      <w:color w:val="156082"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4919B1" w:rsidRPr="004919B1">
                                      <w:rPr>
                                        <w:rFonts w:ascii="Arial Black" w:hAnsi="Arial Black"/>
                                        <w:caps/>
                                        <w:color w:val="156082" w:themeColor="accent1"/>
                                        <w:sz w:val="28"/>
                                        <w:szCs w:val="28"/>
                                      </w:rPr>
                                      <w:t>Sustainable Enterprise/ Social Enterprise Management</w:t>
                                    </w:r>
                                  </w:sdtContent>
                                </w:sdt>
                              </w:p>
                              <w:p w14:paraId="33C60B1E" w14:textId="22EA1E0B" w:rsidR="004919B1" w:rsidRPr="004919B1" w:rsidRDefault="00000000">
                                <w:pPr>
                                  <w:pStyle w:val="NoSpacing"/>
                                  <w:jc w:val="center"/>
                                  <w:rPr>
                                    <w:rFonts w:ascii="Arial Black" w:hAnsi="Arial Black"/>
                                    <w:color w:val="156082" w:themeColor="accent1"/>
                                    <w:sz w:val="28"/>
                                    <w:szCs w:val="28"/>
                                  </w:rPr>
                                </w:pPr>
                                <w:sdt>
                                  <w:sdtPr>
                                    <w:rPr>
                                      <w:rFonts w:ascii="Arial Black" w:hAnsi="Arial Black"/>
                                      <w:color w:val="156082"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004919B1" w:rsidRPr="004919B1">
                                      <w:rPr>
                                        <w:rFonts w:ascii="Arial Black" w:hAnsi="Arial Black"/>
                                        <w:color w:val="156082" w:themeColor="accent1"/>
                                        <w:sz w:val="28"/>
                                        <w:szCs w:val="28"/>
                                      </w:rPr>
                                      <w:t>BMSE4010D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68AF782"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Black" w:hAnsi="Arial Black"/>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3-14T00:00:00Z">
                              <w:dateFormat w:val="MMMM d, yyyy"/>
                              <w:lid w:val="en-US"/>
                              <w:storeMappedDataAs w:val="dateTime"/>
                              <w:calendar w:val="gregorian"/>
                            </w:date>
                          </w:sdtPr>
                          <w:sdtContent>
                            <w:p w14:paraId="1DA753FB" w14:textId="49CCFBCF" w:rsidR="004919B1" w:rsidRPr="004919B1" w:rsidRDefault="004919B1">
                              <w:pPr>
                                <w:pStyle w:val="NoSpacing"/>
                                <w:spacing w:after="40"/>
                                <w:jc w:val="center"/>
                                <w:rPr>
                                  <w:rFonts w:ascii="Arial Black" w:hAnsi="Arial Black"/>
                                  <w:caps/>
                                  <w:color w:val="156082" w:themeColor="accent1"/>
                                  <w:sz w:val="28"/>
                                  <w:szCs w:val="28"/>
                                </w:rPr>
                              </w:pPr>
                              <w:r w:rsidRPr="004919B1">
                                <w:rPr>
                                  <w:rFonts w:ascii="Arial Black" w:hAnsi="Arial Black"/>
                                  <w:caps/>
                                  <w:color w:val="156082" w:themeColor="accent1"/>
                                  <w:sz w:val="28"/>
                                  <w:szCs w:val="28"/>
                                </w:rPr>
                                <w:t>March 14, 2025</w:t>
                              </w:r>
                            </w:p>
                          </w:sdtContent>
                        </w:sdt>
                        <w:p w14:paraId="374D83CC" w14:textId="281B7815" w:rsidR="004919B1" w:rsidRPr="004919B1" w:rsidRDefault="004919B1">
                          <w:pPr>
                            <w:pStyle w:val="NoSpacing"/>
                            <w:jc w:val="center"/>
                            <w:rPr>
                              <w:rFonts w:ascii="Arial Black" w:hAnsi="Arial Black"/>
                              <w:color w:val="156082" w:themeColor="accent1"/>
                              <w:sz w:val="28"/>
                              <w:szCs w:val="28"/>
                            </w:rPr>
                          </w:pPr>
                          <w:sdt>
                            <w:sdtPr>
                              <w:rPr>
                                <w:rFonts w:ascii="Arial Black" w:hAnsi="Arial Black"/>
                                <w:caps/>
                                <w:color w:val="156082"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Pr="004919B1">
                                <w:rPr>
                                  <w:rFonts w:ascii="Arial Black" w:hAnsi="Arial Black"/>
                                  <w:caps/>
                                  <w:color w:val="156082" w:themeColor="accent1"/>
                                  <w:sz w:val="28"/>
                                  <w:szCs w:val="28"/>
                                </w:rPr>
                                <w:t>Sustainable Enterprise/ Social Enterprise Management</w:t>
                              </w:r>
                            </w:sdtContent>
                          </w:sdt>
                        </w:p>
                        <w:p w14:paraId="33C60B1E" w14:textId="22EA1E0B" w:rsidR="004919B1" w:rsidRPr="004919B1" w:rsidRDefault="004919B1">
                          <w:pPr>
                            <w:pStyle w:val="NoSpacing"/>
                            <w:jc w:val="center"/>
                            <w:rPr>
                              <w:rFonts w:ascii="Arial Black" w:hAnsi="Arial Black"/>
                              <w:color w:val="156082" w:themeColor="accent1"/>
                              <w:sz w:val="28"/>
                              <w:szCs w:val="28"/>
                            </w:rPr>
                          </w:pPr>
                          <w:sdt>
                            <w:sdtPr>
                              <w:rPr>
                                <w:rFonts w:ascii="Arial Black" w:hAnsi="Arial Black"/>
                                <w:color w:val="156082"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Content>
                              <w:r w:rsidRPr="004919B1">
                                <w:rPr>
                                  <w:rFonts w:ascii="Arial Black" w:hAnsi="Arial Black"/>
                                  <w:color w:val="156082" w:themeColor="accent1"/>
                                  <w:sz w:val="28"/>
                                  <w:szCs w:val="28"/>
                                </w:rPr>
                                <w:t>BMSE4010D</w:t>
                              </w:r>
                            </w:sdtContent>
                          </w:sdt>
                        </w:p>
                      </w:txbxContent>
                    </v:textbox>
                    <w10:wrap anchorx="margin" anchory="page"/>
                  </v:shape>
                </w:pict>
              </mc:Fallback>
            </mc:AlternateContent>
          </w:r>
          <w:r>
            <w:rPr>
              <w:noProof/>
              <w:color w:val="156082" w:themeColor="accent1"/>
            </w:rPr>
            <w:drawing>
              <wp:inline distT="0" distB="0" distL="0" distR="0" wp14:anchorId="28503D6D" wp14:editId="29513F6A">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4163EB2" w14:textId="53C01F4D" w:rsidR="004919B1" w:rsidRDefault="004919B1">
          <w:pPr>
            <w:rPr>
              <w:rFonts w:ascii="Arial Black" w:hAnsi="Arial Black" w:cs="Arial"/>
            </w:rPr>
          </w:pPr>
          <w:r>
            <w:rPr>
              <w:rFonts w:ascii="Arial Black" w:hAnsi="Arial Black" w:cs="Arial"/>
            </w:rPr>
            <w:br w:type="page"/>
          </w:r>
        </w:p>
      </w:sdtContent>
    </w:sdt>
    <w:p w14:paraId="1B982948" w14:textId="70360978" w:rsidR="004919B1" w:rsidRDefault="00932685" w:rsidP="004919B1">
      <w:pPr>
        <w:rPr>
          <w:rFonts w:ascii="Arial Black" w:hAnsi="Arial Black" w:cs="Arial"/>
        </w:rPr>
      </w:pPr>
      <w:r w:rsidRPr="00932685">
        <w:rPr>
          <w:rFonts w:ascii="Arial Black" w:hAnsi="Arial Black" w:cs="Arial"/>
        </w:rPr>
        <w:lastRenderedPageBreak/>
        <w:t xml:space="preserve">Introduction </w:t>
      </w:r>
    </w:p>
    <w:p w14:paraId="288E0142" w14:textId="6F06BAB8" w:rsidR="00932685" w:rsidRPr="004919B1" w:rsidRDefault="00B81D40" w:rsidP="004919B1">
      <w:pPr>
        <w:spacing w:line="480" w:lineRule="auto"/>
        <w:rPr>
          <w:rFonts w:ascii="Arial Black" w:hAnsi="Arial Black" w:cs="Arial"/>
        </w:rPr>
      </w:pPr>
      <w:r w:rsidRPr="00B81D40">
        <w:rPr>
          <w:rFonts w:ascii="Arial" w:hAnsi="Arial" w:cs="Arial"/>
        </w:rPr>
        <w:t xml:space="preserve">New sustainable business start-up Green Future is committed to transform resource efficiency and waste management by implementing creative circular economy concepts. The company is meant to guarantee environmental stewardship, social accountability, and economic viability while transforming waste streams into valuable resources. This all-encompassing business plan details the strategic objectives, environmental framework, resource needs, market approach, and risk-management techniques of the company. Operating by combining modern recycling technology, community involvement, and strict environmental standards, Green Future will drive sustainable growth and generate shared benefit for all stakeholders </w:t>
      </w:r>
      <w:r w:rsidR="00932685">
        <w:rPr>
          <w:rFonts w:ascii="Arial" w:hAnsi="Arial" w:cs="Arial"/>
        </w:rPr>
        <w:t>(</w:t>
      </w:r>
      <w:r w:rsidRPr="00B81D40">
        <w:rPr>
          <w:rFonts w:ascii="Arial" w:hAnsi="Arial" w:cs="Arial"/>
        </w:rPr>
        <w:t>Campbell, 2007).</w:t>
      </w:r>
      <w:r w:rsidRPr="00B81D40">
        <w:rPr>
          <w:rFonts w:ascii="Arial" w:hAnsi="Arial" w:cs="Arial"/>
        </w:rPr>
        <w:br/>
      </w:r>
      <w:r w:rsidRPr="00B81D40">
        <w:rPr>
          <w:rFonts w:ascii="Arial Black" w:hAnsi="Arial Black" w:cs="Arial"/>
        </w:rPr>
        <w:t>Business Objectives and Vision</w:t>
      </w:r>
      <w:r w:rsidRPr="00B81D40">
        <w:rPr>
          <w:rFonts w:ascii="Arial" w:hAnsi="Arial" w:cs="Arial"/>
        </w:rPr>
        <w:br/>
        <w:t>Green Future's main goal is to dominate the market for sustainable resource management by turning waste into superior, environmentally friendly goods. Promoting a closed-loop system that minimises waste and best uses resources would help the company to lower environmental impact. Apart from drastically lowering of landfill waste and greenhouse gas emissions, Green Future aims to boost local economic development and creativity by means of deliberate partnerships and community-based initiatives. The company envisions a future in which economic development and environmental conservation are efficiently linked, setting new industry standards for sustainability (Cohen and Winn, 2007; Crane et al., 2014).</w:t>
      </w:r>
      <w:r w:rsidRPr="00B81D40">
        <w:rPr>
          <w:rFonts w:ascii="Arial" w:hAnsi="Arial" w:cs="Arial"/>
        </w:rPr>
        <w:br/>
      </w:r>
      <w:r w:rsidRPr="00B81D40">
        <w:rPr>
          <w:rFonts w:ascii="Arial" w:hAnsi="Arial" w:cs="Arial"/>
        </w:rPr>
        <w:br/>
      </w:r>
    </w:p>
    <w:p w14:paraId="104B0AC5" w14:textId="77777777" w:rsidR="00932685" w:rsidRDefault="00B81D40" w:rsidP="00B81D40">
      <w:pPr>
        <w:spacing w:line="480" w:lineRule="auto"/>
        <w:rPr>
          <w:rFonts w:ascii="Arial Black" w:hAnsi="Arial Black" w:cs="Arial"/>
        </w:rPr>
      </w:pPr>
      <w:r w:rsidRPr="00B81D40">
        <w:rPr>
          <w:rFonts w:ascii="Arial Black" w:hAnsi="Arial Black" w:cs="Times New Roman"/>
        </w:rPr>
        <w:lastRenderedPageBreak/>
        <w:t>Strategy of Sustainability</w:t>
      </w:r>
      <w:r w:rsidRPr="00B81D40">
        <w:rPr>
          <w:rFonts w:ascii="Arial Black" w:hAnsi="Arial Black" w:cs="Times New Roman"/>
        </w:rPr>
        <w:br/>
      </w:r>
      <w:r w:rsidRPr="00B81D40">
        <w:rPr>
          <w:rFonts w:ascii="Arial" w:hAnsi="Arial" w:cs="Arial"/>
        </w:rPr>
        <w:t>Green Future's sustainability strategy is based on the circular economy ideas, which involve reintroducing waste products as valuable inputs into industrial processes. This approach reduces reliance on limited resources, therefore promoting long-term economic stability in addition to minimising environmental damage. The company will utilise cutting-edge recycling and repurposing technology to drastically reduce energy usage and carbon emissions. Moreover, by means of ongoing research and development, Green Future hopes to pioneer creative ideas that will keep the company at the forefront of sustainable business practices, so guaranteeing compliance with and often exceeding, environmental regulatory requirements (Fowler and Hope, 2007; Friedman, 1970).</w:t>
      </w:r>
      <w:r w:rsidRPr="00B81D40">
        <w:rPr>
          <w:rFonts w:ascii="Arial" w:hAnsi="Arial" w:cs="Arial"/>
        </w:rPr>
        <w:br/>
      </w:r>
      <w:r w:rsidRPr="00B81D40">
        <w:rPr>
          <w:rFonts w:ascii="Arial Black" w:hAnsi="Arial Black" w:cs="Arial"/>
        </w:rPr>
        <w:t>Physical Resources</w:t>
      </w:r>
      <w:r w:rsidRPr="00B81D40">
        <w:rPr>
          <w:rFonts w:ascii="Arial" w:hAnsi="Arial" w:cs="Arial"/>
        </w:rPr>
        <w:br/>
        <w:t xml:space="preserve">Launching Green Future requires for a planned processing facility with modern machinery and recycling technologies among the physical resources required. The facility will </w:t>
      </w:r>
      <w:r w:rsidR="00932685" w:rsidRPr="00B81D40">
        <w:rPr>
          <w:rFonts w:ascii="Arial" w:hAnsi="Arial" w:cs="Arial"/>
        </w:rPr>
        <w:t>be in</w:t>
      </w:r>
      <w:r w:rsidRPr="00B81D40">
        <w:rPr>
          <w:rFonts w:ascii="Arial" w:hAnsi="Arial" w:cs="Arial"/>
        </w:rPr>
        <w:t xml:space="preserve"> an industrial zone with excellent access to main transportation routes, allowing for efficient collection, processing, and distribution of waste materials and finished products. Investments in renewable energy sources, such as solar panels and wind turbines, are planned to power the facility and minimise its carbon footprint. As the business scales its sustainable operations, this infrastructure is meant not just to fulfil present operational needs but also to enable future expansion (</w:t>
      </w:r>
      <w:proofErr w:type="spellStart"/>
      <w:r w:rsidRPr="00B81D40">
        <w:rPr>
          <w:rFonts w:ascii="Arial" w:hAnsi="Arial" w:cs="Arial"/>
        </w:rPr>
        <w:t>Geissdoerfer</w:t>
      </w:r>
      <w:proofErr w:type="spellEnd"/>
      <w:r w:rsidRPr="00B81D40">
        <w:rPr>
          <w:rFonts w:ascii="Arial" w:hAnsi="Arial" w:cs="Arial"/>
        </w:rPr>
        <w:t xml:space="preserve"> et al., 2017; Gast, Gundolf, and </w:t>
      </w:r>
      <w:proofErr w:type="spellStart"/>
      <w:r w:rsidRPr="00B81D40">
        <w:rPr>
          <w:rFonts w:ascii="Arial" w:hAnsi="Arial" w:cs="Arial"/>
        </w:rPr>
        <w:t>Cesinger</w:t>
      </w:r>
      <w:proofErr w:type="spellEnd"/>
      <w:r w:rsidRPr="00B81D40">
        <w:rPr>
          <w:rFonts w:ascii="Arial" w:hAnsi="Arial" w:cs="Arial"/>
        </w:rPr>
        <w:t>, 2017).</w:t>
      </w:r>
      <w:r w:rsidRPr="00B81D40">
        <w:rPr>
          <w:rFonts w:ascii="Arial" w:hAnsi="Arial" w:cs="Arial"/>
        </w:rPr>
        <w:br/>
      </w:r>
      <w:r w:rsidRPr="00B81D40">
        <w:rPr>
          <w:rFonts w:ascii="Arial Black" w:hAnsi="Arial Black" w:cs="Arial"/>
        </w:rPr>
        <w:t>Human Resources</w:t>
      </w:r>
      <w:r w:rsidRPr="00B81D40">
        <w:rPr>
          <w:rFonts w:ascii="Arial Black" w:hAnsi="Arial Black" w:cs="Arial"/>
        </w:rPr>
        <w:br/>
      </w:r>
      <w:r w:rsidRPr="00B81D40">
        <w:rPr>
          <w:rFonts w:ascii="Arial" w:hAnsi="Arial" w:cs="Arial"/>
        </w:rPr>
        <w:t xml:space="preserve">To forward its sustainable goal, Green Future will hire a varied and qualified staff. With a solid basis in sustainability, the human resources strategy emphasises on recruiting professionals in business management, process technology, and </w:t>
      </w:r>
      <w:r w:rsidRPr="00B81D40">
        <w:rPr>
          <w:rFonts w:ascii="Arial" w:hAnsi="Arial" w:cs="Arial"/>
        </w:rPr>
        <w:lastRenderedPageBreak/>
        <w:t>environmental engineering. To guarantee that every staff member stays current with the most recent developments in recycling technologies and environmental practices, the company will also fund ongoing education and professional development. Looking at encouraging innovation and agility inside the company, this commitment to human capital helps Green Future to react fast to changes in regulations and developing market trends (Hahn, Spieth, and Ince, 2018; Hahn et al., 2010).</w:t>
      </w:r>
      <w:r w:rsidRPr="00B81D40">
        <w:rPr>
          <w:rFonts w:ascii="Arial" w:hAnsi="Arial" w:cs="Arial"/>
        </w:rPr>
        <w:br/>
      </w:r>
      <w:r w:rsidRPr="00B81D40">
        <w:rPr>
          <w:rFonts w:ascii="Arial Black" w:hAnsi="Arial Black" w:cs="Arial"/>
        </w:rPr>
        <w:t>Financial Resources</w:t>
      </w:r>
      <w:r w:rsidRPr="00B81D40">
        <w:rPr>
          <w:rFonts w:ascii="Arial Black" w:hAnsi="Arial Black" w:cs="Arial"/>
        </w:rPr>
        <w:br/>
      </w:r>
      <w:r w:rsidRPr="00B81D40">
        <w:rPr>
          <w:rFonts w:ascii="Arial" w:hAnsi="Arial" w:cs="Arial"/>
        </w:rPr>
        <w:t xml:space="preserve">Green Future's financial plan is set to meet long-term expansion as well as immediate operational needs. The start-up will get funds from government grants, ecologically friendly loans, and equity investments from venture capitalists with an eye on sustainability. Comprehensive financial planning and budgeting have been done to guarantee that expected income sources balance out expenses on infrastructure, technology, and human capital. With Green Future expected to </w:t>
      </w:r>
      <w:r w:rsidR="00932685" w:rsidRPr="00B81D40">
        <w:rPr>
          <w:rFonts w:ascii="Arial" w:hAnsi="Arial" w:cs="Arial"/>
        </w:rPr>
        <w:t>break even</w:t>
      </w:r>
      <w:r w:rsidRPr="00B81D40">
        <w:rPr>
          <w:rFonts w:ascii="Arial" w:hAnsi="Arial" w:cs="Arial"/>
        </w:rPr>
        <w:t xml:space="preserve"> within two to three years of operation while maintaining enough liquidity to reinvest in innovation and expansion, the financial model stresses sustainable growth and profitability (Hahn et al., 2015; Edgeman and Eskildsen, 2014).</w:t>
      </w:r>
      <w:r w:rsidRPr="00B81D40">
        <w:rPr>
          <w:rFonts w:ascii="Arial" w:hAnsi="Arial" w:cs="Arial"/>
        </w:rPr>
        <w:br/>
      </w:r>
      <w:r w:rsidRPr="00B81D40">
        <w:rPr>
          <w:rFonts w:ascii="Arial Black" w:hAnsi="Arial Black" w:cs="Arial"/>
        </w:rPr>
        <w:t>Marketing Strategy</w:t>
      </w:r>
      <w:r w:rsidRPr="00B81D40">
        <w:rPr>
          <w:rFonts w:ascii="Arial Black" w:hAnsi="Arial Black" w:cs="Arial"/>
        </w:rPr>
        <w:br/>
      </w:r>
      <w:r w:rsidRPr="00B81D40">
        <w:rPr>
          <w:rFonts w:ascii="Arial" w:hAnsi="Arial" w:cs="Arial"/>
        </w:rPr>
        <w:t xml:space="preserve">The marketing plan of Green Future is meant to underline the special value of sustainability and creativity. The business will convey its dedication to social responsibility and environmental preservation by means of both conventional and digital marketing methods. While social media projects will involve consumers through interactive material and success stories from the operations of the company, public relations campaigns will concentrate on instructing the community about the advantages of the circular economy. Strategic connections with local government </w:t>
      </w:r>
      <w:r w:rsidRPr="00B81D40">
        <w:rPr>
          <w:rFonts w:ascii="Arial" w:hAnsi="Arial" w:cs="Arial"/>
        </w:rPr>
        <w:lastRenderedPageBreak/>
        <w:t xml:space="preserve">agencies, environmental organisations, and sustainability influencers will improve the company's market reach and credibility even further. This combined marketing strategy is meant to foster brand loyalty and establish Green Future as a leader in environmentally friendly corporate operations (Thompson, 2010; </w:t>
      </w:r>
      <w:proofErr w:type="spellStart"/>
      <w:r w:rsidRPr="00B81D40">
        <w:rPr>
          <w:rFonts w:ascii="Arial" w:hAnsi="Arial" w:cs="Arial"/>
        </w:rPr>
        <w:t>Febrizal</w:t>
      </w:r>
      <w:proofErr w:type="spellEnd"/>
      <w:r w:rsidRPr="00B81D40">
        <w:rPr>
          <w:rFonts w:ascii="Arial" w:hAnsi="Arial" w:cs="Arial"/>
        </w:rPr>
        <w:t xml:space="preserve"> </w:t>
      </w:r>
      <w:proofErr w:type="spellStart"/>
      <w:r w:rsidRPr="00B81D40">
        <w:rPr>
          <w:rFonts w:ascii="Arial" w:hAnsi="Arial" w:cs="Arial"/>
        </w:rPr>
        <w:t>Rahmana</w:t>
      </w:r>
      <w:proofErr w:type="spellEnd"/>
      <w:r w:rsidRPr="00B81D40">
        <w:rPr>
          <w:rFonts w:ascii="Arial" w:hAnsi="Arial" w:cs="Arial"/>
        </w:rPr>
        <w:t xml:space="preserve"> and </w:t>
      </w:r>
      <w:proofErr w:type="spellStart"/>
      <w:r w:rsidRPr="00B81D40">
        <w:rPr>
          <w:rFonts w:ascii="Arial" w:hAnsi="Arial" w:cs="Arial"/>
        </w:rPr>
        <w:t>Bawono</w:t>
      </w:r>
      <w:proofErr w:type="spellEnd"/>
      <w:r w:rsidRPr="00B81D40">
        <w:rPr>
          <w:rFonts w:ascii="Arial" w:hAnsi="Arial" w:cs="Arial"/>
        </w:rPr>
        <w:t>, 2020).</w:t>
      </w:r>
      <w:r w:rsidRPr="00B81D40">
        <w:rPr>
          <w:rFonts w:ascii="Arial" w:hAnsi="Arial" w:cs="Arial"/>
        </w:rPr>
        <w:br/>
      </w:r>
      <w:r w:rsidRPr="00B81D40">
        <w:rPr>
          <w:rFonts w:ascii="Arial Black" w:hAnsi="Arial Black" w:cs="Arial"/>
        </w:rPr>
        <w:t>PESTLE Analysis</w:t>
      </w:r>
      <w:r w:rsidRPr="00B81D40">
        <w:rPr>
          <w:rFonts w:ascii="Arial Black" w:hAnsi="Arial Black" w:cs="Arial"/>
        </w:rPr>
        <w:br/>
      </w:r>
      <w:r w:rsidRPr="00B81D40">
        <w:rPr>
          <w:rFonts w:ascii="Arial" w:hAnsi="Arial" w:cs="Arial"/>
        </w:rPr>
        <w:t xml:space="preserve">A thorough PESTLE study has been conducted to pinpoint the outside elements that might affect the activities of Green Future. Politically, the corporation gains from friendly government policies encouraging environmental sustainability and rewarding usage of renewable energy sources. Economically, recycling and repurposing are more appealing and profitable substitutes for the growing raw material expenses. Socially, Green Future's goal is in line with the growing customer desire for environmentally friendly products and open corporate processes. Technological developments in renewable energy sources and recycling techniques present chances to improve running efficiencies. Legally, the company </w:t>
      </w:r>
      <w:r w:rsidR="00932685" w:rsidRPr="00B81D40">
        <w:rPr>
          <w:rFonts w:ascii="Arial" w:hAnsi="Arial" w:cs="Arial"/>
        </w:rPr>
        <w:t>must</w:t>
      </w:r>
      <w:r w:rsidRPr="00B81D40">
        <w:rPr>
          <w:rFonts w:ascii="Arial" w:hAnsi="Arial" w:cs="Arial"/>
        </w:rPr>
        <w:t xml:space="preserve"> follow strict environmental rules; so, environmental issues remain top priority and justify the need of sustainable methods to slow down global warming. This macro-environmental framework guarantees that Green Future stays in a position to meet external possibilities and challenges (Boons, Frank, and Florian </w:t>
      </w:r>
      <w:proofErr w:type="spellStart"/>
      <w:r w:rsidRPr="00B81D40">
        <w:rPr>
          <w:rFonts w:ascii="Arial" w:hAnsi="Arial" w:cs="Arial"/>
        </w:rPr>
        <w:t>Lüdeke</w:t>
      </w:r>
      <w:proofErr w:type="spellEnd"/>
      <w:r w:rsidRPr="00B81D40">
        <w:rPr>
          <w:rFonts w:ascii="Arial" w:hAnsi="Arial" w:cs="Arial"/>
        </w:rPr>
        <w:t>-Freund, 2013; Campbell, 2007).</w:t>
      </w:r>
      <w:r w:rsidRPr="00B81D40">
        <w:rPr>
          <w:rFonts w:ascii="Arial" w:hAnsi="Arial" w:cs="Arial"/>
        </w:rPr>
        <w:br/>
      </w:r>
      <w:r w:rsidRPr="00B81D40">
        <w:rPr>
          <w:rFonts w:ascii="Arial Black" w:hAnsi="Arial Black" w:cs="Arial"/>
        </w:rPr>
        <w:t>SWOT Analysis</w:t>
      </w:r>
      <w:r w:rsidRPr="00B81D40">
        <w:rPr>
          <w:rFonts w:ascii="Arial" w:hAnsi="Arial" w:cs="Arial"/>
        </w:rPr>
        <w:br/>
        <w:t xml:space="preserve">Green Future's internal SWOT study points up several strategic details. One of the strengths is a special business model combining environmental education and community involvement with modern recycling technologies. The company's creative strategy and strong technology foundation offer a competitive advantage. Still, </w:t>
      </w:r>
      <w:r w:rsidRPr="00B81D40">
        <w:rPr>
          <w:rFonts w:ascii="Arial" w:hAnsi="Arial" w:cs="Arial"/>
        </w:rPr>
        <w:lastRenderedPageBreak/>
        <w:t>weaknesses include the large initial capital outlay and the ongoing demand for technological enhancements. In the growing market for sustainable products as well as in government incentives supporting green innovations, there are many chances. Potential fluctuations in market prices for recycled materials, new rivals with like business strategies, and prospective legislative changes constitute among the threats. By means of this internal and external study, Green Future can maximise its advantages, overcome its shortcomings, get market possibilities, and reduce potential risks (Cohen and Winn, 2007; Crane et al., 2014).</w:t>
      </w:r>
      <w:r w:rsidRPr="00B81D40">
        <w:rPr>
          <w:rFonts w:ascii="Arial" w:hAnsi="Arial" w:cs="Arial"/>
        </w:rPr>
        <w:br/>
      </w:r>
      <w:r w:rsidRPr="00B81D40">
        <w:rPr>
          <w:rFonts w:ascii="Arial Black" w:hAnsi="Arial Black" w:cs="Arial"/>
        </w:rPr>
        <w:t>Financial Cash Flow Projections</w:t>
      </w:r>
      <w:r w:rsidRPr="00B81D40">
        <w:rPr>
          <w:rFonts w:ascii="Arial Black" w:hAnsi="Arial Black" w:cs="Arial"/>
        </w:rPr>
        <w:br/>
      </w:r>
      <w:r w:rsidRPr="00B81D40">
        <w:rPr>
          <w:rFonts w:ascii="Arial" w:hAnsi="Arial" w:cs="Arial"/>
        </w:rPr>
        <w:t>Green Future's predicted financial cash flow is intended to provide a clear picture of expected income and expenses in the early years of operation. Government subsidies and incentives targeted at sustainable businesses will supplement the mostly generated revenue from the sales of recycled materials and environmentally friendly products. Although initial income is predicted to be modest, operational efficiency gained and market penetration rises will cause slow development. Operating expenses will cover labour, facility maintenance, technology improvements, and marketing campaigns. Conservative revenue projections along with strict cost control policies indicate to a break-even point in two to three years, then consistent profit growth as the company expands its activities (Fowler and Hope, 2007; Friedman, 1970).</w:t>
      </w:r>
      <w:r w:rsidRPr="00B81D40">
        <w:rPr>
          <w:rFonts w:ascii="Arial" w:hAnsi="Arial" w:cs="Arial"/>
        </w:rPr>
        <w:br/>
      </w:r>
      <w:r w:rsidRPr="00B81D40">
        <w:rPr>
          <w:rFonts w:ascii="Arial Black" w:hAnsi="Arial Black" w:cs="Arial"/>
        </w:rPr>
        <w:t>Contingency Plan</w:t>
      </w:r>
      <w:r w:rsidRPr="00B81D40">
        <w:rPr>
          <w:rFonts w:ascii="Arial Black" w:hAnsi="Arial Black" w:cs="Arial"/>
        </w:rPr>
        <w:br/>
      </w:r>
      <w:r w:rsidRPr="00B81D40">
        <w:rPr>
          <w:rFonts w:ascii="Arial" w:hAnsi="Arial" w:cs="Arial"/>
        </w:rPr>
        <w:t xml:space="preserve">Green Future has created a strong contingency plan to help to reduce risks and handle unexpected obstacles. The strategy notes important risk factors including possible legislative changes, supply chain interruptions, and variations in raw material prices. The corporation will use adaptive tactics including cost-reducing </w:t>
      </w:r>
      <w:r w:rsidRPr="00B81D40">
        <w:rPr>
          <w:rFonts w:ascii="Arial" w:hAnsi="Arial" w:cs="Arial"/>
        </w:rPr>
        <w:lastRenderedPageBreak/>
        <w:t xml:space="preserve">measures, diversification of raw material sources, and management of a reserve fund to guarantee liquidity during downturns in reaction to these risks. Constant observation and frequent risk analyses will also help to quickly spot and handle emerging risks. Designed to protect the financial stability and operational continuity of the company, this proactive risk management system makes sure Green Future stays strong even under challenging conditions (Gast, Gundolf, and </w:t>
      </w:r>
      <w:proofErr w:type="spellStart"/>
      <w:r w:rsidRPr="00B81D40">
        <w:rPr>
          <w:rFonts w:ascii="Arial" w:hAnsi="Arial" w:cs="Arial"/>
        </w:rPr>
        <w:t>Cesinger</w:t>
      </w:r>
      <w:proofErr w:type="spellEnd"/>
      <w:r w:rsidRPr="00B81D40">
        <w:rPr>
          <w:rFonts w:ascii="Arial" w:hAnsi="Arial" w:cs="Arial"/>
        </w:rPr>
        <w:t xml:space="preserve">, 2017; </w:t>
      </w:r>
      <w:proofErr w:type="spellStart"/>
      <w:r w:rsidRPr="00B81D40">
        <w:rPr>
          <w:rFonts w:ascii="Arial" w:hAnsi="Arial" w:cs="Arial"/>
        </w:rPr>
        <w:t>Geissdoerfer</w:t>
      </w:r>
      <w:proofErr w:type="spellEnd"/>
      <w:r w:rsidRPr="00B81D40">
        <w:rPr>
          <w:rFonts w:ascii="Arial" w:hAnsi="Arial" w:cs="Arial"/>
        </w:rPr>
        <w:t xml:space="preserve"> et al., 2017).</w:t>
      </w:r>
      <w:r w:rsidRPr="00B81D40">
        <w:rPr>
          <w:rFonts w:ascii="Arial" w:hAnsi="Arial" w:cs="Arial"/>
        </w:rPr>
        <w:br/>
      </w:r>
      <w:r w:rsidRPr="00B81D40">
        <w:rPr>
          <w:rFonts w:ascii="Arial Black" w:hAnsi="Arial Black" w:cs="Arial"/>
        </w:rPr>
        <w:t>Operational Plan</w:t>
      </w:r>
      <w:r w:rsidRPr="00B81D40">
        <w:rPr>
          <w:rFonts w:ascii="Arial Black" w:hAnsi="Arial Black" w:cs="Arial"/>
        </w:rPr>
        <w:br/>
      </w:r>
      <w:r w:rsidRPr="00B81D40">
        <w:rPr>
          <w:rFonts w:ascii="Arial" w:hAnsi="Arial" w:cs="Arial"/>
        </w:rPr>
        <w:t>Efficiency, scalability, and sustainable manufacture define Green Future's operational plan. Modern recycling plant built by the company will feature automated waste sorting and processing equipment. This facility will be built to manage several waste sources, turning them into premium raw materials for industrial application. Every stage of the manufacturing process will include quality control techniques to guarantee that the final goods satisfy high industry criteria. Moreover, a good logistics system will be created to enable quick procurement and transportation of processed as well as raw goods. This operational structure is essential to guarantee that Green Future not only satisfies its sustainability objectives but also produces constant and dependable output (Hahn, Spieth, and Ince, 2018; Hahn et al., 2010).</w:t>
      </w:r>
      <w:r w:rsidRPr="00B81D40">
        <w:rPr>
          <w:rFonts w:ascii="Arial" w:hAnsi="Arial" w:cs="Arial"/>
        </w:rPr>
        <w:br/>
      </w:r>
      <w:r w:rsidRPr="00B81D40">
        <w:rPr>
          <w:rFonts w:ascii="Arial Black" w:hAnsi="Arial Black" w:cs="Arial"/>
        </w:rPr>
        <w:t>Marketing and Communication</w:t>
      </w:r>
      <w:r w:rsidRPr="00B81D40">
        <w:rPr>
          <w:rFonts w:ascii="Arial Black" w:hAnsi="Arial Black" w:cs="Arial"/>
        </w:rPr>
        <w:br/>
      </w:r>
      <w:r w:rsidRPr="00B81D40">
        <w:rPr>
          <w:rFonts w:ascii="Arial" w:hAnsi="Arial" w:cs="Arial"/>
        </w:rPr>
        <w:t xml:space="preserve">Green Future's marketing plan is meant to convey its dedication to innovation and sustainability. The company will present a story stressing openness, community involvement, and environmental effect. Green Future will share success stories and instructional materials stressing the advantages of a circular economy by means of press releases, digital marketing, and social media interaction. Working with environmental groups and influencers will help the business grow in scope and </w:t>
      </w:r>
      <w:r w:rsidRPr="00B81D40">
        <w:rPr>
          <w:rFonts w:ascii="Arial" w:hAnsi="Arial" w:cs="Arial"/>
        </w:rPr>
        <w:lastRenderedPageBreak/>
        <w:t xml:space="preserve">strengthen its reputation. Green Future wants to create a devoted clientele that supports ethical business operations and environmentally friendly practices by involving consumers in the sustainability path. This communication approach supports the company's leadership in sustainable innovation as well as improves brand awareness (Anbarasan, 2018; </w:t>
      </w:r>
      <w:proofErr w:type="spellStart"/>
      <w:r w:rsidRPr="00B81D40">
        <w:rPr>
          <w:rFonts w:ascii="Arial" w:hAnsi="Arial" w:cs="Arial"/>
        </w:rPr>
        <w:t>Chofreh</w:t>
      </w:r>
      <w:proofErr w:type="spellEnd"/>
      <w:r w:rsidRPr="00B81D40">
        <w:rPr>
          <w:rFonts w:ascii="Arial" w:hAnsi="Arial" w:cs="Arial"/>
        </w:rPr>
        <w:t>, 2018).</w:t>
      </w:r>
      <w:r w:rsidRPr="00B81D40">
        <w:rPr>
          <w:rFonts w:ascii="Arial" w:hAnsi="Arial" w:cs="Arial"/>
        </w:rPr>
        <w:br/>
      </w:r>
      <w:r w:rsidRPr="00B81D40">
        <w:rPr>
          <w:rFonts w:ascii="Arial Black" w:hAnsi="Arial Black" w:cs="Arial"/>
        </w:rPr>
        <w:t>Financial Strategy and Projections</w:t>
      </w:r>
      <w:r w:rsidRPr="00B81D40">
        <w:rPr>
          <w:rFonts w:ascii="Arial Black" w:hAnsi="Arial Black" w:cs="Arial"/>
        </w:rPr>
        <w:br/>
      </w:r>
      <w:r w:rsidRPr="00B81D40">
        <w:rPr>
          <w:rFonts w:ascii="Arial" w:hAnsi="Arial" w:cs="Arial"/>
        </w:rPr>
        <w:t>Green Future's financial plan is based on aligning long-term profitability with short-term expenditures. The company has created a thorough financial projection showing predicted cash flows throughout the first operational years. With extra money from government grants and environmental promotions, revenue generating is expected mostly from the sale of recycled raw materials and sustainable goods. The financial forecasts show that the company will reach a break-even point in two to three years following an initial phase of low income and large capital expenditure. The approach to guarantee sustainable profitability and investments in expansion is based on strict financial discipline together with an emphasis on cost optimisation and income diversification. While offering a strong basis for future growth, the conservative attitude to financial planning reduces risks (Fowler and Hope, 2007; Friedman, 1970).</w:t>
      </w:r>
      <w:r w:rsidRPr="00B81D40">
        <w:rPr>
          <w:rFonts w:ascii="Arial" w:hAnsi="Arial" w:cs="Arial"/>
        </w:rPr>
        <w:br/>
      </w:r>
      <w:r w:rsidRPr="00B81D40">
        <w:rPr>
          <w:rFonts w:ascii="Arial Black" w:hAnsi="Arial Black" w:cs="Arial"/>
        </w:rPr>
        <w:t>Risk Management and Contingency Planning</w:t>
      </w:r>
      <w:r w:rsidRPr="00B81D40">
        <w:rPr>
          <w:rFonts w:ascii="Arial Black" w:hAnsi="Arial Black" w:cs="Arial"/>
        </w:rPr>
        <w:br/>
      </w:r>
      <w:r w:rsidRPr="00B81D40">
        <w:rPr>
          <w:rFonts w:ascii="Arial" w:hAnsi="Arial" w:cs="Arial"/>
        </w:rPr>
        <w:t xml:space="preserve">Understanding the natural uncertainty in the market, Green Future has developed a thorough risk-management system. This structure calls for ongoing observation of outside market conditions, frequent evaluation of operational performance, and decisive action to prevent possible problems. Significant risks such changes in regulatory rules, supply chain delays, and volatility in raw material prices are noted and </w:t>
      </w:r>
      <w:r w:rsidR="00932685" w:rsidRPr="00B81D40">
        <w:rPr>
          <w:rFonts w:ascii="Arial" w:hAnsi="Arial" w:cs="Arial"/>
        </w:rPr>
        <w:t>mitigating</w:t>
      </w:r>
      <w:r w:rsidRPr="00B81D40">
        <w:rPr>
          <w:rFonts w:ascii="Arial" w:hAnsi="Arial" w:cs="Arial"/>
        </w:rPr>
        <w:t xml:space="preserve"> techniques are in place. The corporation will, for instance, have a </w:t>
      </w:r>
      <w:r w:rsidRPr="00B81D40">
        <w:rPr>
          <w:rFonts w:ascii="Arial" w:hAnsi="Arial" w:cs="Arial"/>
        </w:rPr>
        <w:lastRenderedPageBreak/>
        <w:t xml:space="preserve">reserve fund to control its cash flow and spread its supply base to reduce reliance on one source. Furthermore, regular risk analyses and flexible operational plans guarantee that Green Future can react fast to any emerging risks. This all-encompassing strategy for risk management guarantees that the company stays strong and able of running long-term activities in different market conditions (Gast, Gundolf, and </w:t>
      </w:r>
      <w:proofErr w:type="spellStart"/>
      <w:r w:rsidRPr="00B81D40">
        <w:rPr>
          <w:rFonts w:ascii="Arial" w:hAnsi="Arial" w:cs="Arial"/>
        </w:rPr>
        <w:t>Cesinger</w:t>
      </w:r>
      <w:proofErr w:type="spellEnd"/>
      <w:r w:rsidRPr="00B81D40">
        <w:rPr>
          <w:rFonts w:ascii="Arial" w:hAnsi="Arial" w:cs="Arial"/>
        </w:rPr>
        <w:t xml:space="preserve">, 2017; </w:t>
      </w:r>
      <w:proofErr w:type="spellStart"/>
      <w:r w:rsidRPr="00B81D40">
        <w:rPr>
          <w:rFonts w:ascii="Arial" w:hAnsi="Arial" w:cs="Arial"/>
        </w:rPr>
        <w:t>Geissdoerfer</w:t>
      </w:r>
      <w:proofErr w:type="spellEnd"/>
      <w:r w:rsidRPr="00B81D40">
        <w:rPr>
          <w:rFonts w:ascii="Arial" w:hAnsi="Arial" w:cs="Arial"/>
        </w:rPr>
        <w:t xml:space="preserve"> et al., 2017).</w:t>
      </w:r>
      <w:r w:rsidRPr="00B81D40">
        <w:rPr>
          <w:rFonts w:ascii="Arial" w:hAnsi="Arial" w:cs="Arial"/>
        </w:rPr>
        <w:br/>
      </w:r>
      <w:r w:rsidRPr="00B81D40">
        <w:rPr>
          <w:rFonts w:ascii="Arial Black" w:hAnsi="Arial Black" w:cs="Arial"/>
        </w:rPr>
        <w:t>Community Engagement and Corporate Social Responsibility.</w:t>
      </w:r>
      <w:r w:rsidRPr="00B81D40">
        <w:rPr>
          <w:rFonts w:ascii="Arial Black" w:hAnsi="Arial Black" w:cs="Arial"/>
        </w:rPr>
        <w:br/>
      </w:r>
      <w:r w:rsidRPr="00B81D40">
        <w:rPr>
          <w:rFonts w:ascii="Arial" w:hAnsi="Arial" w:cs="Arial"/>
        </w:rPr>
        <w:t>By interacting with local communities and encouraging sustainable practices outside of its immediate activities, Green Future is dedicated to being a responsible corporate citizen. To increase knowledge of recycling, trash reduction, and the circular economy, the corporation will start community education initiatives and work with near governments and non-profit organisations. Green Future not only increases its social impact but also fosters trust and loyalty among its stakeholders by including the society in its goal. Reflecting the company's dedication to environmental preservation and social well-being, corporate social responsibility projects will become central to its character. This community-centric approach supports the sustainability agenda of the company and offers a competitive edge in developing a brand with social conscience (Hahn et al., 2010; Hahn, Spieth, and Ince, 2018).</w:t>
      </w:r>
      <w:r w:rsidRPr="00B81D40">
        <w:rPr>
          <w:rFonts w:ascii="Arial" w:hAnsi="Arial" w:cs="Arial"/>
        </w:rPr>
        <w:br/>
      </w:r>
    </w:p>
    <w:p w14:paraId="6669F82E" w14:textId="77777777" w:rsidR="00932685" w:rsidRDefault="00932685" w:rsidP="00B81D40">
      <w:pPr>
        <w:spacing w:line="480" w:lineRule="auto"/>
        <w:rPr>
          <w:rFonts w:ascii="Arial Black" w:hAnsi="Arial Black" w:cs="Arial"/>
        </w:rPr>
      </w:pPr>
    </w:p>
    <w:p w14:paraId="124E3187" w14:textId="77777777" w:rsidR="00932685" w:rsidRDefault="00932685" w:rsidP="00B81D40">
      <w:pPr>
        <w:spacing w:line="480" w:lineRule="auto"/>
        <w:rPr>
          <w:rFonts w:ascii="Arial Black" w:hAnsi="Arial Black" w:cs="Arial"/>
        </w:rPr>
      </w:pPr>
    </w:p>
    <w:p w14:paraId="1949307A" w14:textId="77777777" w:rsidR="00932685" w:rsidRDefault="00932685" w:rsidP="00B81D40">
      <w:pPr>
        <w:spacing w:line="480" w:lineRule="auto"/>
        <w:rPr>
          <w:rFonts w:ascii="Arial" w:hAnsi="Arial" w:cs="Arial"/>
        </w:rPr>
      </w:pPr>
      <w:r w:rsidRPr="00932685">
        <w:rPr>
          <w:rFonts w:ascii="Arial Black" w:hAnsi="Arial Black" w:cs="Arial"/>
        </w:rPr>
        <w:lastRenderedPageBreak/>
        <w:t>C</w:t>
      </w:r>
      <w:r w:rsidR="00B81D40" w:rsidRPr="00B81D40">
        <w:rPr>
          <w:rFonts w:ascii="Arial Black" w:hAnsi="Arial Black" w:cs="Arial"/>
        </w:rPr>
        <w:t>onclusion</w:t>
      </w:r>
      <w:r w:rsidR="00B81D40" w:rsidRPr="00B81D40">
        <w:rPr>
          <w:rFonts w:ascii="Arial" w:hAnsi="Arial" w:cs="Arial"/>
        </w:rPr>
        <w:br/>
        <w:t>In conclusion, Green Future's creative approach to waste management and resource recycling will help it to lead in the scene of sustainable businesses. The business plan offered here articulates a clear vision, which is underpinned by a strong sustainability strategy, extensive resource planning, and thorough market research. From the integration of innovative technology and instructed human capital to the creation of a strong financial model and proactive risk management strategy, every element of the plan has been intended to guarantee that the company not only meets but exceeds modern environmental and economic expectations. Green Future positions itself as a leader in transforming waste into opportunity by expressing the ideas of a circular economy and thereby generating shared benefit for stakeholders. By means of ongoing innovation and strategic community involvement, the company is on track to provide major environmental, social, and financial gains, so establishing fresh standards in sustainable business practices (Hahn et al., 2015; Edgeman and Eskildsen, 2014).</w:t>
      </w:r>
      <w:r w:rsidR="00B81D40" w:rsidRPr="00B81D40">
        <w:rPr>
          <w:rFonts w:ascii="Arial" w:hAnsi="Arial" w:cs="Arial"/>
        </w:rPr>
        <w:br/>
        <w:t>Every component of the business plan has been meticulously developed under guidance from accepted industry best practices and academic research. Green Future is especially positioned to significantly contribute to a better future by matching its activities with top sustainability frameworks and always changing to fit market dynamics. Combining thorough studies ranging from PESTLE and SWOT to thorough financial predictions guarantees that every element of the company is orientated towards long-term success and sustainability. Driving a legacy of sustainable enterprise and corporate excellence, the company's dedication to environmental stewardship, technological innovation, and social responsibility will remain top priority as it transitions from planning to implementation</w:t>
      </w:r>
      <w:r>
        <w:rPr>
          <w:rFonts w:ascii="Arial" w:hAnsi="Arial" w:cs="Arial"/>
        </w:rPr>
        <w:t>.</w:t>
      </w:r>
    </w:p>
    <w:p w14:paraId="4A2AEF01" w14:textId="09C4653C" w:rsidR="00B81D40" w:rsidRDefault="00B81D40" w:rsidP="00B81D40">
      <w:pPr>
        <w:spacing w:line="480" w:lineRule="auto"/>
        <w:rPr>
          <w:rFonts w:ascii="Arial" w:hAnsi="Arial" w:cs="Arial"/>
        </w:rPr>
      </w:pPr>
      <w:r w:rsidRPr="00B81D40">
        <w:rPr>
          <w:rFonts w:ascii="Arial" w:hAnsi="Arial" w:cs="Arial"/>
        </w:rPr>
        <w:lastRenderedPageBreak/>
        <w:t xml:space="preserve">Green Future is ultimately a visionary project that reflects the meeting of sustainability and business. The business plan not only shows a road to financial success but also emphasises the need of including environmental responsibility at the centre of corporate strategy. Resilient and flexible business models are created by the company's dedication to innovation, demanding operational standards, and involvement of stakeholders. By doing this, Green Future hopes to affect industrial practices and support the worldwide push towards a sustainable future in addition to grabbing on present business possibilities (Anbarasan, 2018; </w:t>
      </w:r>
      <w:proofErr w:type="spellStart"/>
      <w:r w:rsidRPr="00B81D40">
        <w:rPr>
          <w:rFonts w:ascii="Arial" w:hAnsi="Arial" w:cs="Arial"/>
        </w:rPr>
        <w:t>Chofreh</w:t>
      </w:r>
      <w:proofErr w:type="spellEnd"/>
      <w:r w:rsidRPr="00B81D40">
        <w:rPr>
          <w:rFonts w:ascii="Arial" w:hAnsi="Arial" w:cs="Arial"/>
        </w:rPr>
        <w:t>, 2018).</w:t>
      </w:r>
      <w:r w:rsidRPr="00B81D40">
        <w:rPr>
          <w:rFonts w:ascii="Arial" w:hAnsi="Arial" w:cs="Arial"/>
        </w:rPr>
        <w:br/>
        <w:t xml:space="preserve">Green Future is set to rewrite the bounds of sustainable business by combining the insights of academic literature with practical business methods. The all-encompassing strategy described in </w:t>
      </w:r>
      <w:r w:rsidR="00932685" w:rsidRPr="00B81D40">
        <w:rPr>
          <w:rFonts w:ascii="Arial" w:hAnsi="Arial" w:cs="Arial"/>
        </w:rPr>
        <w:t>these guarantees</w:t>
      </w:r>
      <w:r w:rsidRPr="00B81D40">
        <w:rPr>
          <w:rFonts w:ascii="Arial" w:hAnsi="Arial" w:cs="Arial"/>
        </w:rPr>
        <w:t xml:space="preserve"> that the business is ready to negotiate obstacles, grab new prospects, and provide long-lasting value for its customers. Green Future is not only creating a profitable business but also a legacy of environmental and social responsibility that will be a model for next sustainable enterprises thanks to its relentless commitment to the ideas of a circular economy, advanced technological integration, and strong risk management</w:t>
      </w:r>
      <w:r w:rsidR="00932685">
        <w:rPr>
          <w:rFonts w:ascii="Arial" w:hAnsi="Arial" w:cs="Arial"/>
        </w:rPr>
        <w:t>.</w:t>
      </w:r>
    </w:p>
    <w:p w14:paraId="30A98D16" w14:textId="77777777" w:rsidR="00932685" w:rsidRDefault="00932685" w:rsidP="00B81D40">
      <w:pPr>
        <w:spacing w:line="480" w:lineRule="auto"/>
        <w:rPr>
          <w:rFonts w:ascii="Arial" w:hAnsi="Arial" w:cs="Arial"/>
        </w:rPr>
      </w:pPr>
    </w:p>
    <w:p w14:paraId="683D0005" w14:textId="77777777" w:rsidR="00932685" w:rsidRDefault="00932685" w:rsidP="00B81D40">
      <w:pPr>
        <w:spacing w:line="480" w:lineRule="auto"/>
        <w:rPr>
          <w:rFonts w:ascii="Arial" w:hAnsi="Arial" w:cs="Arial"/>
        </w:rPr>
      </w:pPr>
    </w:p>
    <w:p w14:paraId="55021015" w14:textId="77777777" w:rsidR="00932685" w:rsidRDefault="00932685" w:rsidP="00B81D40">
      <w:pPr>
        <w:spacing w:line="480" w:lineRule="auto"/>
        <w:rPr>
          <w:rFonts w:ascii="Arial" w:hAnsi="Arial" w:cs="Arial"/>
        </w:rPr>
      </w:pPr>
    </w:p>
    <w:p w14:paraId="041A4190" w14:textId="77777777" w:rsidR="00932685" w:rsidRDefault="00932685" w:rsidP="00B81D40">
      <w:pPr>
        <w:spacing w:line="480" w:lineRule="auto"/>
        <w:rPr>
          <w:rFonts w:ascii="Arial" w:hAnsi="Arial" w:cs="Arial"/>
        </w:rPr>
      </w:pPr>
    </w:p>
    <w:p w14:paraId="271EE6EB" w14:textId="77777777" w:rsidR="00932685" w:rsidRDefault="00932685" w:rsidP="00B81D40">
      <w:pPr>
        <w:spacing w:line="480" w:lineRule="auto"/>
        <w:rPr>
          <w:rFonts w:ascii="Arial" w:hAnsi="Arial" w:cs="Arial"/>
        </w:rPr>
      </w:pPr>
    </w:p>
    <w:p w14:paraId="3C9249C7" w14:textId="77777777" w:rsidR="00932685" w:rsidRDefault="00932685" w:rsidP="00B81D40">
      <w:pPr>
        <w:spacing w:line="480" w:lineRule="auto"/>
        <w:rPr>
          <w:rFonts w:ascii="Arial" w:hAnsi="Arial" w:cs="Arial"/>
        </w:rPr>
      </w:pPr>
    </w:p>
    <w:p w14:paraId="51DE196C" w14:textId="77777777" w:rsidR="00932685" w:rsidRDefault="00932685" w:rsidP="00B81D40">
      <w:pPr>
        <w:spacing w:line="480" w:lineRule="auto"/>
        <w:rPr>
          <w:rFonts w:ascii="Arial" w:hAnsi="Arial" w:cs="Arial"/>
        </w:rPr>
      </w:pPr>
    </w:p>
    <w:p w14:paraId="2E046B54" w14:textId="498CC69D" w:rsidR="00932685" w:rsidRPr="004919B1" w:rsidRDefault="00932685" w:rsidP="00B81D40">
      <w:pPr>
        <w:spacing w:line="480" w:lineRule="auto"/>
        <w:rPr>
          <w:rFonts w:ascii="Arial Black" w:hAnsi="Arial Black" w:cs="Arial"/>
        </w:rPr>
      </w:pPr>
      <w:r w:rsidRPr="004919B1">
        <w:rPr>
          <w:rFonts w:ascii="Arial Black" w:hAnsi="Arial Black" w:cs="Arial"/>
        </w:rPr>
        <w:lastRenderedPageBreak/>
        <w:t xml:space="preserve">References </w:t>
      </w:r>
    </w:p>
    <w:p w14:paraId="34DD3D1B" w14:textId="77777777" w:rsidR="0057529A" w:rsidRDefault="00932685" w:rsidP="00932685">
      <w:pPr>
        <w:spacing w:line="480" w:lineRule="auto"/>
        <w:rPr>
          <w:rFonts w:ascii="Arial" w:hAnsi="Arial" w:cs="Arial"/>
        </w:rPr>
      </w:pPr>
      <w:r w:rsidRPr="00932685">
        <w:rPr>
          <w:rFonts w:ascii="Arial" w:hAnsi="Arial" w:cs="Arial"/>
        </w:rPr>
        <w:t xml:space="preserve">Anbarasan, P. (2018). Stakeholder engagement in sustainable enterprise: Evolving a conceptual framework, and a case study of ITC. </w:t>
      </w:r>
      <w:r w:rsidRPr="00C63FD7">
        <w:rPr>
          <w:rFonts w:ascii="Arial" w:hAnsi="Arial" w:cs="Arial"/>
          <w:i/>
          <w:iCs/>
        </w:rPr>
        <w:t>Business Strategy &amp; the Environment, 27</w:t>
      </w:r>
      <w:r w:rsidRPr="00932685">
        <w:rPr>
          <w:rFonts w:ascii="Arial" w:hAnsi="Arial" w:cs="Arial"/>
        </w:rPr>
        <w:t>(3), 282–300.</w:t>
      </w:r>
    </w:p>
    <w:p w14:paraId="2063D070" w14:textId="7E0F7BC5" w:rsidR="00C63FD7" w:rsidRDefault="00932685" w:rsidP="00932685">
      <w:pPr>
        <w:spacing w:line="480" w:lineRule="auto"/>
        <w:rPr>
          <w:rFonts w:ascii="Arial" w:hAnsi="Arial" w:cs="Arial"/>
        </w:rPr>
      </w:pPr>
      <w:r w:rsidRPr="00932685">
        <w:rPr>
          <w:rFonts w:ascii="Arial" w:hAnsi="Arial" w:cs="Arial"/>
        </w:rPr>
        <w:t xml:space="preserve">Boons, F., &amp; </w:t>
      </w:r>
      <w:proofErr w:type="spellStart"/>
      <w:r w:rsidRPr="00932685">
        <w:rPr>
          <w:rFonts w:ascii="Arial" w:hAnsi="Arial" w:cs="Arial"/>
        </w:rPr>
        <w:t>Lüdeke</w:t>
      </w:r>
      <w:proofErr w:type="spellEnd"/>
      <w:r w:rsidRPr="00932685">
        <w:rPr>
          <w:rFonts w:ascii="Cambria Math" w:hAnsi="Cambria Math" w:cs="Cambria Math"/>
        </w:rPr>
        <w:t>‐</w:t>
      </w:r>
      <w:r w:rsidRPr="00932685">
        <w:rPr>
          <w:rFonts w:ascii="Arial" w:hAnsi="Arial" w:cs="Arial"/>
        </w:rPr>
        <w:t>Freund, F. (2013). Business models for sustainable innovation: State</w:t>
      </w:r>
      <w:r w:rsidRPr="00932685">
        <w:rPr>
          <w:rFonts w:ascii="Cambria Math" w:hAnsi="Cambria Math" w:cs="Cambria Math"/>
        </w:rPr>
        <w:t>‐</w:t>
      </w:r>
      <w:r w:rsidRPr="00932685">
        <w:rPr>
          <w:rFonts w:ascii="Arial" w:hAnsi="Arial" w:cs="Arial"/>
        </w:rPr>
        <w:t>of</w:t>
      </w:r>
      <w:r w:rsidRPr="00932685">
        <w:rPr>
          <w:rFonts w:ascii="Cambria Math" w:hAnsi="Cambria Math" w:cs="Cambria Math"/>
        </w:rPr>
        <w:t>‐</w:t>
      </w:r>
      <w:r w:rsidRPr="00932685">
        <w:rPr>
          <w:rFonts w:ascii="Arial" w:hAnsi="Arial" w:cs="Arial"/>
        </w:rPr>
        <w:t>the</w:t>
      </w:r>
      <w:r w:rsidRPr="00932685">
        <w:rPr>
          <w:rFonts w:ascii="Cambria Math" w:hAnsi="Cambria Math" w:cs="Cambria Math"/>
        </w:rPr>
        <w:t>‐</w:t>
      </w:r>
      <w:r w:rsidRPr="00932685">
        <w:rPr>
          <w:rFonts w:ascii="Arial" w:hAnsi="Arial" w:cs="Arial"/>
        </w:rPr>
        <w:t xml:space="preserve">art and steps towards a research agenda. </w:t>
      </w:r>
      <w:r w:rsidRPr="00C63FD7">
        <w:rPr>
          <w:rFonts w:ascii="Arial" w:hAnsi="Arial" w:cs="Arial"/>
          <w:i/>
          <w:iCs/>
        </w:rPr>
        <w:t xml:space="preserve">Journal of Cleaner Production, 45, </w:t>
      </w:r>
      <w:r w:rsidRPr="00932685">
        <w:rPr>
          <w:rFonts w:ascii="Arial" w:hAnsi="Arial" w:cs="Arial"/>
        </w:rPr>
        <w:t xml:space="preserve">9–19. </w:t>
      </w:r>
      <w:hyperlink r:id="rId9" w:history="1">
        <w:r w:rsidR="00C63FD7" w:rsidRPr="00F648E9">
          <w:rPr>
            <w:rStyle w:val="Hyperlink"/>
            <w:rFonts w:ascii="Arial" w:hAnsi="Arial" w:cs="Arial"/>
          </w:rPr>
          <w:t>https://doi.org/10.1016/j.jclepro.2012.07.007</w:t>
        </w:r>
      </w:hyperlink>
    </w:p>
    <w:p w14:paraId="1142BDAC" w14:textId="77777777" w:rsidR="00C63FD7" w:rsidRDefault="00932685" w:rsidP="00932685">
      <w:pPr>
        <w:spacing w:line="480" w:lineRule="auto"/>
        <w:rPr>
          <w:rFonts w:ascii="Arial" w:hAnsi="Arial" w:cs="Arial"/>
        </w:rPr>
      </w:pPr>
      <w:r w:rsidRPr="00932685">
        <w:rPr>
          <w:rFonts w:ascii="Arial" w:hAnsi="Arial" w:cs="Arial"/>
        </w:rPr>
        <w:t xml:space="preserve">Campbell, J. L. (2007). Why would corporations behave in socially responsible ways? An institutional theory of corporate social responsibility. </w:t>
      </w:r>
      <w:r w:rsidRPr="00C63FD7">
        <w:rPr>
          <w:rFonts w:ascii="Arial" w:hAnsi="Arial" w:cs="Arial"/>
          <w:i/>
          <w:iCs/>
        </w:rPr>
        <w:t>Academy of Management Review, 32</w:t>
      </w:r>
      <w:r w:rsidRPr="00932685">
        <w:rPr>
          <w:rFonts w:ascii="Arial" w:hAnsi="Arial" w:cs="Arial"/>
        </w:rPr>
        <w:t>(3), 946–967.</w:t>
      </w:r>
    </w:p>
    <w:p w14:paraId="57760C8A" w14:textId="77777777" w:rsidR="00C63FD7" w:rsidRDefault="00932685" w:rsidP="00932685">
      <w:pPr>
        <w:spacing w:line="480" w:lineRule="auto"/>
        <w:rPr>
          <w:rFonts w:ascii="Arial" w:hAnsi="Arial" w:cs="Arial"/>
        </w:rPr>
      </w:pPr>
      <w:proofErr w:type="spellStart"/>
      <w:r w:rsidRPr="00932685">
        <w:rPr>
          <w:rFonts w:ascii="Arial" w:hAnsi="Arial" w:cs="Arial"/>
        </w:rPr>
        <w:t>Chofreh</w:t>
      </w:r>
      <w:proofErr w:type="spellEnd"/>
      <w:r w:rsidRPr="00932685">
        <w:rPr>
          <w:rFonts w:ascii="Arial" w:hAnsi="Arial" w:cs="Arial"/>
        </w:rPr>
        <w:t xml:space="preserve">, A. G. (2018). Sustainable enterprise resource planning systems implementation: A framework development. </w:t>
      </w:r>
      <w:r w:rsidRPr="00C63FD7">
        <w:rPr>
          <w:rFonts w:ascii="Arial" w:hAnsi="Arial" w:cs="Arial"/>
          <w:i/>
          <w:iCs/>
        </w:rPr>
        <w:t>Journal of Cleaner Production, 198</w:t>
      </w:r>
      <w:r w:rsidRPr="00932685">
        <w:rPr>
          <w:rFonts w:ascii="Arial" w:hAnsi="Arial" w:cs="Arial"/>
        </w:rPr>
        <w:t>, 1345–1355.</w:t>
      </w:r>
    </w:p>
    <w:p w14:paraId="68C56BEC" w14:textId="56B85F53" w:rsidR="00C63FD7" w:rsidRDefault="00932685" w:rsidP="00932685">
      <w:pPr>
        <w:spacing w:line="480" w:lineRule="auto"/>
        <w:rPr>
          <w:rFonts w:ascii="Arial" w:hAnsi="Arial" w:cs="Arial"/>
        </w:rPr>
      </w:pPr>
      <w:r w:rsidRPr="00932685">
        <w:rPr>
          <w:rFonts w:ascii="Arial" w:hAnsi="Arial" w:cs="Arial"/>
        </w:rPr>
        <w:t xml:space="preserve">Cohen, B., &amp; Winn, M. I. (2007). Market imperfections, opportunity and sustainable entrepreneurship. </w:t>
      </w:r>
      <w:r w:rsidRPr="00C63FD7">
        <w:rPr>
          <w:rFonts w:ascii="Arial" w:hAnsi="Arial" w:cs="Arial"/>
          <w:i/>
          <w:iCs/>
        </w:rPr>
        <w:t>Journal of Business Venturing, 22(</w:t>
      </w:r>
      <w:r w:rsidRPr="00932685">
        <w:rPr>
          <w:rFonts w:ascii="Arial" w:hAnsi="Arial" w:cs="Arial"/>
        </w:rPr>
        <w:t xml:space="preserve">1), 29–49. </w:t>
      </w:r>
      <w:hyperlink r:id="rId10" w:history="1">
        <w:r w:rsidR="00C63FD7" w:rsidRPr="00F648E9">
          <w:rPr>
            <w:rStyle w:val="Hyperlink"/>
            <w:rFonts w:ascii="Arial" w:hAnsi="Arial" w:cs="Arial"/>
          </w:rPr>
          <w:t>https://doi.org/10.1016/j.jbusvent.2004.12.001</w:t>
        </w:r>
      </w:hyperlink>
    </w:p>
    <w:p w14:paraId="3BADDF71" w14:textId="3B1D2947" w:rsidR="00932685" w:rsidRPr="00932685" w:rsidRDefault="00932685" w:rsidP="00932685">
      <w:pPr>
        <w:spacing w:line="480" w:lineRule="auto"/>
        <w:rPr>
          <w:rFonts w:ascii="Arial" w:hAnsi="Arial" w:cs="Arial"/>
        </w:rPr>
      </w:pPr>
      <w:r w:rsidRPr="00932685">
        <w:rPr>
          <w:rFonts w:ascii="Arial" w:hAnsi="Arial" w:cs="Arial"/>
        </w:rPr>
        <w:t xml:space="preserve">Crane, A., Palazzo, G., Spence, L. J., &amp; Matten, D. (2014). Contesting the value of “creating shared value”. </w:t>
      </w:r>
      <w:r w:rsidRPr="00C63FD7">
        <w:rPr>
          <w:rFonts w:ascii="Arial" w:hAnsi="Arial" w:cs="Arial"/>
          <w:i/>
          <w:iCs/>
        </w:rPr>
        <w:t>California Management Review, 56</w:t>
      </w:r>
      <w:r w:rsidRPr="00932685">
        <w:rPr>
          <w:rFonts w:ascii="Arial" w:hAnsi="Arial" w:cs="Arial"/>
        </w:rPr>
        <w:t>(2), 130–153.</w:t>
      </w:r>
    </w:p>
    <w:p w14:paraId="7AD1FBC1" w14:textId="77777777" w:rsidR="00932685" w:rsidRPr="00932685" w:rsidRDefault="00932685" w:rsidP="00932685">
      <w:pPr>
        <w:spacing w:line="480" w:lineRule="auto"/>
        <w:rPr>
          <w:rFonts w:ascii="Arial" w:hAnsi="Arial" w:cs="Arial"/>
        </w:rPr>
      </w:pPr>
      <w:r w:rsidRPr="00932685">
        <w:rPr>
          <w:rFonts w:ascii="Arial" w:hAnsi="Arial" w:cs="Arial"/>
        </w:rPr>
        <w:t xml:space="preserve">Edgeman, R., &amp; Eskildsen, J. (2014). Modelling and assessing sustainable enterprise excellence. </w:t>
      </w:r>
      <w:r w:rsidRPr="004919B1">
        <w:rPr>
          <w:rFonts w:ascii="Arial" w:hAnsi="Arial" w:cs="Arial"/>
          <w:i/>
          <w:iCs/>
        </w:rPr>
        <w:t>Business Strategy and the Environment, 23</w:t>
      </w:r>
      <w:r w:rsidRPr="00932685">
        <w:rPr>
          <w:rFonts w:ascii="Arial" w:hAnsi="Arial" w:cs="Arial"/>
        </w:rPr>
        <w:t>(3), 173–187.</w:t>
      </w:r>
    </w:p>
    <w:p w14:paraId="6DB3B6B8" w14:textId="77777777" w:rsidR="00932685" w:rsidRPr="00932685" w:rsidRDefault="00932685" w:rsidP="00932685">
      <w:pPr>
        <w:spacing w:line="480" w:lineRule="auto"/>
        <w:rPr>
          <w:rFonts w:ascii="Arial" w:hAnsi="Arial" w:cs="Arial"/>
        </w:rPr>
      </w:pPr>
      <w:proofErr w:type="spellStart"/>
      <w:r w:rsidRPr="00932685">
        <w:rPr>
          <w:rFonts w:ascii="Arial" w:hAnsi="Arial" w:cs="Arial"/>
        </w:rPr>
        <w:t>Febrizal</w:t>
      </w:r>
      <w:proofErr w:type="spellEnd"/>
      <w:r w:rsidRPr="00932685">
        <w:rPr>
          <w:rFonts w:ascii="Arial" w:hAnsi="Arial" w:cs="Arial"/>
        </w:rPr>
        <w:t xml:space="preserve"> </w:t>
      </w:r>
      <w:proofErr w:type="spellStart"/>
      <w:r w:rsidRPr="00932685">
        <w:rPr>
          <w:rFonts w:ascii="Arial" w:hAnsi="Arial" w:cs="Arial"/>
        </w:rPr>
        <w:t>Rahmana</w:t>
      </w:r>
      <w:proofErr w:type="spellEnd"/>
      <w:r w:rsidRPr="00932685">
        <w:rPr>
          <w:rFonts w:ascii="Arial" w:hAnsi="Arial" w:cs="Arial"/>
        </w:rPr>
        <w:t xml:space="preserve">, A., &amp; </w:t>
      </w:r>
      <w:proofErr w:type="spellStart"/>
      <w:r w:rsidRPr="00932685">
        <w:rPr>
          <w:rFonts w:ascii="Arial" w:hAnsi="Arial" w:cs="Arial"/>
        </w:rPr>
        <w:t>Bawono</w:t>
      </w:r>
      <w:proofErr w:type="spellEnd"/>
      <w:r w:rsidRPr="00932685">
        <w:rPr>
          <w:rFonts w:ascii="Arial" w:hAnsi="Arial" w:cs="Arial"/>
        </w:rPr>
        <w:t xml:space="preserve">, (2020). Sustainable development toward sustainable enterprise. </w:t>
      </w:r>
      <w:r w:rsidRPr="004919B1">
        <w:rPr>
          <w:rFonts w:ascii="Arial" w:hAnsi="Arial" w:cs="Arial"/>
          <w:i/>
          <w:iCs/>
        </w:rPr>
        <w:t>Management Science Letters, 11</w:t>
      </w:r>
      <w:r w:rsidRPr="00932685">
        <w:rPr>
          <w:rFonts w:ascii="Arial" w:hAnsi="Arial" w:cs="Arial"/>
        </w:rPr>
        <w:t>(2), 657–668.</w:t>
      </w:r>
    </w:p>
    <w:p w14:paraId="2275B0F9" w14:textId="77777777" w:rsidR="00932685" w:rsidRPr="00932685" w:rsidRDefault="00932685" w:rsidP="00932685">
      <w:pPr>
        <w:spacing w:line="480" w:lineRule="auto"/>
        <w:rPr>
          <w:rFonts w:ascii="Arial" w:hAnsi="Arial" w:cs="Arial"/>
        </w:rPr>
      </w:pPr>
    </w:p>
    <w:p w14:paraId="15A73ED5" w14:textId="708BEBA0" w:rsidR="004919B1" w:rsidRDefault="00932685" w:rsidP="00932685">
      <w:pPr>
        <w:spacing w:line="480" w:lineRule="auto"/>
        <w:rPr>
          <w:rFonts w:ascii="Arial" w:hAnsi="Arial" w:cs="Arial"/>
        </w:rPr>
      </w:pPr>
      <w:r w:rsidRPr="00932685">
        <w:rPr>
          <w:rFonts w:ascii="Arial" w:hAnsi="Arial" w:cs="Arial"/>
        </w:rPr>
        <w:t xml:space="preserve">Fowler, S. J., &amp; Hope, C. (2007). Incorporating sustainable business practices into company strategy. </w:t>
      </w:r>
      <w:r w:rsidRPr="004919B1">
        <w:rPr>
          <w:rFonts w:ascii="Arial" w:hAnsi="Arial" w:cs="Arial"/>
          <w:i/>
          <w:iCs/>
        </w:rPr>
        <w:t>Business Strategy and the Environment, 16</w:t>
      </w:r>
      <w:r w:rsidRPr="00932685">
        <w:rPr>
          <w:rFonts w:ascii="Arial" w:hAnsi="Arial" w:cs="Arial"/>
        </w:rPr>
        <w:t xml:space="preserve">(1), 26–38. </w:t>
      </w:r>
      <w:hyperlink r:id="rId11" w:history="1">
        <w:r w:rsidR="004919B1" w:rsidRPr="00F648E9">
          <w:rPr>
            <w:rStyle w:val="Hyperlink"/>
            <w:rFonts w:ascii="Arial" w:hAnsi="Arial" w:cs="Arial"/>
          </w:rPr>
          <w:t>https://doi.org/10.1002/bse.462</w:t>
        </w:r>
      </w:hyperlink>
    </w:p>
    <w:p w14:paraId="4AEF946A" w14:textId="44AF56F1" w:rsidR="00932685" w:rsidRPr="00932685" w:rsidRDefault="00932685" w:rsidP="00932685">
      <w:pPr>
        <w:spacing w:line="480" w:lineRule="auto"/>
        <w:rPr>
          <w:rFonts w:ascii="Arial" w:hAnsi="Arial" w:cs="Arial"/>
        </w:rPr>
      </w:pPr>
      <w:r w:rsidRPr="00932685">
        <w:rPr>
          <w:rFonts w:ascii="Arial" w:hAnsi="Arial" w:cs="Arial"/>
        </w:rPr>
        <w:t xml:space="preserve">Friedman, M. (1970). </w:t>
      </w:r>
      <w:r w:rsidRPr="004919B1">
        <w:rPr>
          <w:rFonts w:ascii="Arial" w:hAnsi="Arial" w:cs="Arial"/>
          <w:i/>
          <w:iCs/>
        </w:rPr>
        <w:t>The social responsibility of the corporation is to increase its profits.</w:t>
      </w:r>
      <w:r w:rsidRPr="00932685">
        <w:rPr>
          <w:rFonts w:ascii="Arial" w:hAnsi="Arial" w:cs="Arial"/>
        </w:rPr>
        <w:t xml:space="preserve"> New York Times Magazine, 13.</w:t>
      </w:r>
    </w:p>
    <w:p w14:paraId="0CBF26CF" w14:textId="0E977D0B" w:rsidR="004919B1" w:rsidRDefault="00932685" w:rsidP="00932685">
      <w:pPr>
        <w:spacing w:line="480" w:lineRule="auto"/>
        <w:rPr>
          <w:rFonts w:ascii="Arial" w:hAnsi="Arial" w:cs="Arial"/>
        </w:rPr>
      </w:pPr>
      <w:r w:rsidRPr="00932685">
        <w:rPr>
          <w:rFonts w:ascii="Arial" w:hAnsi="Arial" w:cs="Arial"/>
        </w:rPr>
        <w:t xml:space="preserve">Gast, J., Gundolf, K., &amp; </w:t>
      </w:r>
      <w:proofErr w:type="spellStart"/>
      <w:r w:rsidRPr="00932685">
        <w:rPr>
          <w:rFonts w:ascii="Arial" w:hAnsi="Arial" w:cs="Arial"/>
        </w:rPr>
        <w:t>Cesinger</w:t>
      </w:r>
      <w:proofErr w:type="spellEnd"/>
      <w:r w:rsidRPr="00932685">
        <w:rPr>
          <w:rFonts w:ascii="Arial" w:hAnsi="Arial" w:cs="Arial"/>
        </w:rPr>
        <w:t xml:space="preserve">, B. (2017). Doing business in a green way: A systematic review of the ecological sustainability entrepreneurship literature and future research directions. </w:t>
      </w:r>
      <w:r w:rsidRPr="004919B1">
        <w:rPr>
          <w:rFonts w:ascii="Arial" w:hAnsi="Arial" w:cs="Arial"/>
          <w:i/>
          <w:iCs/>
        </w:rPr>
        <w:t>Journal of Cleaner Production, 147</w:t>
      </w:r>
      <w:r w:rsidRPr="00932685">
        <w:rPr>
          <w:rFonts w:ascii="Arial" w:hAnsi="Arial" w:cs="Arial"/>
        </w:rPr>
        <w:t xml:space="preserve">, 44–56. </w:t>
      </w:r>
      <w:hyperlink r:id="rId12" w:history="1">
        <w:r w:rsidR="004919B1" w:rsidRPr="00F648E9">
          <w:rPr>
            <w:rStyle w:val="Hyperlink"/>
            <w:rFonts w:ascii="Arial" w:hAnsi="Arial" w:cs="Arial"/>
          </w:rPr>
          <w:t>https://doi.org/10.1016/j.jclepro.2017.01.065</w:t>
        </w:r>
      </w:hyperlink>
    </w:p>
    <w:p w14:paraId="703A9D58" w14:textId="77777777" w:rsidR="004919B1" w:rsidRDefault="00932685" w:rsidP="00932685">
      <w:pPr>
        <w:spacing w:line="480" w:lineRule="auto"/>
        <w:rPr>
          <w:rFonts w:ascii="Arial" w:hAnsi="Arial" w:cs="Arial"/>
        </w:rPr>
      </w:pPr>
      <w:proofErr w:type="spellStart"/>
      <w:r w:rsidRPr="00932685">
        <w:rPr>
          <w:rFonts w:ascii="Arial" w:hAnsi="Arial" w:cs="Arial"/>
        </w:rPr>
        <w:t>Geissdoerfer</w:t>
      </w:r>
      <w:proofErr w:type="spellEnd"/>
      <w:r w:rsidRPr="00932685">
        <w:rPr>
          <w:rFonts w:ascii="Arial" w:hAnsi="Arial" w:cs="Arial"/>
        </w:rPr>
        <w:t xml:space="preserve">, M., </w:t>
      </w:r>
      <w:proofErr w:type="spellStart"/>
      <w:r w:rsidRPr="00932685">
        <w:rPr>
          <w:rFonts w:ascii="Arial" w:hAnsi="Arial" w:cs="Arial"/>
        </w:rPr>
        <w:t>Savaget</w:t>
      </w:r>
      <w:proofErr w:type="spellEnd"/>
      <w:r w:rsidRPr="00932685">
        <w:rPr>
          <w:rFonts w:ascii="Arial" w:hAnsi="Arial" w:cs="Arial"/>
        </w:rPr>
        <w:t xml:space="preserve">, P., </w:t>
      </w:r>
      <w:proofErr w:type="spellStart"/>
      <w:r w:rsidRPr="00932685">
        <w:rPr>
          <w:rFonts w:ascii="Arial" w:hAnsi="Arial" w:cs="Arial"/>
        </w:rPr>
        <w:t>Bocken</w:t>
      </w:r>
      <w:proofErr w:type="spellEnd"/>
      <w:r w:rsidRPr="00932685">
        <w:rPr>
          <w:rFonts w:ascii="Arial" w:hAnsi="Arial" w:cs="Arial"/>
        </w:rPr>
        <w:t xml:space="preserve">, N. M. P., &amp; </w:t>
      </w:r>
      <w:proofErr w:type="spellStart"/>
      <w:r w:rsidRPr="00932685">
        <w:rPr>
          <w:rFonts w:ascii="Arial" w:hAnsi="Arial" w:cs="Arial"/>
        </w:rPr>
        <w:t>Hultink</w:t>
      </w:r>
      <w:proofErr w:type="spellEnd"/>
      <w:r w:rsidRPr="00932685">
        <w:rPr>
          <w:rFonts w:ascii="Arial" w:hAnsi="Arial" w:cs="Arial"/>
        </w:rPr>
        <w:t xml:space="preserve">, E. J. (2017). The circular economy–A new sustainability paradigm? </w:t>
      </w:r>
      <w:r w:rsidRPr="004919B1">
        <w:rPr>
          <w:rFonts w:ascii="Arial" w:hAnsi="Arial" w:cs="Arial"/>
          <w:i/>
          <w:iCs/>
        </w:rPr>
        <w:t>Journal of Cleaner Production, 143,</w:t>
      </w:r>
      <w:r w:rsidRPr="00932685">
        <w:rPr>
          <w:rFonts w:ascii="Arial" w:hAnsi="Arial" w:cs="Arial"/>
        </w:rPr>
        <w:t xml:space="preserve"> 757–768.</w:t>
      </w:r>
    </w:p>
    <w:p w14:paraId="09084B96" w14:textId="171A284C" w:rsidR="004919B1" w:rsidRDefault="00932685" w:rsidP="00932685">
      <w:pPr>
        <w:spacing w:line="480" w:lineRule="auto"/>
        <w:rPr>
          <w:rFonts w:ascii="Arial" w:hAnsi="Arial" w:cs="Arial"/>
        </w:rPr>
      </w:pPr>
      <w:r w:rsidRPr="00932685">
        <w:rPr>
          <w:rFonts w:ascii="Arial" w:hAnsi="Arial" w:cs="Arial"/>
        </w:rPr>
        <w:t xml:space="preserve">Hahn, R., Spieth, P., &amp; Ince, I. (2018). Business model design in sustainable entrepreneurship: Illuminating the commercial logic of hybrid businesses. </w:t>
      </w:r>
      <w:r w:rsidRPr="004919B1">
        <w:rPr>
          <w:rFonts w:ascii="Arial" w:hAnsi="Arial" w:cs="Arial"/>
          <w:i/>
          <w:iCs/>
        </w:rPr>
        <w:t>Journal of Cleaner Production, 176,</w:t>
      </w:r>
      <w:r w:rsidRPr="00932685">
        <w:rPr>
          <w:rFonts w:ascii="Arial" w:hAnsi="Arial" w:cs="Arial"/>
        </w:rPr>
        <w:t xml:space="preserve"> 439–451. </w:t>
      </w:r>
      <w:hyperlink r:id="rId13" w:history="1">
        <w:r w:rsidR="004919B1" w:rsidRPr="00F648E9">
          <w:rPr>
            <w:rStyle w:val="Hyperlink"/>
            <w:rFonts w:ascii="Arial" w:hAnsi="Arial" w:cs="Arial"/>
          </w:rPr>
          <w:t>https://doi.org/10.1016/j.jclepro.2017.12.167</w:t>
        </w:r>
      </w:hyperlink>
    </w:p>
    <w:p w14:paraId="37BB4CA8" w14:textId="30D5E37C" w:rsidR="004919B1" w:rsidRDefault="00932685" w:rsidP="00932685">
      <w:pPr>
        <w:spacing w:line="480" w:lineRule="auto"/>
        <w:rPr>
          <w:rFonts w:ascii="Arial" w:hAnsi="Arial" w:cs="Arial"/>
        </w:rPr>
      </w:pPr>
      <w:r w:rsidRPr="00932685">
        <w:rPr>
          <w:rFonts w:ascii="Arial" w:hAnsi="Arial" w:cs="Arial"/>
        </w:rPr>
        <w:t xml:space="preserve">Hahn, T., Figge, F., </w:t>
      </w:r>
      <w:proofErr w:type="spellStart"/>
      <w:r w:rsidRPr="00932685">
        <w:rPr>
          <w:rFonts w:ascii="Arial" w:hAnsi="Arial" w:cs="Arial"/>
        </w:rPr>
        <w:t>Pinkse</w:t>
      </w:r>
      <w:proofErr w:type="spellEnd"/>
      <w:r w:rsidRPr="00932685">
        <w:rPr>
          <w:rFonts w:ascii="Arial" w:hAnsi="Arial" w:cs="Arial"/>
        </w:rPr>
        <w:t xml:space="preserve">, J., &amp; Preuss, L. (2010). Trade-offs in corporate sustainability: You can’t have your cake and eat it. </w:t>
      </w:r>
      <w:r w:rsidRPr="004919B1">
        <w:rPr>
          <w:rFonts w:ascii="Arial" w:hAnsi="Arial" w:cs="Arial"/>
          <w:i/>
          <w:iCs/>
        </w:rPr>
        <w:t>Business Strategy and the Environment, 19</w:t>
      </w:r>
      <w:r w:rsidRPr="00932685">
        <w:rPr>
          <w:rFonts w:ascii="Arial" w:hAnsi="Arial" w:cs="Arial"/>
        </w:rPr>
        <w:t xml:space="preserve">(4), 217–229. </w:t>
      </w:r>
      <w:hyperlink r:id="rId14" w:history="1">
        <w:r w:rsidR="004919B1" w:rsidRPr="00F648E9">
          <w:rPr>
            <w:rStyle w:val="Hyperlink"/>
            <w:rFonts w:ascii="Arial" w:hAnsi="Arial" w:cs="Arial"/>
          </w:rPr>
          <w:t>https://doi.org/10.1002/bse.674</w:t>
        </w:r>
      </w:hyperlink>
    </w:p>
    <w:p w14:paraId="26B2B45F" w14:textId="5D535237" w:rsidR="004919B1" w:rsidRDefault="00932685" w:rsidP="00932685">
      <w:pPr>
        <w:spacing w:line="480" w:lineRule="auto"/>
        <w:rPr>
          <w:rFonts w:ascii="Arial" w:hAnsi="Arial" w:cs="Arial"/>
        </w:rPr>
      </w:pPr>
      <w:r w:rsidRPr="00932685">
        <w:rPr>
          <w:rFonts w:ascii="Arial" w:hAnsi="Arial" w:cs="Arial"/>
        </w:rPr>
        <w:t xml:space="preserve">Hahn, T., </w:t>
      </w:r>
      <w:proofErr w:type="spellStart"/>
      <w:r w:rsidRPr="00932685">
        <w:rPr>
          <w:rFonts w:ascii="Arial" w:hAnsi="Arial" w:cs="Arial"/>
        </w:rPr>
        <w:t>Pinkse</w:t>
      </w:r>
      <w:proofErr w:type="spellEnd"/>
      <w:r w:rsidRPr="00932685">
        <w:rPr>
          <w:rFonts w:ascii="Arial" w:hAnsi="Arial" w:cs="Arial"/>
        </w:rPr>
        <w:t xml:space="preserve">, J., Preuss, L., &amp; Figge, F. (2015). Tensions in corporate sustainability: Towards an integrative framework. </w:t>
      </w:r>
      <w:r w:rsidRPr="004919B1">
        <w:rPr>
          <w:rFonts w:ascii="Arial" w:hAnsi="Arial" w:cs="Arial"/>
          <w:i/>
          <w:iCs/>
        </w:rPr>
        <w:t>Journal of Business Ethics, 127</w:t>
      </w:r>
      <w:r w:rsidRPr="00932685">
        <w:rPr>
          <w:rFonts w:ascii="Arial" w:hAnsi="Arial" w:cs="Arial"/>
        </w:rPr>
        <w:t xml:space="preserve">(2), 297–316. </w:t>
      </w:r>
      <w:hyperlink r:id="rId15" w:history="1">
        <w:r w:rsidR="004919B1" w:rsidRPr="00F648E9">
          <w:rPr>
            <w:rStyle w:val="Hyperlink"/>
            <w:rFonts w:ascii="Arial" w:hAnsi="Arial" w:cs="Arial"/>
          </w:rPr>
          <w:t>https://doi.org/10.1007/s10551-014-2047-5</w:t>
        </w:r>
      </w:hyperlink>
    </w:p>
    <w:p w14:paraId="4C0FB411" w14:textId="6218552E" w:rsidR="00B81D40" w:rsidRPr="00B81D40" w:rsidRDefault="00932685" w:rsidP="00B81D40">
      <w:pPr>
        <w:spacing w:line="480" w:lineRule="auto"/>
        <w:rPr>
          <w:rFonts w:ascii="Arial" w:hAnsi="Arial" w:cs="Arial"/>
        </w:rPr>
      </w:pPr>
      <w:r w:rsidRPr="00932685">
        <w:rPr>
          <w:rFonts w:ascii="Arial" w:hAnsi="Arial" w:cs="Arial"/>
        </w:rPr>
        <w:lastRenderedPageBreak/>
        <w:t xml:space="preserve">Thompson, F. M. M. (2010). </w:t>
      </w:r>
      <w:r w:rsidRPr="004919B1">
        <w:rPr>
          <w:rFonts w:ascii="Arial" w:hAnsi="Arial" w:cs="Arial"/>
          <w:i/>
          <w:iCs/>
        </w:rPr>
        <w:t>Social enterprise: Developing sustainable enterprises.</w:t>
      </w:r>
      <w:r w:rsidRPr="00932685">
        <w:rPr>
          <w:rFonts w:ascii="Arial" w:hAnsi="Arial" w:cs="Arial"/>
        </w:rPr>
        <w:t xml:space="preserve"> New York, NY: Palgrave Macmillan.</w:t>
      </w:r>
    </w:p>
    <w:sectPr w:rsidR="00B81D40" w:rsidRPr="00B81D40" w:rsidSect="004919B1">
      <w:head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C7A9D1" w14:textId="77777777" w:rsidR="001A6AAA" w:rsidRDefault="001A6AAA" w:rsidP="00932685">
      <w:pPr>
        <w:spacing w:after="0" w:line="240" w:lineRule="auto"/>
      </w:pPr>
      <w:r>
        <w:separator/>
      </w:r>
    </w:p>
  </w:endnote>
  <w:endnote w:type="continuationSeparator" w:id="0">
    <w:p w14:paraId="5397099D" w14:textId="77777777" w:rsidR="001A6AAA" w:rsidRDefault="001A6AAA" w:rsidP="009326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011721" w14:textId="77777777" w:rsidR="001A6AAA" w:rsidRDefault="001A6AAA" w:rsidP="00932685">
      <w:pPr>
        <w:spacing w:after="0" w:line="240" w:lineRule="auto"/>
      </w:pPr>
      <w:r>
        <w:separator/>
      </w:r>
    </w:p>
  </w:footnote>
  <w:footnote w:type="continuationSeparator" w:id="0">
    <w:p w14:paraId="37D87003" w14:textId="77777777" w:rsidR="001A6AAA" w:rsidRDefault="001A6AAA" w:rsidP="009326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0148935"/>
      <w:docPartObj>
        <w:docPartGallery w:val="Page Numbers (Top of Page)"/>
        <w:docPartUnique/>
      </w:docPartObj>
    </w:sdtPr>
    <w:sdtEndPr>
      <w:rPr>
        <w:noProof/>
      </w:rPr>
    </w:sdtEndPr>
    <w:sdtContent>
      <w:p w14:paraId="5E0CDF8F" w14:textId="4A39D2C6" w:rsidR="00932685" w:rsidRDefault="00932685">
        <w:pPr>
          <w:pStyle w:val="Header"/>
        </w:pPr>
        <w:r>
          <w:fldChar w:fldCharType="begin"/>
        </w:r>
        <w:r>
          <w:instrText xml:space="preserve"> PAGE   \* MERGEFORMAT </w:instrText>
        </w:r>
        <w:r>
          <w:fldChar w:fldCharType="separate"/>
        </w:r>
        <w:r>
          <w:rPr>
            <w:noProof/>
          </w:rPr>
          <w:t>2</w:t>
        </w:r>
        <w:r>
          <w:rPr>
            <w:noProof/>
          </w:rPr>
          <w:fldChar w:fldCharType="end"/>
        </w:r>
      </w:p>
    </w:sdtContent>
  </w:sdt>
  <w:p w14:paraId="37EE5A20" w14:textId="77777777" w:rsidR="00932685" w:rsidRDefault="0093268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D40"/>
    <w:rsid w:val="001A6AAA"/>
    <w:rsid w:val="004919B1"/>
    <w:rsid w:val="0057529A"/>
    <w:rsid w:val="00591B14"/>
    <w:rsid w:val="008357AF"/>
    <w:rsid w:val="00932685"/>
    <w:rsid w:val="009A5130"/>
    <w:rsid w:val="00B81D40"/>
    <w:rsid w:val="00C63F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81A72"/>
  <w15:chartTrackingRefBased/>
  <w15:docId w15:val="{985C7263-3523-4001-B612-337344C54B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1D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81D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81D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1D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1D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1D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1D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1D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1D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1D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81D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81D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1D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1D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1D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1D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1D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1D40"/>
    <w:rPr>
      <w:rFonts w:eastAsiaTheme="majorEastAsia" w:cstheme="majorBidi"/>
      <w:color w:val="272727" w:themeColor="text1" w:themeTint="D8"/>
    </w:rPr>
  </w:style>
  <w:style w:type="paragraph" w:styleId="Title">
    <w:name w:val="Title"/>
    <w:basedOn w:val="Normal"/>
    <w:next w:val="Normal"/>
    <w:link w:val="TitleChar"/>
    <w:uiPriority w:val="10"/>
    <w:qFormat/>
    <w:rsid w:val="00B81D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1D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1D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1D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1D40"/>
    <w:pPr>
      <w:spacing w:before="160"/>
      <w:jc w:val="center"/>
    </w:pPr>
    <w:rPr>
      <w:i/>
      <w:iCs/>
      <w:color w:val="404040" w:themeColor="text1" w:themeTint="BF"/>
    </w:rPr>
  </w:style>
  <w:style w:type="character" w:customStyle="1" w:styleId="QuoteChar">
    <w:name w:val="Quote Char"/>
    <w:basedOn w:val="DefaultParagraphFont"/>
    <w:link w:val="Quote"/>
    <w:uiPriority w:val="29"/>
    <w:rsid w:val="00B81D40"/>
    <w:rPr>
      <w:i/>
      <w:iCs/>
      <w:color w:val="404040" w:themeColor="text1" w:themeTint="BF"/>
    </w:rPr>
  </w:style>
  <w:style w:type="paragraph" w:styleId="ListParagraph">
    <w:name w:val="List Paragraph"/>
    <w:basedOn w:val="Normal"/>
    <w:uiPriority w:val="34"/>
    <w:qFormat/>
    <w:rsid w:val="00B81D40"/>
    <w:pPr>
      <w:ind w:left="720"/>
      <w:contextualSpacing/>
    </w:pPr>
  </w:style>
  <w:style w:type="character" w:styleId="IntenseEmphasis">
    <w:name w:val="Intense Emphasis"/>
    <w:basedOn w:val="DefaultParagraphFont"/>
    <w:uiPriority w:val="21"/>
    <w:qFormat/>
    <w:rsid w:val="00B81D40"/>
    <w:rPr>
      <w:i/>
      <w:iCs/>
      <w:color w:val="0F4761" w:themeColor="accent1" w:themeShade="BF"/>
    </w:rPr>
  </w:style>
  <w:style w:type="paragraph" w:styleId="IntenseQuote">
    <w:name w:val="Intense Quote"/>
    <w:basedOn w:val="Normal"/>
    <w:next w:val="Normal"/>
    <w:link w:val="IntenseQuoteChar"/>
    <w:uiPriority w:val="30"/>
    <w:qFormat/>
    <w:rsid w:val="00B81D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1D40"/>
    <w:rPr>
      <w:i/>
      <w:iCs/>
      <w:color w:val="0F4761" w:themeColor="accent1" w:themeShade="BF"/>
    </w:rPr>
  </w:style>
  <w:style w:type="character" w:styleId="IntenseReference">
    <w:name w:val="Intense Reference"/>
    <w:basedOn w:val="DefaultParagraphFont"/>
    <w:uiPriority w:val="32"/>
    <w:qFormat/>
    <w:rsid w:val="00B81D40"/>
    <w:rPr>
      <w:b/>
      <w:bCs/>
      <w:smallCaps/>
      <w:color w:val="0F4761" w:themeColor="accent1" w:themeShade="BF"/>
      <w:spacing w:val="5"/>
    </w:rPr>
  </w:style>
  <w:style w:type="paragraph" w:styleId="Header">
    <w:name w:val="header"/>
    <w:basedOn w:val="Normal"/>
    <w:link w:val="HeaderChar"/>
    <w:uiPriority w:val="99"/>
    <w:unhideWhenUsed/>
    <w:rsid w:val="009326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2685"/>
  </w:style>
  <w:style w:type="paragraph" w:styleId="Footer">
    <w:name w:val="footer"/>
    <w:basedOn w:val="Normal"/>
    <w:link w:val="FooterChar"/>
    <w:uiPriority w:val="99"/>
    <w:unhideWhenUsed/>
    <w:rsid w:val="009326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2685"/>
  </w:style>
  <w:style w:type="character" w:styleId="Hyperlink">
    <w:name w:val="Hyperlink"/>
    <w:basedOn w:val="DefaultParagraphFont"/>
    <w:uiPriority w:val="99"/>
    <w:unhideWhenUsed/>
    <w:rsid w:val="00C63FD7"/>
    <w:rPr>
      <w:color w:val="467886" w:themeColor="hyperlink"/>
      <w:u w:val="single"/>
    </w:rPr>
  </w:style>
  <w:style w:type="character" w:styleId="UnresolvedMention">
    <w:name w:val="Unresolved Mention"/>
    <w:basedOn w:val="DefaultParagraphFont"/>
    <w:uiPriority w:val="99"/>
    <w:semiHidden/>
    <w:unhideWhenUsed/>
    <w:rsid w:val="00C63FD7"/>
    <w:rPr>
      <w:color w:val="605E5C"/>
      <w:shd w:val="clear" w:color="auto" w:fill="E1DFDD"/>
    </w:rPr>
  </w:style>
  <w:style w:type="paragraph" w:styleId="NoSpacing">
    <w:name w:val="No Spacing"/>
    <w:link w:val="NoSpacingChar"/>
    <w:uiPriority w:val="1"/>
    <w:qFormat/>
    <w:rsid w:val="004919B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919B1"/>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24986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16/j.jclepro.2017.12.167" TargetMode="External"/><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16/j.jclepro.2017.01.065"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02/bse.462" TargetMode="External"/><Relationship Id="rId5" Type="http://schemas.openxmlformats.org/officeDocument/2006/relationships/footnotes" Target="footnotes.xml"/><Relationship Id="rId15" Type="http://schemas.openxmlformats.org/officeDocument/2006/relationships/hyperlink" Target="https://doi.org/10.1007/s10551-014-2047-5" TargetMode="External"/><Relationship Id="rId10" Type="http://schemas.openxmlformats.org/officeDocument/2006/relationships/hyperlink" Target="https://doi.org/10.1016/j.jbusvent.2004.12.001"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16/j.jclepro.2012.07.007" TargetMode="External"/><Relationship Id="rId14" Type="http://schemas.openxmlformats.org/officeDocument/2006/relationships/hyperlink" Target="https://doi.org/10.1002/bse.674"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A32ED66C7454938BA35FEF3B333E1AE"/>
        <w:category>
          <w:name w:val="General"/>
          <w:gallery w:val="placeholder"/>
        </w:category>
        <w:types>
          <w:type w:val="bbPlcHdr"/>
        </w:types>
        <w:behaviors>
          <w:behavior w:val="content"/>
        </w:behaviors>
        <w:guid w:val="{5FFC117D-5F25-4349-909D-ED2CDF8DCD6D}"/>
      </w:docPartPr>
      <w:docPartBody>
        <w:p w:rsidR="00183FFF" w:rsidRDefault="00731290" w:rsidP="00731290">
          <w:pPr>
            <w:pStyle w:val="EA32ED66C7454938BA35FEF3B333E1AE"/>
          </w:pPr>
          <w:r>
            <w:rPr>
              <w:rFonts w:asciiTheme="majorHAnsi" w:eastAsiaTheme="majorEastAsia" w:hAnsiTheme="majorHAnsi" w:cstheme="majorBidi"/>
              <w:caps/>
              <w:color w:val="156082" w:themeColor="accent1"/>
              <w:sz w:val="80"/>
              <w:szCs w:val="80"/>
            </w:rPr>
            <w:t>[Document title]</w:t>
          </w:r>
        </w:p>
      </w:docPartBody>
    </w:docPart>
    <w:docPart>
      <w:docPartPr>
        <w:name w:val="FD49B1372F9F41B88143047DCC360780"/>
        <w:category>
          <w:name w:val="General"/>
          <w:gallery w:val="placeholder"/>
        </w:category>
        <w:types>
          <w:type w:val="bbPlcHdr"/>
        </w:types>
        <w:behaviors>
          <w:behavior w:val="content"/>
        </w:behaviors>
        <w:guid w:val="{B013A907-0B36-4D61-91F1-D1B89FF93A3A}"/>
      </w:docPartPr>
      <w:docPartBody>
        <w:p w:rsidR="00183FFF" w:rsidRDefault="00731290" w:rsidP="00731290">
          <w:pPr>
            <w:pStyle w:val="FD49B1372F9F41B88143047DCC36078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1290"/>
    <w:rsid w:val="00183FFF"/>
    <w:rsid w:val="00731290"/>
    <w:rsid w:val="008357AF"/>
    <w:rsid w:val="00891F97"/>
    <w:rsid w:val="009667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A32ED66C7454938BA35FEF3B333E1AE">
    <w:name w:val="EA32ED66C7454938BA35FEF3B333E1AE"/>
    <w:rsid w:val="00731290"/>
  </w:style>
  <w:style w:type="paragraph" w:customStyle="1" w:styleId="FD49B1372F9F41B88143047DCC360780">
    <w:name w:val="FD49B1372F9F41B88143047DCC360780"/>
    <w:rsid w:val="0073129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2025-03-14T00:00:00</PublishDate>
  <Abstract/>
  <CompanyAddress>BMSE4010D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3041</Words>
  <Characters>17340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Sustainable Enterprise/ Social Enterprise Management</Company>
  <LinksUpToDate>false</LinksUpToDate>
  <CharactersWithSpaces>20341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Enterprise</dc:title>
  <dc:subject>Business Plan</dc:subject>
  <dc:creator>Mirabela Voican (1907947)</dc:creator>
  <cp:keywords/>
  <dc:description/>
  <cp:lastModifiedBy>Mirabela Voican (1907947)</cp:lastModifiedBy>
  <cp:revision>2</cp:revision>
  <dcterms:created xsi:type="dcterms:W3CDTF">2025-03-07T00:19:00Z</dcterms:created>
  <dcterms:modified xsi:type="dcterms:W3CDTF">2025-03-07T00:19:00Z</dcterms:modified>
</cp:coreProperties>
</file>