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C0123" w14:textId="77777777" w:rsidR="0046037E" w:rsidRDefault="0046037E" w:rsidP="00F06E93">
      <w:pPr>
        <w:spacing w:after="0" w:line="360" w:lineRule="auto"/>
        <w:jc w:val="both"/>
        <w:outlineLvl w:val="2"/>
        <w:rPr>
          <w:rFonts w:ascii="Arial" w:eastAsia="Times New Roman" w:hAnsi="Arial" w:cs="Arial"/>
          <w:b/>
          <w:bCs/>
        </w:rPr>
      </w:pPr>
    </w:p>
    <w:p w14:paraId="2E24794D" w14:textId="77777777" w:rsidR="0046037E" w:rsidRDefault="0046037E" w:rsidP="00F06E93">
      <w:pPr>
        <w:spacing w:after="0" w:line="360" w:lineRule="auto"/>
        <w:jc w:val="both"/>
        <w:outlineLvl w:val="2"/>
        <w:rPr>
          <w:rFonts w:ascii="Arial" w:eastAsia="Times New Roman" w:hAnsi="Arial" w:cs="Arial"/>
          <w:b/>
          <w:bCs/>
        </w:rPr>
      </w:pPr>
    </w:p>
    <w:p w14:paraId="484E53CB" w14:textId="77777777" w:rsidR="0046037E" w:rsidRDefault="0046037E" w:rsidP="00F06E93">
      <w:pPr>
        <w:spacing w:after="0" w:line="360" w:lineRule="auto"/>
        <w:jc w:val="both"/>
        <w:outlineLvl w:val="2"/>
        <w:rPr>
          <w:rFonts w:ascii="Arial" w:eastAsia="Times New Roman" w:hAnsi="Arial" w:cs="Arial"/>
          <w:b/>
          <w:bCs/>
        </w:rPr>
      </w:pPr>
    </w:p>
    <w:p w14:paraId="7FF15DE5" w14:textId="77777777" w:rsidR="0046037E" w:rsidRDefault="0046037E" w:rsidP="00F06E93">
      <w:pPr>
        <w:spacing w:after="0" w:line="360" w:lineRule="auto"/>
        <w:jc w:val="both"/>
        <w:outlineLvl w:val="2"/>
        <w:rPr>
          <w:rFonts w:ascii="Arial" w:eastAsia="Times New Roman" w:hAnsi="Arial" w:cs="Arial"/>
          <w:b/>
          <w:bCs/>
        </w:rPr>
      </w:pPr>
    </w:p>
    <w:p w14:paraId="69AC2182" w14:textId="77777777" w:rsidR="0046037E" w:rsidRDefault="0046037E" w:rsidP="00F06E93">
      <w:pPr>
        <w:spacing w:after="0" w:line="360" w:lineRule="auto"/>
        <w:jc w:val="both"/>
        <w:outlineLvl w:val="2"/>
        <w:rPr>
          <w:rFonts w:ascii="Arial" w:eastAsia="Times New Roman" w:hAnsi="Arial" w:cs="Arial"/>
          <w:b/>
          <w:bCs/>
        </w:rPr>
      </w:pPr>
    </w:p>
    <w:p w14:paraId="0B8E7A15" w14:textId="77777777" w:rsidR="0046037E" w:rsidRDefault="0046037E" w:rsidP="00F06E93">
      <w:pPr>
        <w:spacing w:after="0" w:line="360" w:lineRule="auto"/>
        <w:jc w:val="both"/>
        <w:outlineLvl w:val="2"/>
        <w:rPr>
          <w:rFonts w:ascii="Arial" w:eastAsia="Times New Roman" w:hAnsi="Arial" w:cs="Arial"/>
          <w:b/>
          <w:bCs/>
        </w:rPr>
      </w:pPr>
    </w:p>
    <w:p w14:paraId="73EE22C9" w14:textId="77777777" w:rsidR="0046037E" w:rsidRDefault="0046037E" w:rsidP="00F06E93">
      <w:pPr>
        <w:spacing w:after="0" w:line="360" w:lineRule="auto"/>
        <w:jc w:val="both"/>
        <w:outlineLvl w:val="2"/>
        <w:rPr>
          <w:rFonts w:ascii="Arial" w:eastAsia="Times New Roman" w:hAnsi="Arial" w:cs="Arial"/>
          <w:b/>
          <w:bCs/>
        </w:rPr>
      </w:pPr>
    </w:p>
    <w:p w14:paraId="11B96AD7" w14:textId="77777777" w:rsidR="0046037E" w:rsidRDefault="0046037E" w:rsidP="00F06E93">
      <w:pPr>
        <w:spacing w:after="0" w:line="360" w:lineRule="auto"/>
        <w:jc w:val="both"/>
        <w:outlineLvl w:val="2"/>
        <w:rPr>
          <w:rFonts w:ascii="Arial" w:eastAsia="Times New Roman" w:hAnsi="Arial" w:cs="Arial"/>
          <w:b/>
          <w:bCs/>
        </w:rPr>
      </w:pPr>
    </w:p>
    <w:p w14:paraId="11446A4A" w14:textId="77777777" w:rsidR="0046037E" w:rsidRDefault="0046037E" w:rsidP="00F06E93">
      <w:pPr>
        <w:spacing w:after="0" w:line="360" w:lineRule="auto"/>
        <w:jc w:val="both"/>
        <w:outlineLvl w:val="2"/>
        <w:rPr>
          <w:rFonts w:ascii="Arial" w:eastAsia="Times New Roman" w:hAnsi="Arial" w:cs="Arial"/>
          <w:b/>
          <w:bCs/>
        </w:rPr>
      </w:pPr>
    </w:p>
    <w:p w14:paraId="08AE447F" w14:textId="77777777" w:rsidR="0046037E" w:rsidRDefault="007F0C8F" w:rsidP="007F0C8F">
      <w:pPr>
        <w:spacing w:after="0" w:line="360" w:lineRule="auto"/>
        <w:jc w:val="center"/>
        <w:outlineLvl w:val="2"/>
        <w:rPr>
          <w:rFonts w:ascii="Arial" w:hAnsi="Arial" w:cs="Arial"/>
          <w:b/>
          <w:sz w:val="24"/>
        </w:rPr>
      </w:pPr>
      <w:r w:rsidRPr="007F0C8F">
        <w:rPr>
          <w:rFonts w:ascii="Arial" w:hAnsi="Arial" w:cs="Arial"/>
          <w:b/>
          <w:sz w:val="24"/>
        </w:rPr>
        <w:t>A Critical Examination of Post-Traumatic Stress Disorder: Neurodiversity, Diagnosis, and Evolving Perspectives</w:t>
      </w:r>
    </w:p>
    <w:p w14:paraId="2C4223E2" w14:textId="77777777" w:rsidR="00E919D2" w:rsidRDefault="00E919D2" w:rsidP="007F0C8F">
      <w:pPr>
        <w:spacing w:after="0" w:line="360" w:lineRule="auto"/>
        <w:jc w:val="center"/>
        <w:outlineLvl w:val="2"/>
        <w:rPr>
          <w:rFonts w:ascii="Arial" w:hAnsi="Arial" w:cs="Arial"/>
          <w:b/>
          <w:sz w:val="24"/>
        </w:rPr>
      </w:pPr>
    </w:p>
    <w:p w14:paraId="3C9DE1B5" w14:textId="1E57B97A" w:rsidR="00366218" w:rsidRPr="00366218" w:rsidRDefault="00366218" w:rsidP="00366218">
      <w:pPr>
        <w:spacing w:after="0" w:line="360" w:lineRule="auto"/>
        <w:jc w:val="center"/>
        <w:outlineLvl w:val="2"/>
        <w:rPr>
          <w:rFonts w:ascii="Arial" w:hAnsi="Arial" w:cs="Arial"/>
          <w:b/>
          <w:sz w:val="24"/>
        </w:rPr>
      </w:pPr>
      <w:r w:rsidRPr="00366218">
        <w:rPr>
          <w:rFonts w:ascii="Arial" w:hAnsi="Arial" w:cs="Arial"/>
          <w:b/>
          <w:sz w:val="24"/>
        </w:rPr>
        <w:t xml:space="preserve">Student name </w:t>
      </w:r>
      <w:r w:rsidR="00B30AC9">
        <w:rPr>
          <w:rFonts w:ascii="Arial" w:hAnsi="Arial" w:cs="Arial"/>
          <w:b/>
          <w:sz w:val="24"/>
        </w:rPr>
        <w:t xml:space="preserve">John Moses Imade Omorogbe </w:t>
      </w:r>
    </w:p>
    <w:p w14:paraId="0FE8C3A2" w14:textId="0126554F" w:rsidR="00366218" w:rsidRPr="00366218" w:rsidRDefault="00366218" w:rsidP="00366218">
      <w:pPr>
        <w:spacing w:after="0" w:line="360" w:lineRule="auto"/>
        <w:jc w:val="center"/>
        <w:outlineLvl w:val="2"/>
        <w:rPr>
          <w:rFonts w:ascii="Arial" w:hAnsi="Arial" w:cs="Arial"/>
          <w:b/>
          <w:sz w:val="24"/>
        </w:rPr>
      </w:pPr>
      <w:r w:rsidRPr="00366218">
        <w:rPr>
          <w:rFonts w:ascii="Arial" w:hAnsi="Arial" w:cs="Arial"/>
          <w:b/>
          <w:sz w:val="24"/>
        </w:rPr>
        <w:t xml:space="preserve">Student id </w:t>
      </w:r>
      <w:r w:rsidR="00E919D2">
        <w:rPr>
          <w:rFonts w:ascii="Arial" w:hAnsi="Arial" w:cs="Arial"/>
          <w:b/>
          <w:sz w:val="24"/>
        </w:rPr>
        <w:t>23</w:t>
      </w:r>
      <w:r w:rsidR="00627EA6">
        <w:rPr>
          <w:rFonts w:ascii="Arial" w:hAnsi="Arial" w:cs="Arial"/>
          <w:b/>
          <w:sz w:val="24"/>
        </w:rPr>
        <w:t>10505</w:t>
      </w:r>
    </w:p>
    <w:p w14:paraId="6FA5E063" w14:textId="77777777" w:rsidR="00366218" w:rsidRPr="00366218" w:rsidRDefault="00366218" w:rsidP="00366218">
      <w:pPr>
        <w:spacing w:after="0" w:line="360" w:lineRule="auto"/>
        <w:jc w:val="center"/>
        <w:outlineLvl w:val="2"/>
        <w:rPr>
          <w:rFonts w:ascii="Arial" w:hAnsi="Arial" w:cs="Arial"/>
          <w:b/>
          <w:sz w:val="24"/>
        </w:rPr>
      </w:pPr>
      <w:r w:rsidRPr="00366218">
        <w:rPr>
          <w:rFonts w:ascii="Arial" w:hAnsi="Arial" w:cs="Arial"/>
          <w:b/>
          <w:sz w:val="24"/>
        </w:rPr>
        <w:t xml:space="preserve">Programme: </w:t>
      </w:r>
      <w:proofErr w:type="spellStart"/>
      <w:r w:rsidRPr="00366218">
        <w:rPr>
          <w:rFonts w:ascii="Arial" w:hAnsi="Arial" w:cs="Arial"/>
          <w:b/>
          <w:sz w:val="24"/>
        </w:rPr>
        <w:t>BSc</w:t>
      </w:r>
      <w:proofErr w:type="spellEnd"/>
      <w:r w:rsidRPr="00366218">
        <w:rPr>
          <w:rFonts w:ascii="Arial" w:hAnsi="Arial" w:cs="Arial"/>
          <w:b/>
          <w:sz w:val="24"/>
        </w:rPr>
        <w:t xml:space="preserve">( </w:t>
      </w:r>
      <w:proofErr w:type="spellStart"/>
      <w:r w:rsidRPr="00366218">
        <w:rPr>
          <w:rFonts w:ascii="Arial" w:hAnsi="Arial" w:cs="Arial"/>
          <w:b/>
          <w:sz w:val="24"/>
        </w:rPr>
        <w:t>hons</w:t>
      </w:r>
      <w:proofErr w:type="spellEnd"/>
      <w:r w:rsidRPr="00366218">
        <w:rPr>
          <w:rFonts w:ascii="Arial" w:hAnsi="Arial" w:cs="Arial"/>
          <w:b/>
          <w:sz w:val="24"/>
        </w:rPr>
        <w:t xml:space="preserve"> ) health and social care </w:t>
      </w:r>
    </w:p>
    <w:p w14:paraId="499E1B31" w14:textId="77777777" w:rsidR="00366218" w:rsidRPr="00366218" w:rsidRDefault="00366218" w:rsidP="00366218">
      <w:pPr>
        <w:spacing w:after="0" w:line="360" w:lineRule="auto"/>
        <w:jc w:val="center"/>
        <w:outlineLvl w:val="2"/>
        <w:rPr>
          <w:rFonts w:ascii="Arial" w:hAnsi="Arial" w:cs="Arial"/>
          <w:b/>
          <w:sz w:val="24"/>
        </w:rPr>
      </w:pPr>
      <w:r w:rsidRPr="00366218">
        <w:rPr>
          <w:rFonts w:ascii="Arial" w:hAnsi="Arial" w:cs="Arial"/>
          <w:b/>
          <w:sz w:val="24"/>
        </w:rPr>
        <w:t xml:space="preserve">Module: psychology classification and provision </w:t>
      </w:r>
    </w:p>
    <w:p w14:paraId="51860FED" w14:textId="77777777" w:rsidR="00366218" w:rsidRPr="00366218" w:rsidRDefault="00366218" w:rsidP="00366218">
      <w:pPr>
        <w:spacing w:after="0" w:line="360" w:lineRule="auto"/>
        <w:jc w:val="center"/>
        <w:outlineLvl w:val="2"/>
        <w:rPr>
          <w:rFonts w:ascii="Arial" w:hAnsi="Arial" w:cs="Arial"/>
          <w:b/>
          <w:sz w:val="24"/>
        </w:rPr>
      </w:pPr>
      <w:r w:rsidRPr="00366218">
        <w:rPr>
          <w:rFonts w:ascii="Arial" w:hAnsi="Arial" w:cs="Arial"/>
          <w:b/>
          <w:sz w:val="24"/>
        </w:rPr>
        <w:t>Module code : BMHP6029</w:t>
      </w:r>
    </w:p>
    <w:p w14:paraId="1F1DCADF" w14:textId="77777777" w:rsidR="00366218" w:rsidRPr="00366218" w:rsidRDefault="00366218" w:rsidP="00366218">
      <w:pPr>
        <w:spacing w:after="0" w:line="360" w:lineRule="auto"/>
        <w:jc w:val="center"/>
        <w:outlineLvl w:val="2"/>
        <w:rPr>
          <w:rFonts w:ascii="Arial" w:hAnsi="Arial" w:cs="Arial"/>
          <w:b/>
          <w:sz w:val="24"/>
        </w:rPr>
      </w:pPr>
      <w:r w:rsidRPr="00366218">
        <w:rPr>
          <w:rFonts w:ascii="Arial" w:hAnsi="Arial" w:cs="Arial"/>
          <w:b/>
          <w:sz w:val="24"/>
        </w:rPr>
        <w:t xml:space="preserve">Lecturer : Neale </w:t>
      </w:r>
      <w:proofErr w:type="spellStart"/>
      <w:r w:rsidRPr="00366218">
        <w:rPr>
          <w:rFonts w:ascii="Arial" w:hAnsi="Arial" w:cs="Arial"/>
          <w:b/>
          <w:sz w:val="24"/>
        </w:rPr>
        <w:t>haddon</w:t>
      </w:r>
      <w:proofErr w:type="spellEnd"/>
      <w:r w:rsidRPr="00366218">
        <w:rPr>
          <w:rFonts w:ascii="Arial" w:hAnsi="Arial" w:cs="Arial"/>
          <w:b/>
          <w:sz w:val="24"/>
        </w:rPr>
        <w:t xml:space="preserve"> </w:t>
      </w:r>
    </w:p>
    <w:p w14:paraId="720DF55C" w14:textId="3AEC719A" w:rsidR="00366218" w:rsidRPr="007F0C8F" w:rsidRDefault="00366218" w:rsidP="007F0C8F">
      <w:pPr>
        <w:spacing w:after="0" w:line="360" w:lineRule="auto"/>
        <w:jc w:val="center"/>
        <w:outlineLvl w:val="2"/>
        <w:rPr>
          <w:rFonts w:ascii="Arial" w:eastAsia="Times New Roman" w:hAnsi="Arial" w:cs="Arial"/>
          <w:b/>
          <w:bCs/>
        </w:rPr>
      </w:pPr>
      <w:r w:rsidRPr="00366218">
        <w:rPr>
          <w:rFonts w:ascii="Arial" w:hAnsi="Arial" w:cs="Arial"/>
          <w:b/>
          <w:sz w:val="24"/>
        </w:rPr>
        <w:t xml:space="preserve">Assignment title: </w:t>
      </w:r>
      <w:r w:rsidR="00E919D2">
        <w:rPr>
          <w:rFonts w:ascii="Arial" w:hAnsi="Arial" w:cs="Arial"/>
          <w:b/>
          <w:sz w:val="24"/>
        </w:rPr>
        <w:t xml:space="preserve">report </w:t>
      </w:r>
    </w:p>
    <w:p w14:paraId="208664AD" w14:textId="77777777" w:rsidR="0046037E" w:rsidRDefault="0046037E" w:rsidP="00F06E93">
      <w:pPr>
        <w:spacing w:after="0" w:line="360" w:lineRule="auto"/>
        <w:jc w:val="both"/>
        <w:outlineLvl w:val="2"/>
        <w:rPr>
          <w:rFonts w:ascii="Arial" w:eastAsia="Times New Roman" w:hAnsi="Arial" w:cs="Arial"/>
          <w:b/>
          <w:bCs/>
        </w:rPr>
      </w:pPr>
    </w:p>
    <w:p w14:paraId="5ED0FE96" w14:textId="61E5F6FB" w:rsidR="0046037E" w:rsidRDefault="009056FA" w:rsidP="00F06E93">
      <w:pPr>
        <w:spacing w:after="0" w:line="360" w:lineRule="auto"/>
        <w:jc w:val="both"/>
        <w:outlineLvl w:val="2"/>
        <w:rPr>
          <w:rFonts w:ascii="Arial" w:eastAsia="Times New Roman" w:hAnsi="Arial" w:cs="Arial"/>
          <w:b/>
          <w:bCs/>
        </w:rPr>
      </w:pPr>
      <w:r w:rsidRPr="009056FA">
        <w:rPr>
          <w:rFonts w:eastAsiaTheme="minorEastAsia"/>
          <w:noProof/>
          <w:kern w:val="2"/>
          <w:sz w:val="24"/>
          <w:szCs w:val="24"/>
          <w:lang w:val="en-GB" w:eastAsia="en-GB"/>
          <w14:ligatures w14:val="standardContextual"/>
        </w:rPr>
        <mc:AlternateContent>
          <mc:Choice Requires="wps">
            <w:drawing>
              <wp:anchor distT="0" distB="0" distL="114300" distR="114300" simplePos="0" relativeHeight="251659264" behindDoc="0" locked="0" layoutInCell="1" allowOverlap="1" wp14:anchorId="4E40F6BD" wp14:editId="2D469EA8">
                <wp:simplePos x="0" y="0"/>
                <wp:positionH relativeFrom="column">
                  <wp:posOffset>0</wp:posOffset>
                </wp:positionH>
                <wp:positionV relativeFrom="paragraph">
                  <wp:posOffset>-635</wp:posOffset>
                </wp:positionV>
                <wp:extent cx="35661600" cy="19167475"/>
                <wp:effectExtent l="0" t="0" r="0" b="0"/>
                <wp:wrapNone/>
                <wp:docPr id="2" name="Rectangle 1">
                  <a:extLst xmlns:a="http://schemas.openxmlformats.org/drawingml/2006/main">
                    <a:ext uri="{FF2B5EF4-FFF2-40B4-BE49-F238E27FC236}">
                      <a16:creationId xmlns:a16="http://schemas.microsoft.com/office/drawing/2014/main" id="{57962C01-0390-2AB3-791E-B6EFD8A0B3A2}"/>
                    </a:ext>
                  </a:extLst>
                </wp:docPr>
                <wp:cNvGraphicFramePr/>
                <a:graphic xmlns:a="http://schemas.openxmlformats.org/drawingml/2006/main">
                  <a:graphicData uri="http://schemas.microsoft.com/office/word/2010/wordprocessingShape">
                    <wps:wsp>
                      <wps:cNvSpPr/>
                      <wps:spPr>
                        <a:xfrm>
                          <a:off x="0" y="0"/>
                          <a:ext cx="35661600" cy="1916747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68EF93D0" w14:textId="77777777" w:rsidR="009056FA" w:rsidRDefault="009056FA" w:rsidP="00E731C4">
                            <w:pPr>
                              <w:spacing w:line="360" w:lineRule="auto"/>
                              <w:jc w:val="center"/>
                              <w:textAlignment w:val="baseline"/>
                              <w:rPr>
                                <w:rFonts w:ascii="Arial" w:hAnsi="Arial" w:cs="Arial"/>
                                <w:b/>
                                <w:bCs/>
                                <w:color w:val="000000" w:themeColor="dark1"/>
                                <w:kern w:val="24"/>
                                <w:sz w:val="230"/>
                                <w:szCs w:val="230"/>
                              </w:rPr>
                            </w:pPr>
                            <w:r>
                              <w:rPr>
                                <w:rFonts w:ascii="Arial" w:hAnsi="Arial" w:cs="Arial"/>
                                <w:b/>
                                <w:bCs/>
                                <w:color w:val="000000" w:themeColor="dark1"/>
                                <w:kern w:val="24"/>
                                <w:sz w:val="230"/>
                                <w:szCs w:val="230"/>
                              </w:rPr>
                              <w:t>Student Name: John Moses Imade Omorogbe</w:t>
                            </w:r>
                          </w:p>
                          <w:p w14:paraId="4A069490" w14:textId="77777777" w:rsidR="009056FA" w:rsidRDefault="009056FA" w:rsidP="00E731C4">
                            <w:pPr>
                              <w:spacing w:line="360" w:lineRule="auto"/>
                              <w:jc w:val="center"/>
                              <w:textAlignment w:val="baseline"/>
                              <w:rPr>
                                <w:rFonts w:ascii="Arial" w:hAnsi="Arial" w:cs="Arial"/>
                                <w:b/>
                                <w:bCs/>
                                <w:color w:val="000000" w:themeColor="dark1"/>
                                <w:kern w:val="24"/>
                                <w:sz w:val="230"/>
                                <w:szCs w:val="230"/>
                              </w:rPr>
                            </w:pPr>
                            <w:r>
                              <w:rPr>
                                <w:rFonts w:ascii="Arial" w:hAnsi="Arial" w:cs="Arial"/>
                                <w:b/>
                                <w:bCs/>
                                <w:color w:val="000000" w:themeColor="dark1"/>
                                <w:kern w:val="24"/>
                                <w:sz w:val="230"/>
                                <w:szCs w:val="230"/>
                              </w:rPr>
                              <w:t>Student ID: 2310505</w:t>
                            </w:r>
                          </w:p>
                          <w:p w14:paraId="797E37C5" w14:textId="77777777" w:rsidR="009056FA" w:rsidRDefault="009056FA" w:rsidP="00E731C4">
                            <w:pPr>
                              <w:spacing w:line="360" w:lineRule="auto"/>
                              <w:jc w:val="center"/>
                              <w:textAlignment w:val="baseline"/>
                              <w:rPr>
                                <w:rFonts w:ascii="Arial" w:hAnsi="Arial" w:cs="Arial"/>
                                <w:b/>
                                <w:bCs/>
                                <w:color w:val="000000" w:themeColor="dark1"/>
                                <w:kern w:val="24"/>
                                <w:sz w:val="230"/>
                                <w:szCs w:val="230"/>
                              </w:rPr>
                            </w:pPr>
                            <w:r>
                              <w:rPr>
                                <w:rFonts w:ascii="Arial" w:hAnsi="Arial" w:cs="Arial"/>
                                <w:b/>
                                <w:bCs/>
                                <w:color w:val="000000" w:themeColor="dark1"/>
                                <w:kern w:val="24"/>
                                <w:sz w:val="230"/>
                                <w:szCs w:val="230"/>
                              </w:rPr>
                              <w:t xml:space="preserve">Programme: </w:t>
                            </w:r>
                            <w:proofErr w:type="spellStart"/>
                            <w:r>
                              <w:rPr>
                                <w:rFonts w:ascii="Arial" w:hAnsi="Arial" w:cs="Arial"/>
                                <w:b/>
                                <w:bCs/>
                                <w:color w:val="000000" w:themeColor="dark1"/>
                                <w:kern w:val="24"/>
                                <w:sz w:val="230"/>
                                <w:szCs w:val="230"/>
                              </w:rPr>
                              <w:t>BSc</w:t>
                            </w:r>
                            <w:proofErr w:type="spellEnd"/>
                            <w:r>
                              <w:rPr>
                                <w:rFonts w:ascii="Arial" w:hAnsi="Arial" w:cs="Arial"/>
                                <w:b/>
                                <w:bCs/>
                                <w:color w:val="000000" w:themeColor="dark1"/>
                                <w:kern w:val="24"/>
                                <w:sz w:val="230"/>
                                <w:szCs w:val="230"/>
                              </w:rPr>
                              <w:t xml:space="preserve"> (</w:t>
                            </w:r>
                            <w:proofErr w:type="spellStart"/>
                            <w:r>
                              <w:rPr>
                                <w:rFonts w:ascii="Arial" w:hAnsi="Arial" w:cs="Arial"/>
                                <w:b/>
                                <w:bCs/>
                                <w:color w:val="000000" w:themeColor="dark1"/>
                                <w:kern w:val="24"/>
                                <w:sz w:val="230"/>
                                <w:szCs w:val="230"/>
                              </w:rPr>
                              <w:t>Hons</w:t>
                            </w:r>
                            <w:proofErr w:type="spellEnd"/>
                            <w:r>
                              <w:rPr>
                                <w:rFonts w:ascii="Arial" w:hAnsi="Arial" w:cs="Arial"/>
                                <w:b/>
                                <w:bCs/>
                                <w:color w:val="000000" w:themeColor="dark1"/>
                                <w:kern w:val="24"/>
                                <w:sz w:val="230"/>
                                <w:szCs w:val="230"/>
                              </w:rPr>
                              <w:t>) Health and Social Care</w:t>
                            </w:r>
                          </w:p>
                          <w:p w14:paraId="7A2E6A23" w14:textId="77777777" w:rsidR="009056FA" w:rsidRDefault="009056FA" w:rsidP="00E731C4">
                            <w:pPr>
                              <w:spacing w:line="360" w:lineRule="auto"/>
                              <w:jc w:val="center"/>
                              <w:textAlignment w:val="baseline"/>
                              <w:rPr>
                                <w:rFonts w:ascii="Arial" w:hAnsi="Arial" w:cs="Arial"/>
                                <w:b/>
                                <w:bCs/>
                                <w:color w:val="000000" w:themeColor="dark1"/>
                                <w:kern w:val="24"/>
                                <w:sz w:val="230"/>
                                <w:szCs w:val="230"/>
                              </w:rPr>
                            </w:pPr>
                            <w:r>
                              <w:rPr>
                                <w:rFonts w:ascii="Arial" w:hAnsi="Arial" w:cs="Arial"/>
                                <w:b/>
                                <w:bCs/>
                                <w:color w:val="000000" w:themeColor="dark1"/>
                                <w:kern w:val="24"/>
                                <w:sz w:val="230"/>
                                <w:szCs w:val="230"/>
                              </w:rPr>
                              <w:t>Module: Psychology Classification and Provision</w:t>
                            </w:r>
                          </w:p>
                          <w:p w14:paraId="61AABE5E" w14:textId="77777777" w:rsidR="009056FA" w:rsidRDefault="009056FA" w:rsidP="00E731C4">
                            <w:pPr>
                              <w:spacing w:line="360" w:lineRule="auto"/>
                              <w:jc w:val="center"/>
                              <w:textAlignment w:val="baseline"/>
                              <w:rPr>
                                <w:rFonts w:ascii="Arial" w:hAnsi="Arial" w:cs="Arial"/>
                                <w:b/>
                                <w:bCs/>
                                <w:color w:val="000000" w:themeColor="dark1"/>
                                <w:kern w:val="24"/>
                                <w:sz w:val="230"/>
                                <w:szCs w:val="230"/>
                              </w:rPr>
                            </w:pPr>
                            <w:r>
                              <w:rPr>
                                <w:rFonts w:ascii="Arial" w:hAnsi="Arial" w:cs="Arial"/>
                                <w:b/>
                                <w:bCs/>
                                <w:color w:val="000000" w:themeColor="dark1"/>
                                <w:kern w:val="24"/>
                                <w:sz w:val="230"/>
                                <w:szCs w:val="230"/>
                              </w:rPr>
                              <w:t>Module Code: BMHP6029</w:t>
                            </w:r>
                          </w:p>
                          <w:p w14:paraId="6E560D83" w14:textId="77777777" w:rsidR="009056FA" w:rsidRDefault="009056FA" w:rsidP="00E731C4">
                            <w:pPr>
                              <w:spacing w:line="360" w:lineRule="auto"/>
                              <w:jc w:val="center"/>
                              <w:textAlignment w:val="baseline"/>
                              <w:rPr>
                                <w:rFonts w:ascii="Arial" w:hAnsi="Arial" w:cs="Arial"/>
                                <w:b/>
                                <w:bCs/>
                                <w:color w:val="000000" w:themeColor="dark1"/>
                                <w:kern w:val="24"/>
                                <w:sz w:val="230"/>
                                <w:szCs w:val="230"/>
                              </w:rPr>
                            </w:pPr>
                            <w:r>
                              <w:rPr>
                                <w:rFonts w:ascii="Arial" w:hAnsi="Arial" w:cs="Arial"/>
                                <w:b/>
                                <w:bCs/>
                                <w:color w:val="000000" w:themeColor="dark1"/>
                                <w:kern w:val="24"/>
                                <w:sz w:val="230"/>
                                <w:szCs w:val="230"/>
                              </w:rPr>
                              <w:t>Lecturer: Neale Haddon</w:t>
                            </w:r>
                          </w:p>
                          <w:p w14:paraId="765153F8" w14:textId="77777777" w:rsidR="009056FA" w:rsidRDefault="009056FA" w:rsidP="00E731C4">
                            <w:pPr>
                              <w:spacing w:line="360" w:lineRule="auto"/>
                              <w:jc w:val="center"/>
                              <w:textAlignment w:val="baseline"/>
                              <w:rPr>
                                <w:rFonts w:ascii="Arial" w:hAnsi="Arial" w:cs="Arial"/>
                                <w:b/>
                                <w:bCs/>
                                <w:color w:val="000000" w:themeColor="dark1"/>
                                <w:kern w:val="24"/>
                                <w:sz w:val="230"/>
                                <w:szCs w:val="230"/>
                              </w:rPr>
                            </w:pPr>
                            <w:r>
                              <w:rPr>
                                <w:rFonts w:ascii="Arial" w:hAnsi="Arial" w:cs="Arial"/>
                                <w:b/>
                                <w:bCs/>
                                <w:color w:val="000000" w:themeColor="dark1"/>
                                <w:kern w:val="24"/>
                                <w:sz w:val="230"/>
                                <w:szCs w:val="230"/>
                              </w:rPr>
                              <w:t>Assignment Title: Academic Poster</w:t>
                            </w:r>
                          </w:p>
                          <w:p w14:paraId="290F5B30" w14:textId="77777777" w:rsidR="009056FA" w:rsidRDefault="009056FA" w:rsidP="00E731C4">
                            <w:pPr>
                              <w:jc w:val="center"/>
                              <w:textAlignment w:val="baseline"/>
                              <w:rPr>
                                <w:rFonts w:ascii="Arial" w:hAnsi="Arial" w:cs="Arial"/>
                                <w:color w:val="000000" w:themeColor="dark1"/>
                                <w:kern w:val="24"/>
                                <w:sz w:val="64"/>
                                <w:szCs w:val="64"/>
                              </w:rPr>
                            </w:pPr>
                            <w:r>
                              <w:rPr>
                                <w:rFonts w:ascii="Arial" w:hAnsi="Arial" w:cs="Arial"/>
                                <w:color w:val="000000" w:themeColor="dark1"/>
                                <w:kern w:val="24"/>
                                <w:sz w:val="64"/>
                                <w:szCs w:val="64"/>
                              </w:rPr>
                              <w:t> </w:t>
                            </w:r>
                          </w:p>
                        </w:txbxContent>
                      </wps:txbx>
                      <wps:bodyPr>
                        <a:spAutoFit/>
                      </wps:bodyPr>
                    </wps:wsp>
                  </a:graphicData>
                </a:graphic>
              </wp:anchor>
            </w:drawing>
          </mc:Choice>
          <mc:Fallback>
            <w:pict>
              <v:rect w14:anchorId="4E40F6BD" id="Rectangle 1" o:spid="_x0000_s1026" style="position:absolute;left:0;text-align:left;margin-left:0;margin-top:-.05pt;width:39in;height:150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" filled="f" stroked="f" strokeweight="2pt">
                <v:textbox style="mso-fit-shape-to-text:t">
                  <w:txbxContent>
                    <w:p w14:paraId="68EF93D0" w14:textId="77777777" w:rsidR="009056FA" w:rsidRDefault="009056FA" w:rsidP="00E731C4">
                      <w:pPr>
                        <w:spacing w:line="360" w:lineRule="auto"/>
                        <w:jc w:val="center"/>
                        <w:textAlignment w:val="baseline"/>
                        <w:rPr>
                          <w:rFonts w:ascii="Arial" w:hAnsi="Arial" w:cs="Arial"/>
                          <w:b/>
                          <w:bCs/>
                          <w:color w:val="000000" w:themeColor="dark1"/>
                          <w:kern w:val="24"/>
                          <w:sz w:val="230"/>
                          <w:szCs w:val="230"/>
                        </w:rPr>
                      </w:pPr>
                      <w:r>
                        <w:rPr>
                          <w:rFonts w:ascii="Arial" w:hAnsi="Arial" w:cs="Arial"/>
                          <w:b/>
                          <w:bCs/>
                          <w:color w:val="000000" w:themeColor="dark1"/>
                          <w:kern w:val="24"/>
                          <w:sz w:val="230"/>
                          <w:szCs w:val="230"/>
                        </w:rPr>
                        <w:t>Student Name: John Moses Imade Omorogbe</w:t>
                      </w:r>
                    </w:p>
                    <w:p w14:paraId="4A069490" w14:textId="77777777" w:rsidR="009056FA" w:rsidRDefault="009056FA" w:rsidP="00E731C4">
                      <w:pPr>
                        <w:spacing w:line="360" w:lineRule="auto"/>
                        <w:jc w:val="center"/>
                        <w:textAlignment w:val="baseline"/>
                        <w:rPr>
                          <w:rFonts w:ascii="Arial" w:hAnsi="Arial" w:cs="Arial"/>
                          <w:b/>
                          <w:bCs/>
                          <w:color w:val="000000" w:themeColor="dark1"/>
                          <w:kern w:val="24"/>
                          <w:sz w:val="230"/>
                          <w:szCs w:val="230"/>
                        </w:rPr>
                      </w:pPr>
                      <w:r>
                        <w:rPr>
                          <w:rFonts w:ascii="Arial" w:hAnsi="Arial" w:cs="Arial"/>
                          <w:b/>
                          <w:bCs/>
                          <w:color w:val="000000" w:themeColor="dark1"/>
                          <w:kern w:val="24"/>
                          <w:sz w:val="230"/>
                          <w:szCs w:val="230"/>
                        </w:rPr>
                        <w:t>Student ID: 2310505</w:t>
                      </w:r>
                    </w:p>
                    <w:p w14:paraId="797E37C5" w14:textId="77777777" w:rsidR="009056FA" w:rsidRDefault="009056FA" w:rsidP="00E731C4">
                      <w:pPr>
                        <w:spacing w:line="360" w:lineRule="auto"/>
                        <w:jc w:val="center"/>
                        <w:textAlignment w:val="baseline"/>
                        <w:rPr>
                          <w:rFonts w:ascii="Arial" w:hAnsi="Arial" w:cs="Arial"/>
                          <w:b/>
                          <w:bCs/>
                          <w:color w:val="000000" w:themeColor="dark1"/>
                          <w:kern w:val="24"/>
                          <w:sz w:val="230"/>
                          <w:szCs w:val="230"/>
                        </w:rPr>
                      </w:pPr>
                      <w:r>
                        <w:rPr>
                          <w:rFonts w:ascii="Arial" w:hAnsi="Arial" w:cs="Arial"/>
                          <w:b/>
                          <w:bCs/>
                          <w:color w:val="000000" w:themeColor="dark1"/>
                          <w:kern w:val="24"/>
                          <w:sz w:val="230"/>
                          <w:szCs w:val="230"/>
                        </w:rPr>
                        <w:t xml:space="preserve">Programme: </w:t>
                      </w:r>
                      <w:proofErr w:type="spellStart"/>
                      <w:r>
                        <w:rPr>
                          <w:rFonts w:ascii="Arial" w:hAnsi="Arial" w:cs="Arial"/>
                          <w:b/>
                          <w:bCs/>
                          <w:color w:val="000000" w:themeColor="dark1"/>
                          <w:kern w:val="24"/>
                          <w:sz w:val="230"/>
                          <w:szCs w:val="230"/>
                        </w:rPr>
                        <w:t>BSc</w:t>
                      </w:r>
                      <w:proofErr w:type="spellEnd"/>
                      <w:r>
                        <w:rPr>
                          <w:rFonts w:ascii="Arial" w:hAnsi="Arial" w:cs="Arial"/>
                          <w:b/>
                          <w:bCs/>
                          <w:color w:val="000000" w:themeColor="dark1"/>
                          <w:kern w:val="24"/>
                          <w:sz w:val="230"/>
                          <w:szCs w:val="230"/>
                        </w:rPr>
                        <w:t xml:space="preserve"> (</w:t>
                      </w:r>
                      <w:proofErr w:type="spellStart"/>
                      <w:r>
                        <w:rPr>
                          <w:rFonts w:ascii="Arial" w:hAnsi="Arial" w:cs="Arial"/>
                          <w:b/>
                          <w:bCs/>
                          <w:color w:val="000000" w:themeColor="dark1"/>
                          <w:kern w:val="24"/>
                          <w:sz w:val="230"/>
                          <w:szCs w:val="230"/>
                        </w:rPr>
                        <w:t>Hons</w:t>
                      </w:r>
                      <w:proofErr w:type="spellEnd"/>
                      <w:r>
                        <w:rPr>
                          <w:rFonts w:ascii="Arial" w:hAnsi="Arial" w:cs="Arial"/>
                          <w:b/>
                          <w:bCs/>
                          <w:color w:val="000000" w:themeColor="dark1"/>
                          <w:kern w:val="24"/>
                          <w:sz w:val="230"/>
                          <w:szCs w:val="230"/>
                        </w:rPr>
                        <w:t>) Health and Social Care</w:t>
                      </w:r>
                    </w:p>
                    <w:p w14:paraId="7A2E6A23" w14:textId="77777777" w:rsidR="009056FA" w:rsidRDefault="009056FA" w:rsidP="00E731C4">
                      <w:pPr>
                        <w:spacing w:line="360" w:lineRule="auto"/>
                        <w:jc w:val="center"/>
                        <w:textAlignment w:val="baseline"/>
                        <w:rPr>
                          <w:rFonts w:ascii="Arial" w:hAnsi="Arial" w:cs="Arial"/>
                          <w:b/>
                          <w:bCs/>
                          <w:color w:val="000000" w:themeColor="dark1"/>
                          <w:kern w:val="24"/>
                          <w:sz w:val="230"/>
                          <w:szCs w:val="230"/>
                        </w:rPr>
                      </w:pPr>
                      <w:r>
                        <w:rPr>
                          <w:rFonts w:ascii="Arial" w:hAnsi="Arial" w:cs="Arial"/>
                          <w:b/>
                          <w:bCs/>
                          <w:color w:val="000000" w:themeColor="dark1"/>
                          <w:kern w:val="24"/>
                          <w:sz w:val="230"/>
                          <w:szCs w:val="230"/>
                        </w:rPr>
                        <w:t>Module: Psychology Classification and Provision</w:t>
                      </w:r>
                    </w:p>
                    <w:p w14:paraId="61AABE5E" w14:textId="77777777" w:rsidR="009056FA" w:rsidRDefault="009056FA" w:rsidP="00E731C4">
                      <w:pPr>
                        <w:spacing w:line="360" w:lineRule="auto"/>
                        <w:jc w:val="center"/>
                        <w:textAlignment w:val="baseline"/>
                        <w:rPr>
                          <w:rFonts w:ascii="Arial" w:hAnsi="Arial" w:cs="Arial"/>
                          <w:b/>
                          <w:bCs/>
                          <w:color w:val="000000" w:themeColor="dark1"/>
                          <w:kern w:val="24"/>
                          <w:sz w:val="230"/>
                          <w:szCs w:val="230"/>
                        </w:rPr>
                      </w:pPr>
                      <w:r>
                        <w:rPr>
                          <w:rFonts w:ascii="Arial" w:hAnsi="Arial" w:cs="Arial"/>
                          <w:b/>
                          <w:bCs/>
                          <w:color w:val="000000" w:themeColor="dark1"/>
                          <w:kern w:val="24"/>
                          <w:sz w:val="230"/>
                          <w:szCs w:val="230"/>
                        </w:rPr>
                        <w:t>Module Code: BMHP6029</w:t>
                      </w:r>
                    </w:p>
                    <w:p w14:paraId="6E560D83" w14:textId="77777777" w:rsidR="009056FA" w:rsidRDefault="009056FA" w:rsidP="00E731C4">
                      <w:pPr>
                        <w:spacing w:line="360" w:lineRule="auto"/>
                        <w:jc w:val="center"/>
                        <w:textAlignment w:val="baseline"/>
                        <w:rPr>
                          <w:rFonts w:ascii="Arial" w:hAnsi="Arial" w:cs="Arial"/>
                          <w:b/>
                          <w:bCs/>
                          <w:color w:val="000000" w:themeColor="dark1"/>
                          <w:kern w:val="24"/>
                          <w:sz w:val="230"/>
                          <w:szCs w:val="230"/>
                        </w:rPr>
                      </w:pPr>
                      <w:r>
                        <w:rPr>
                          <w:rFonts w:ascii="Arial" w:hAnsi="Arial" w:cs="Arial"/>
                          <w:b/>
                          <w:bCs/>
                          <w:color w:val="000000" w:themeColor="dark1"/>
                          <w:kern w:val="24"/>
                          <w:sz w:val="230"/>
                          <w:szCs w:val="230"/>
                        </w:rPr>
                        <w:t>Lecturer: Neale Haddon</w:t>
                      </w:r>
                    </w:p>
                    <w:p w14:paraId="765153F8" w14:textId="77777777" w:rsidR="009056FA" w:rsidRDefault="009056FA" w:rsidP="00E731C4">
                      <w:pPr>
                        <w:spacing w:line="360" w:lineRule="auto"/>
                        <w:jc w:val="center"/>
                        <w:textAlignment w:val="baseline"/>
                        <w:rPr>
                          <w:rFonts w:ascii="Arial" w:hAnsi="Arial" w:cs="Arial"/>
                          <w:b/>
                          <w:bCs/>
                          <w:color w:val="000000" w:themeColor="dark1"/>
                          <w:kern w:val="24"/>
                          <w:sz w:val="230"/>
                          <w:szCs w:val="230"/>
                        </w:rPr>
                      </w:pPr>
                      <w:r>
                        <w:rPr>
                          <w:rFonts w:ascii="Arial" w:hAnsi="Arial" w:cs="Arial"/>
                          <w:b/>
                          <w:bCs/>
                          <w:color w:val="000000" w:themeColor="dark1"/>
                          <w:kern w:val="24"/>
                          <w:sz w:val="230"/>
                          <w:szCs w:val="230"/>
                        </w:rPr>
                        <w:t>Assignment Title: Academic Poster</w:t>
                      </w:r>
                    </w:p>
                    <w:p w14:paraId="290F5B30" w14:textId="77777777" w:rsidR="009056FA" w:rsidRDefault="009056FA" w:rsidP="00E731C4">
                      <w:pPr>
                        <w:jc w:val="center"/>
                        <w:textAlignment w:val="baseline"/>
                        <w:rPr>
                          <w:rFonts w:ascii="Arial" w:hAnsi="Arial" w:cs="Arial"/>
                          <w:color w:val="000000" w:themeColor="dark1"/>
                          <w:kern w:val="24"/>
                          <w:sz w:val="64"/>
                          <w:szCs w:val="64"/>
                        </w:rPr>
                      </w:pPr>
                      <w:r>
                        <w:rPr>
                          <w:rFonts w:ascii="Arial" w:hAnsi="Arial" w:cs="Arial"/>
                          <w:color w:val="000000" w:themeColor="dark1"/>
                          <w:kern w:val="24"/>
                          <w:sz w:val="64"/>
                          <w:szCs w:val="64"/>
                        </w:rPr>
                        <w:t> </w:t>
                      </w:r>
                    </w:p>
                  </w:txbxContent>
                </v:textbox>
              </v:rect>
            </w:pict>
          </mc:Fallback>
        </mc:AlternateContent>
      </w:r>
    </w:p>
    <w:p w14:paraId="12C3B41C" w14:textId="77777777" w:rsidR="0046037E" w:rsidRDefault="0046037E" w:rsidP="00F06E93">
      <w:pPr>
        <w:spacing w:after="0" w:line="360" w:lineRule="auto"/>
        <w:jc w:val="both"/>
        <w:outlineLvl w:val="2"/>
        <w:rPr>
          <w:rFonts w:ascii="Arial" w:eastAsia="Times New Roman" w:hAnsi="Arial" w:cs="Arial"/>
          <w:b/>
          <w:bCs/>
        </w:rPr>
      </w:pPr>
    </w:p>
    <w:p w14:paraId="78E1540F" w14:textId="77777777" w:rsidR="0046037E" w:rsidRDefault="0046037E" w:rsidP="00F06E93">
      <w:pPr>
        <w:spacing w:after="0" w:line="360" w:lineRule="auto"/>
        <w:jc w:val="both"/>
        <w:outlineLvl w:val="2"/>
        <w:rPr>
          <w:rFonts w:ascii="Arial" w:eastAsia="Times New Roman" w:hAnsi="Arial" w:cs="Arial"/>
          <w:b/>
          <w:bCs/>
        </w:rPr>
      </w:pPr>
    </w:p>
    <w:p w14:paraId="7762C4FF" w14:textId="77777777" w:rsidR="0046037E" w:rsidRDefault="0046037E" w:rsidP="00F06E93">
      <w:pPr>
        <w:spacing w:after="0" w:line="360" w:lineRule="auto"/>
        <w:jc w:val="both"/>
        <w:outlineLvl w:val="2"/>
        <w:rPr>
          <w:rFonts w:ascii="Arial" w:eastAsia="Times New Roman" w:hAnsi="Arial" w:cs="Arial"/>
          <w:b/>
          <w:bCs/>
        </w:rPr>
      </w:pPr>
    </w:p>
    <w:p w14:paraId="232C6D17" w14:textId="77777777" w:rsidR="0046037E" w:rsidRDefault="0046037E" w:rsidP="00F06E93">
      <w:pPr>
        <w:spacing w:after="0" w:line="360" w:lineRule="auto"/>
        <w:jc w:val="both"/>
        <w:outlineLvl w:val="2"/>
        <w:rPr>
          <w:rFonts w:ascii="Arial" w:eastAsia="Times New Roman" w:hAnsi="Arial" w:cs="Arial"/>
          <w:b/>
          <w:bCs/>
        </w:rPr>
      </w:pPr>
    </w:p>
    <w:p w14:paraId="7A61C7F8" w14:textId="77777777" w:rsidR="0046037E" w:rsidRDefault="0046037E" w:rsidP="00F06E93">
      <w:pPr>
        <w:spacing w:after="0" w:line="360" w:lineRule="auto"/>
        <w:jc w:val="both"/>
        <w:outlineLvl w:val="2"/>
        <w:rPr>
          <w:rFonts w:ascii="Arial" w:eastAsia="Times New Roman" w:hAnsi="Arial" w:cs="Arial"/>
          <w:b/>
          <w:bCs/>
        </w:rPr>
      </w:pPr>
    </w:p>
    <w:p w14:paraId="14417347" w14:textId="77777777" w:rsidR="0046037E" w:rsidRDefault="0046037E" w:rsidP="00F06E93">
      <w:pPr>
        <w:spacing w:after="0" w:line="360" w:lineRule="auto"/>
        <w:jc w:val="both"/>
        <w:outlineLvl w:val="2"/>
        <w:rPr>
          <w:rFonts w:ascii="Arial" w:eastAsia="Times New Roman" w:hAnsi="Arial" w:cs="Arial"/>
          <w:b/>
          <w:bCs/>
        </w:rPr>
      </w:pPr>
    </w:p>
    <w:p w14:paraId="2DF019C6" w14:textId="77777777" w:rsidR="0046037E" w:rsidRDefault="0046037E" w:rsidP="00F06E93">
      <w:pPr>
        <w:spacing w:after="0" w:line="360" w:lineRule="auto"/>
        <w:jc w:val="both"/>
        <w:outlineLvl w:val="2"/>
        <w:rPr>
          <w:rFonts w:ascii="Arial" w:eastAsia="Times New Roman" w:hAnsi="Arial" w:cs="Arial"/>
          <w:b/>
          <w:bCs/>
        </w:rPr>
      </w:pPr>
    </w:p>
    <w:p w14:paraId="6F19967F" w14:textId="77777777" w:rsidR="0046037E" w:rsidRDefault="0046037E" w:rsidP="00F06E93">
      <w:pPr>
        <w:spacing w:after="0" w:line="360" w:lineRule="auto"/>
        <w:jc w:val="both"/>
        <w:outlineLvl w:val="2"/>
        <w:rPr>
          <w:rFonts w:ascii="Arial" w:eastAsia="Times New Roman" w:hAnsi="Arial" w:cs="Arial"/>
          <w:b/>
          <w:bCs/>
        </w:rPr>
      </w:pPr>
    </w:p>
    <w:p w14:paraId="43AF709C" w14:textId="77777777" w:rsidR="0046037E" w:rsidRDefault="0046037E" w:rsidP="00F06E93">
      <w:pPr>
        <w:spacing w:after="0" w:line="360" w:lineRule="auto"/>
        <w:jc w:val="both"/>
        <w:outlineLvl w:val="2"/>
        <w:rPr>
          <w:rFonts w:ascii="Arial" w:eastAsia="Times New Roman" w:hAnsi="Arial" w:cs="Arial"/>
          <w:b/>
          <w:bCs/>
        </w:rPr>
      </w:pPr>
    </w:p>
    <w:p w14:paraId="3C7FEEDB" w14:textId="77777777" w:rsidR="0046037E" w:rsidRDefault="0046037E" w:rsidP="00F06E93">
      <w:pPr>
        <w:spacing w:after="0" w:line="360" w:lineRule="auto"/>
        <w:jc w:val="both"/>
        <w:outlineLvl w:val="2"/>
        <w:rPr>
          <w:rFonts w:ascii="Arial" w:eastAsia="Times New Roman" w:hAnsi="Arial" w:cs="Arial"/>
          <w:b/>
          <w:bCs/>
        </w:rPr>
      </w:pPr>
    </w:p>
    <w:p w14:paraId="12FB2DC4" w14:textId="77777777" w:rsidR="0046037E" w:rsidRDefault="0046037E" w:rsidP="00F06E93">
      <w:pPr>
        <w:spacing w:after="0" w:line="360" w:lineRule="auto"/>
        <w:jc w:val="both"/>
        <w:outlineLvl w:val="2"/>
        <w:rPr>
          <w:rFonts w:ascii="Arial" w:eastAsia="Times New Roman" w:hAnsi="Arial" w:cs="Arial"/>
          <w:b/>
          <w:bCs/>
        </w:rPr>
      </w:pPr>
    </w:p>
    <w:p w14:paraId="49176263" w14:textId="77777777" w:rsidR="0046037E" w:rsidRDefault="0046037E" w:rsidP="00F06E93">
      <w:pPr>
        <w:spacing w:after="0" w:line="360" w:lineRule="auto"/>
        <w:jc w:val="both"/>
        <w:outlineLvl w:val="2"/>
        <w:rPr>
          <w:rFonts w:ascii="Arial" w:eastAsia="Times New Roman" w:hAnsi="Arial" w:cs="Arial"/>
          <w:b/>
          <w:bCs/>
        </w:rPr>
      </w:pPr>
    </w:p>
    <w:p w14:paraId="212653EC" w14:textId="77777777" w:rsidR="0046037E" w:rsidRDefault="0046037E" w:rsidP="00F06E93">
      <w:pPr>
        <w:spacing w:after="0" w:line="360" w:lineRule="auto"/>
        <w:jc w:val="both"/>
        <w:outlineLvl w:val="2"/>
        <w:rPr>
          <w:rFonts w:ascii="Arial" w:eastAsia="Times New Roman" w:hAnsi="Arial" w:cs="Arial"/>
          <w:b/>
          <w:bCs/>
        </w:rPr>
      </w:pPr>
    </w:p>
    <w:p w14:paraId="566E440C" w14:textId="77777777" w:rsidR="0046037E" w:rsidRDefault="0046037E" w:rsidP="00F06E93">
      <w:pPr>
        <w:spacing w:after="0" w:line="360" w:lineRule="auto"/>
        <w:jc w:val="both"/>
        <w:outlineLvl w:val="2"/>
        <w:rPr>
          <w:rFonts w:ascii="Arial" w:eastAsia="Times New Roman" w:hAnsi="Arial" w:cs="Arial"/>
          <w:b/>
          <w:bCs/>
        </w:rPr>
      </w:pPr>
    </w:p>
    <w:p w14:paraId="5F356CDB" w14:textId="77777777" w:rsidR="0046037E" w:rsidRDefault="0046037E" w:rsidP="00F06E93">
      <w:pPr>
        <w:spacing w:after="0" w:line="360" w:lineRule="auto"/>
        <w:jc w:val="both"/>
        <w:outlineLvl w:val="2"/>
        <w:rPr>
          <w:rFonts w:ascii="Arial" w:eastAsia="Times New Roman" w:hAnsi="Arial" w:cs="Arial"/>
          <w:b/>
          <w:bCs/>
        </w:rPr>
      </w:pPr>
    </w:p>
    <w:p w14:paraId="1F9DE800" w14:textId="77777777" w:rsidR="0046037E" w:rsidRDefault="0046037E" w:rsidP="00F06E93">
      <w:pPr>
        <w:spacing w:after="0" w:line="360" w:lineRule="auto"/>
        <w:jc w:val="both"/>
        <w:outlineLvl w:val="2"/>
        <w:rPr>
          <w:rFonts w:ascii="Arial" w:eastAsia="Times New Roman" w:hAnsi="Arial" w:cs="Arial"/>
          <w:b/>
          <w:bCs/>
        </w:rPr>
      </w:pPr>
    </w:p>
    <w:p w14:paraId="07DA04B2" w14:textId="77777777" w:rsidR="0046037E" w:rsidRDefault="0046037E" w:rsidP="00F06E93">
      <w:pPr>
        <w:spacing w:after="0" w:line="360" w:lineRule="auto"/>
        <w:jc w:val="both"/>
        <w:outlineLvl w:val="2"/>
        <w:rPr>
          <w:rFonts w:ascii="Arial" w:eastAsia="Times New Roman" w:hAnsi="Arial" w:cs="Arial"/>
          <w:b/>
          <w:bCs/>
        </w:rPr>
      </w:pPr>
    </w:p>
    <w:p w14:paraId="51F2D916" w14:textId="77777777" w:rsidR="0046037E" w:rsidRDefault="0046037E" w:rsidP="00F06E93">
      <w:pPr>
        <w:spacing w:after="0" w:line="360" w:lineRule="auto"/>
        <w:jc w:val="both"/>
        <w:outlineLvl w:val="2"/>
        <w:rPr>
          <w:rFonts w:ascii="Arial" w:eastAsia="Times New Roman" w:hAnsi="Arial" w:cs="Arial"/>
          <w:b/>
          <w:bCs/>
        </w:rPr>
      </w:pPr>
    </w:p>
    <w:p w14:paraId="6C7EF236" w14:textId="77777777" w:rsidR="0046037E" w:rsidRDefault="0046037E" w:rsidP="00F06E93">
      <w:pPr>
        <w:spacing w:after="0" w:line="360" w:lineRule="auto"/>
        <w:jc w:val="both"/>
        <w:outlineLvl w:val="2"/>
        <w:rPr>
          <w:rFonts w:ascii="Arial" w:eastAsia="Times New Roman" w:hAnsi="Arial" w:cs="Arial"/>
          <w:b/>
          <w:bCs/>
        </w:rPr>
      </w:pPr>
    </w:p>
    <w:p w14:paraId="5D1EFDEC" w14:textId="77777777" w:rsidR="0046037E" w:rsidRDefault="0046037E" w:rsidP="00F06E93">
      <w:pPr>
        <w:spacing w:after="0" w:line="360" w:lineRule="auto"/>
        <w:jc w:val="both"/>
        <w:outlineLvl w:val="2"/>
        <w:rPr>
          <w:rFonts w:ascii="Arial" w:eastAsia="Times New Roman" w:hAnsi="Arial" w:cs="Arial"/>
          <w:b/>
          <w:bCs/>
        </w:rPr>
      </w:pPr>
    </w:p>
    <w:p w14:paraId="09002DC4" w14:textId="77777777" w:rsidR="0046037E" w:rsidRDefault="0046037E" w:rsidP="00F06E93">
      <w:pPr>
        <w:spacing w:after="0" w:line="360" w:lineRule="auto"/>
        <w:jc w:val="both"/>
        <w:outlineLvl w:val="2"/>
        <w:rPr>
          <w:rFonts w:ascii="Arial" w:eastAsia="Times New Roman" w:hAnsi="Arial" w:cs="Arial"/>
          <w:b/>
          <w:bCs/>
        </w:rPr>
      </w:pPr>
    </w:p>
    <w:p w14:paraId="66E86250" w14:textId="77777777" w:rsidR="0046037E" w:rsidRDefault="0046037E" w:rsidP="00F06E93">
      <w:pPr>
        <w:spacing w:after="0" w:line="360" w:lineRule="auto"/>
        <w:jc w:val="both"/>
        <w:outlineLvl w:val="2"/>
        <w:rPr>
          <w:rFonts w:ascii="Arial" w:eastAsia="Times New Roman" w:hAnsi="Arial" w:cs="Arial"/>
          <w:b/>
          <w:bCs/>
        </w:rPr>
      </w:pPr>
    </w:p>
    <w:p w14:paraId="7C10740C" w14:textId="77777777" w:rsidR="0046037E" w:rsidRPr="0046037E" w:rsidRDefault="0046037E" w:rsidP="0046037E">
      <w:pPr>
        <w:spacing w:after="0" w:line="360" w:lineRule="auto"/>
        <w:jc w:val="center"/>
        <w:outlineLvl w:val="2"/>
        <w:rPr>
          <w:rFonts w:ascii="Arial" w:eastAsia="Times New Roman" w:hAnsi="Arial" w:cs="Arial"/>
          <w:b/>
          <w:bCs/>
        </w:rPr>
      </w:pPr>
      <w:r w:rsidRPr="0046037E">
        <w:rPr>
          <w:rFonts w:ascii="Arial" w:eastAsia="Times New Roman" w:hAnsi="Arial" w:cs="Arial"/>
          <w:b/>
          <w:bCs/>
        </w:rPr>
        <w:t>Table of Contents</w:t>
      </w:r>
    </w:p>
    <w:p w14:paraId="1E40DA29" w14:textId="77777777" w:rsidR="0046037E" w:rsidRPr="00F06E93" w:rsidRDefault="0046037E" w:rsidP="0046037E">
      <w:pPr>
        <w:spacing w:after="0" w:line="360" w:lineRule="auto"/>
        <w:jc w:val="both"/>
        <w:outlineLvl w:val="2"/>
        <w:rPr>
          <w:rFonts w:ascii="Arial" w:eastAsia="Times New Roman" w:hAnsi="Arial" w:cs="Arial"/>
          <w:bCs/>
        </w:rPr>
      </w:pPr>
      <w:r w:rsidRPr="0046037E">
        <w:rPr>
          <w:rFonts w:ascii="Arial" w:eastAsia="Times New Roman" w:hAnsi="Arial" w:cs="Arial"/>
          <w:bCs/>
        </w:rPr>
        <w:t>1. Introductio</w:t>
      </w:r>
      <w:r>
        <w:rPr>
          <w:rFonts w:ascii="Arial" w:eastAsia="Times New Roman" w:hAnsi="Arial" w:cs="Arial"/>
          <w:bCs/>
        </w:rPr>
        <w:t>n ………………………………………………………………………….</w:t>
      </w:r>
      <w:r>
        <w:rPr>
          <w:rFonts w:ascii="Arial" w:eastAsia="Times New Roman" w:hAnsi="Arial" w:cs="Arial"/>
          <w:bCs/>
        </w:rPr>
        <w:tab/>
        <w:t>3</w:t>
      </w:r>
    </w:p>
    <w:p w14:paraId="38FE1CA7" w14:textId="77777777" w:rsidR="0046037E" w:rsidRPr="0046037E" w:rsidRDefault="0046037E" w:rsidP="0046037E">
      <w:pPr>
        <w:pStyle w:val="Heading3"/>
        <w:spacing w:before="0" w:beforeAutospacing="0" w:after="0" w:afterAutospacing="0" w:line="360" w:lineRule="auto"/>
        <w:jc w:val="both"/>
        <w:rPr>
          <w:rFonts w:ascii="Arial" w:hAnsi="Arial" w:cs="Arial"/>
          <w:sz w:val="22"/>
          <w:szCs w:val="24"/>
        </w:rPr>
      </w:pPr>
      <w:r w:rsidRPr="0046037E">
        <w:rPr>
          <w:rStyle w:val="Strong"/>
          <w:rFonts w:ascii="Arial" w:hAnsi="Arial" w:cs="Arial"/>
          <w:bCs/>
          <w:sz w:val="22"/>
          <w:szCs w:val="24"/>
        </w:rPr>
        <w:t>2. Classification and Diagnostic Framework</w:t>
      </w:r>
      <w:r>
        <w:rPr>
          <w:rStyle w:val="Strong"/>
          <w:rFonts w:ascii="Arial" w:hAnsi="Arial" w:cs="Arial"/>
          <w:bCs/>
          <w:sz w:val="22"/>
          <w:szCs w:val="24"/>
        </w:rPr>
        <w:t xml:space="preserve"> ………………………………………..</w:t>
      </w:r>
      <w:r>
        <w:rPr>
          <w:rStyle w:val="Strong"/>
          <w:rFonts w:ascii="Arial" w:hAnsi="Arial" w:cs="Arial"/>
          <w:bCs/>
          <w:sz w:val="22"/>
          <w:szCs w:val="24"/>
        </w:rPr>
        <w:tab/>
        <w:t>3</w:t>
      </w:r>
    </w:p>
    <w:p w14:paraId="079E10A2" w14:textId="77777777" w:rsidR="0046037E" w:rsidRPr="0046037E" w:rsidRDefault="0046037E" w:rsidP="0046037E">
      <w:pPr>
        <w:pStyle w:val="Heading4"/>
        <w:spacing w:before="0" w:line="360" w:lineRule="auto"/>
        <w:jc w:val="both"/>
        <w:rPr>
          <w:rFonts w:ascii="Arial" w:hAnsi="Arial" w:cs="Arial"/>
          <w:i w:val="0"/>
          <w:color w:val="auto"/>
          <w:szCs w:val="24"/>
        </w:rPr>
      </w:pPr>
      <w:r>
        <w:rPr>
          <w:rStyle w:val="Strong"/>
          <w:rFonts w:ascii="Arial" w:hAnsi="Arial" w:cs="Arial"/>
          <w:bCs/>
          <w:color w:val="auto"/>
          <w:szCs w:val="24"/>
        </w:rPr>
        <w:t xml:space="preserve">    </w:t>
      </w:r>
      <w:r w:rsidRPr="0046037E">
        <w:rPr>
          <w:rStyle w:val="Strong"/>
          <w:rFonts w:ascii="Arial" w:hAnsi="Arial" w:cs="Arial"/>
          <w:bCs/>
          <w:color w:val="auto"/>
          <w:szCs w:val="24"/>
        </w:rPr>
        <w:t xml:space="preserve">2.1 ICD-11 </w:t>
      </w:r>
      <w:proofErr w:type="spellStart"/>
      <w:r w:rsidRPr="0046037E">
        <w:rPr>
          <w:rStyle w:val="Strong"/>
          <w:rFonts w:ascii="Arial" w:hAnsi="Arial" w:cs="Arial"/>
          <w:bCs/>
          <w:color w:val="auto"/>
          <w:szCs w:val="24"/>
        </w:rPr>
        <w:t>Categorisation</w:t>
      </w:r>
      <w:proofErr w:type="spellEnd"/>
      <w:r w:rsidRPr="0046037E">
        <w:rPr>
          <w:rStyle w:val="Strong"/>
          <w:rFonts w:ascii="Arial" w:hAnsi="Arial" w:cs="Arial"/>
          <w:bCs/>
          <w:color w:val="auto"/>
          <w:szCs w:val="24"/>
        </w:rPr>
        <w:t xml:space="preserve"> of PTSD</w:t>
      </w:r>
      <w:r>
        <w:rPr>
          <w:rStyle w:val="Strong"/>
          <w:rFonts w:ascii="Arial" w:hAnsi="Arial" w:cs="Arial"/>
          <w:bCs/>
          <w:color w:val="auto"/>
          <w:szCs w:val="24"/>
        </w:rPr>
        <w:t xml:space="preserve"> ……………………………………………..</w:t>
      </w:r>
      <w:r>
        <w:rPr>
          <w:rStyle w:val="Strong"/>
          <w:rFonts w:ascii="Arial" w:hAnsi="Arial" w:cs="Arial"/>
          <w:bCs/>
          <w:color w:val="auto"/>
          <w:szCs w:val="24"/>
        </w:rPr>
        <w:tab/>
      </w:r>
      <w:r>
        <w:rPr>
          <w:rStyle w:val="Strong"/>
          <w:rFonts w:ascii="Arial" w:hAnsi="Arial" w:cs="Arial"/>
          <w:bCs/>
          <w:i w:val="0"/>
          <w:color w:val="auto"/>
          <w:szCs w:val="24"/>
        </w:rPr>
        <w:t>3</w:t>
      </w:r>
    </w:p>
    <w:p w14:paraId="55F0C1C9" w14:textId="77777777" w:rsidR="0046037E" w:rsidRPr="0046037E" w:rsidRDefault="0046037E" w:rsidP="0046037E">
      <w:pPr>
        <w:pStyle w:val="Heading4"/>
        <w:spacing w:before="0" w:line="360" w:lineRule="auto"/>
        <w:jc w:val="both"/>
        <w:rPr>
          <w:rFonts w:ascii="Arial" w:hAnsi="Arial" w:cs="Arial"/>
          <w:i w:val="0"/>
          <w:color w:val="auto"/>
          <w:szCs w:val="24"/>
        </w:rPr>
      </w:pPr>
      <w:r>
        <w:rPr>
          <w:rStyle w:val="Strong"/>
          <w:rFonts w:ascii="Arial" w:hAnsi="Arial" w:cs="Arial"/>
          <w:bCs/>
          <w:color w:val="auto"/>
          <w:szCs w:val="24"/>
        </w:rPr>
        <w:t xml:space="preserve">    </w:t>
      </w:r>
      <w:r w:rsidRPr="0046037E">
        <w:rPr>
          <w:rStyle w:val="Strong"/>
          <w:rFonts w:ascii="Arial" w:hAnsi="Arial" w:cs="Arial"/>
          <w:bCs/>
          <w:color w:val="auto"/>
          <w:szCs w:val="24"/>
        </w:rPr>
        <w:t>2.2 Diagnostic Features and Assessment Procedures</w:t>
      </w:r>
      <w:r>
        <w:rPr>
          <w:rStyle w:val="Strong"/>
          <w:rFonts w:ascii="Arial" w:hAnsi="Arial" w:cs="Arial"/>
          <w:bCs/>
          <w:color w:val="auto"/>
          <w:szCs w:val="24"/>
        </w:rPr>
        <w:t xml:space="preserve"> …………………………</w:t>
      </w:r>
      <w:r>
        <w:rPr>
          <w:rStyle w:val="Strong"/>
          <w:rFonts w:ascii="Arial" w:hAnsi="Arial" w:cs="Arial"/>
          <w:bCs/>
          <w:i w:val="0"/>
          <w:color w:val="auto"/>
          <w:szCs w:val="24"/>
        </w:rPr>
        <w:tab/>
        <w:t>4</w:t>
      </w:r>
    </w:p>
    <w:p w14:paraId="104718EF" w14:textId="77777777" w:rsidR="0046037E" w:rsidRPr="0046037E" w:rsidRDefault="0046037E" w:rsidP="0046037E">
      <w:pPr>
        <w:pStyle w:val="Heading4"/>
        <w:spacing w:before="0" w:line="360" w:lineRule="auto"/>
        <w:jc w:val="both"/>
        <w:rPr>
          <w:rFonts w:ascii="Arial" w:hAnsi="Arial" w:cs="Arial"/>
          <w:color w:val="auto"/>
          <w:szCs w:val="24"/>
        </w:rPr>
      </w:pPr>
      <w:r>
        <w:rPr>
          <w:rStyle w:val="Strong"/>
          <w:rFonts w:ascii="Arial" w:hAnsi="Arial" w:cs="Arial"/>
          <w:bCs/>
          <w:color w:val="auto"/>
          <w:szCs w:val="24"/>
        </w:rPr>
        <w:t xml:space="preserve">    </w:t>
      </w:r>
      <w:r w:rsidRPr="0046037E">
        <w:rPr>
          <w:rStyle w:val="Strong"/>
          <w:rFonts w:ascii="Arial" w:hAnsi="Arial" w:cs="Arial"/>
          <w:bCs/>
          <w:color w:val="auto"/>
          <w:szCs w:val="24"/>
        </w:rPr>
        <w:t>2.3 Conceptual Terms and Clinical Significance</w:t>
      </w:r>
      <w:r>
        <w:rPr>
          <w:rStyle w:val="Strong"/>
          <w:rFonts w:ascii="Arial" w:hAnsi="Arial" w:cs="Arial"/>
          <w:bCs/>
          <w:color w:val="auto"/>
          <w:szCs w:val="24"/>
        </w:rPr>
        <w:t xml:space="preserve"> ……………………………….. </w:t>
      </w:r>
      <w:r>
        <w:rPr>
          <w:rStyle w:val="Strong"/>
          <w:rFonts w:ascii="Arial" w:hAnsi="Arial" w:cs="Arial"/>
          <w:bCs/>
          <w:color w:val="auto"/>
          <w:szCs w:val="24"/>
        </w:rPr>
        <w:tab/>
      </w:r>
      <w:r w:rsidRPr="0046037E">
        <w:rPr>
          <w:rStyle w:val="Strong"/>
          <w:rFonts w:ascii="Arial" w:hAnsi="Arial" w:cs="Arial"/>
          <w:bCs/>
          <w:i w:val="0"/>
          <w:color w:val="auto"/>
          <w:szCs w:val="24"/>
        </w:rPr>
        <w:t>4</w:t>
      </w:r>
    </w:p>
    <w:p w14:paraId="1294454B" w14:textId="77777777" w:rsidR="0046037E" w:rsidRPr="0046037E" w:rsidRDefault="0046037E" w:rsidP="0046037E">
      <w:pPr>
        <w:pStyle w:val="Heading3"/>
        <w:spacing w:before="0" w:beforeAutospacing="0" w:after="0" w:afterAutospacing="0" w:line="360" w:lineRule="auto"/>
        <w:jc w:val="both"/>
        <w:rPr>
          <w:rStyle w:val="Strong"/>
          <w:rFonts w:ascii="Arial" w:hAnsi="Arial" w:cs="Arial"/>
          <w:bCs/>
          <w:sz w:val="22"/>
          <w:szCs w:val="22"/>
        </w:rPr>
      </w:pPr>
      <w:r w:rsidRPr="0046037E">
        <w:rPr>
          <w:rStyle w:val="Strong"/>
          <w:rFonts w:ascii="Arial" w:hAnsi="Arial" w:cs="Arial"/>
          <w:bCs/>
          <w:sz w:val="22"/>
          <w:szCs w:val="22"/>
        </w:rPr>
        <w:t>3. Intervention and Recovery Approaches</w:t>
      </w:r>
      <w:r>
        <w:rPr>
          <w:rStyle w:val="Strong"/>
          <w:rFonts w:ascii="Arial" w:hAnsi="Arial" w:cs="Arial"/>
          <w:bCs/>
          <w:sz w:val="22"/>
          <w:szCs w:val="22"/>
        </w:rPr>
        <w:t xml:space="preserve"> ………………………………………….</w:t>
      </w:r>
      <w:r>
        <w:rPr>
          <w:rStyle w:val="Strong"/>
          <w:rFonts w:ascii="Arial" w:hAnsi="Arial" w:cs="Arial"/>
          <w:bCs/>
          <w:sz w:val="22"/>
          <w:szCs w:val="22"/>
        </w:rPr>
        <w:tab/>
        <w:t>4</w:t>
      </w:r>
    </w:p>
    <w:p w14:paraId="5D331820" w14:textId="77777777" w:rsidR="0046037E" w:rsidRPr="0046037E" w:rsidRDefault="0046037E" w:rsidP="0046037E">
      <w:pPr>
        <w:pStyle w:val="Heading3"/>
        <w:spacing w:before="0" w:beforeAutospacing="0" w:after="0" w:afterAutospacing="0" w:line="360" w:lineRule="auto"/>
        <w:jc w:val="both"/>
        <w:rPr>
          <w:rStyle w:val="Strong"/>
          <w:rFonts w:ascii="Arial" w:hAnsi="Arial" w:cs="Arial"/>
          <w:bCs/>
          <w:i/>
          <w:sz w:val="22"/>
          <w:szCs w:val="22"/>
        </w:rPr>
      </w:pPr>
      <w:r>
        <w:rPr>
          <w:rStyle w:val="Strong"/>
          <w:rFonts w:ascii="Arial" w:hAnsi="Arial" w:cs="Arial"/>
          <w:bCs/>
          <w:sz w:val="22"/>
          <w:szCs w:val="22"/>
        </w:rPr>
        <w:t xml:space="preserve">    </w:t>
      </w:r>
      <w:r w:rsidRPr="0046037E">
        <w:rPr>
          <w:rStyle w:val="Strong"/>
          <w:rFonts w:ascii="Arial" w:hAnsi="Arial" w:cs="Arial"/>
          <w:bCs/>
          <w:i/>
          <w:sz w:val="22"/>
          <w:szCs w:val="22"/>
        </w:rPr>
        <w:t>3.1 Medication-Based Interventions</w:t>
      </w:r>
      <w:r>
        <w:rPr>
          <w:rStyle w:val="Strong"/>
          <w:rFonts w:ascii="Arial" w:hAnsi="Arial" w:cs="Arial"/>
          <w:bCs/>
          <w:i/>
          <w:sz w:val="22"/>
          <w:szCs w:val="22"/>
        </w:rPr>
        <w:t xml:space="preserve"> ………………………………………………</w:t>
      </w:r>
      <w:r>
        <w:rPr>
          <w:rStyle w:val="Strong"/>
          <w:rFonts w:ascii="Arial" w:hAnsi="Arial" w:cs="Arial"/>
          <w:bCs/>
          <w:i/>
          <w:sz w:val="22"/>
          <w:szCs w:val="22"/>
        </w:rPr>
        <w:tab/>
      </w:r>
      <w:r w:rsidRPr="0046037E">
        <w:rPr>
          <w:rStyle w:val="Strong"/>
          <w:rFonts w:ascii="Arial" w:hAnsi="Arial" w:cs="Arial"/>
          <w:bCs/>
          <w:sz w:val="22"/>
          <w:szCs w:val="22"/>
        </w:rPr>
        <w:t>4</w:t>
      </w:r>
    </w:p>
    <w:p w14:paraId="0C316137" w14:textId="77777777" w:rsidR="0046037E" w:rsidRPr="0046037E" w:rsidRDefault="0046037E" w:rsidP="0046037E">
      <w:pPr>
        <w:pStyle w:val="Heading4"/>
        <w:spacing w:before="0" w:line="360" w:lineRule="auto"/>
        <w:jc w:val="both"/>
        <w:rPr>
          <w:rStyle w:val="Strong"/>
          <w:rFonts w:ascii="Arial" w:hAnsi="Arial" w:cs="Arial"/>
          <w:bCs/>
          <w:i w:val="0"/>
          <w:color w:val="auto"/>
        </w:rPr>
      </w:pPr>
      <w:r>
        <w:rPr>
          <w:rStyle w:val="Strong"/>
          <w:rFonts w:ascii="Arial" w:hAnsi="Arial" w:cs="Arial"/>
          <w:bCs/>
          <w:color w:val="auto"/>
        </w:rPr>
        <w:t xml:space="preserve">    </w:t>
      </w:r>
      <w:r w:rsidRPr="0046037E">
        <w:rPr>
          <w:rStyle w:val="Strong"/>
          <w:rFonts w:ascii="Arial" w:hAnsi="Arial" w:cs="Arial"/>
          <w:bCs/>
          <w:color w:val="auto"/>
        </w:rPr>
        <w:t>3.2 Psychological and Social Therapies</w:t>
      </w:r>
      <w:r>
        <w:rPr>
          <w:rStyle w:val="Strong"/>
          <w:rFonts w:ascii="Arial" w:hAnsi="Arial" w:cs="Arial"/>
          <w:bCs/>
          <w:color w:val="auto"/>
        </w:rPr>
        <w:t xml:space="preserve"> ………………………………………….</w:t>
      </w:r>
      <w:r>
        <w:rPr>
          <w:rStyle w:val="Strong"/>
          <w:rFonts w:ascii="Arial" w:hAnsi="Arial" w:cs="Arial"/>
          <w:bCs/>
          <w:i w:val="0"/>
          <w:color w:val="auto"/>
        </w:rPr>
        <w:tab/>
        <w:t>5</w:t>
      </w:r>
    </w:p>
    <w:p w14:paraId="5D6B296F" w14:textId="77777777" w:rsidR="0046037E" w:rsidRPr="0046037E" w:rsidRDefault="0046037E" w:rsidP="0046037E">
      <w:pPr>
        <w:pStyle w:val="Heading4"/>
        <w:spacing w:before="0" w:line="360" w:lineRule="auto"/>
        <w:jc w:val="both"/>
        <w:rPr>
          <w:rStyle w:val="Strong"/>
          <w:rFonts w:ascii="Arial" w:hAnsi="Arial" w:cs="Arial"/>
          <w:bCs/>
          <w:i w:val="0"/>
          <w:color w:val="auto"/>
        </w:rPr>
      </w:pPr>
      <w:r>
        <w:rPr>
          <w:rStyle w:val="Strong"/>
          <w:rFonts w:ascii="Arial" w:hAnsi="Arial" w:cs="Arial"/>
          <w:bCs/>
          <w:color w:val="auto"/>
        </w:rPr>
        <w:t xml:space="preserve">    </w:t>
      </w:r>
      <w:r w:rsidRPr="0046037E">
        <w:rPr>
          <w:rStyle w:val="Strong"/>
          <w:rFonts w:ascii="Arial" w:hAnsi="Arial" w:cs="Arial"/>
          <w:bCs/>
          <w:color w:val="auto"/>
        </w:rPr>
        <w:t>3.3 Rehabilitation Pathways and Recovery Models</w:t>
      </w:r>
      <w:r>
        <w:rPr>
          <w:rStyle w:val="Strong"/>
          <w:rFonts w:ascii="Arial" w:hAnsi="Arial" w:cs="Arial"/>
          <w:bCs/>
          <w:color w:val="auto"/>
        </w:rPr>
        <w:t xml:space="preserve"> …………………………….</w:t>
      </w:r>
      <w:r>
        <w:rPr>
          <w:rStyle w:val="Strong"/>
          <w:rFonts w:ascii="Arial" w:hAnsi="Arial" w:cs="Arial"/>
          <w:bCs/>
          <w:i w:val="0"/>
          <w:color w:val="auto"/>
        </w:rPr>
        <w:tab/>
        <w:t>5</w:t>
      </w:r>
    </w:p>
    <w:p w14:paraId="732178D6" w14:textId="77777777" w:rsidR="0046037E" w:rsidRPr="007F0C8F" w:rsidRDefault="0046037E" w:rsidP="0046037E">
      <w:pPr>
        <w:pStyle w:val="Heading4"/>
        <w:spacing w:before="0" w:line="360" w:lineRule="auto"/>
        <w:jc w:val="both"/>
        <w:rPr>
          <w:rFonts w:ascii="Arial" w:hAnsi="Arial" w:cs="Arial"/>
          <w:i w:val="0"/>
          <w:color w:val="auto"/>
        </w:rPr>
      </w:pPr>
      <w:r>
        <w:rPr>
          <w:rStyle w:val="Strong"/>
          <w:rFonts w:ascii="Arial" w:hAnsi="Arial" w:cs="Arial"/>
          <w:bCs/>
          <w:color w:val="auto"/>
        </w:rPr>
        <w:t xml:space="preserve">    </w:t>
      </w:r>
      <w:r w:rsidRPr="0046037E">
        <w:rPr>
          <w:rStyle w:val="Strong"/>
          <w:rFonts w:ascii="Arial" w:hAnsi="Arial" w:cs="Arial"/>
          <w:bCs/>
          <w:color w:val="auto"/>
        </w:rPr>
        <w:t>3.4 Strengths and Shortcomings of Current Practices</w:t>
      </w:r>
      <w:r>
        <w:rPr>
          <w:rStyle w:val="Strong"/>
          <w:rFonts w:ascii="Arial" w:hAnsi="Arial" w:cs="Arial"/>
          <w:bCs/>
          <w:color w:val="auto"/>
        </w:rPr>
        <w:t xml:space="preserve"> ………………………….</w:t>
      </w:r>
      <w:r w:rsidR="007F0C8F">
        <w:rPr>
          <w:rStyle w:val="Strong"/>
          <w:rFonts w:ascii="Arial" w:hAnsi="Arial" w:cs="Arial"/>
          <w:bCs/>
          <w:color w:val="auto"/>
        </w:rPr>
        <w:tab/>
      </w:r>
      <w:r w:rsidR="007F0C8F">
        <w:rPr>
          <w:rStyle w:val="Strong"/>
          <w:rFonts w:ascii="Arial" w:hAnsi="Arial" w:cs="Arial"/>
          <w:bCs/>
          <w:i w:val="0"/>
          <w:color w:val="auto"/>
        </w:rPr>
        <w:t>6</w:t>
      </w:r>
    </w:p>
    <w:p w14:paraId="6625B110" w14:textId="77777777" w:rsidR="0046037E" w:rsidRPr="0046037E" w:rsidRDefault="0046037E" w:rsidP="0046037E">
      <w:pPr>
        <w:pStyle w:val="Heading3"/>
        <w:spacing w:before="0" w:beforeAutospacing="0" w:after="0" w:afterAutospacing="0" w:line="360" w:lineRule="auto"/>
        <w:jc w:val="both"/>
        <w:rPr>
          <w:rFonts w:ascii="Arial" w:hAnsi="Arial" w:cs="Arial"/>
          <w:sz w:val="22"/>
          <w:szCs w:val="22"/>
        </w:rPr>
      </w:pPr>
      <w:r w:rsidRPr="0046037E">
        <w:rPr>
          <w:rStyle w:val="Strong"/>
          <w:rFonts w:ascii="Arial" w:hAnsi="Arial" w:cs="Arial"/>
          <w:bCs/>
          <w:sz w:val="22"/>
          <w:szCs w:val="22"/>
        </w:rPr>
        <w:t>4. Contemporary Discussions and Emerging Perspectives</w:t>
      </w:r>
      <w:r>
        <w:rPr>
          <w:rStyle w:val="Strong"/>
          <w:rFonts w:ascii="Arial" w:hAnsi="Arial" w:cs="Arial"/>
          <w:bCs/>
          <w:sz w:val="22"/>
          <w:szCs w:val="22"/>
        </w:rPr>
        <w:t xml:space="preserve"> ……………………….</w:t>
      </w:r>
      <w:r w:rsidR="007F0C8F">
        <w:rPr>
          <w:rStyle w:val="Strong"/>
          <w:rFonts w:ascii="Arial" w:hAnsi="Arial" w:cs="Arial"/>
          <w:bCs/>
          <w:sz w:val="22"/>
          <w:szCs w:val="22"/>
        </w:rPr>
        <w:tab/>
        <w:t>6</w:t>
      </w:r>
    </w:p>
    <w:p w14:paraId="4F068E4D" w14:textId="77777777" w:rsidR="0046037E" w:rsidRPr="007F0C8F" w:rsidRDefault="0046037E" w:rsidP="0046037E">
      <w:pPr>
        <w:pStyle w:val="Heading4"/>
        <w:spacing w:before="0" w:line="360" w:lineRule="auto"/>
        <w:jc w:val="both"/>
        <w:rPr>
          <w:rFonts w:ascii="Arial" w:hAnsi="Arial" w:cs="Arial"/>
          <w:i w:val="0"/>
          <w:color w:val="auto"/>
        </w:rPr>
      </w:pPr>
      <w:r>
        <w:rPr>
          <w:rStyle w:val="Strong"/>
          <w:rFonts w:ascii="Arial" w:hAnsi="Arial" w:cs="Arial"/>
          <w:bCs/>
          <w:color w:val="auto"/>
        </w:rPr>
        <w:t xml:space="preserve">   </w:t>
      </w:r>
      <w:r w:rsidRPr="0046037E">
        <w:rPr>
          <w:rStyle w:val="Strong"/>
          <w:rFonts w:ascii="Arial" w:hAnsi="Arial" w:cs="Arial"/>
          <w:bCs/>
          <w:color w:val="auto"/>
        </w:rPr>
        <w:t>4.1 Neurodiversity and Reconsideration of PTSD</w:t>
      </w:r>
      <w:r>
        <w:rPr>
          <w:rStyle w:val="Strong"/>
          <w:rFonts w:ascii="Arial" w:hAnsi="Arial" w:cs="Arial"/>
          <w:bCs/>
          <w:color w:val="auto"/>
        </w:rPr>
        <w:t xml:space="preserve"> ……………………………….</w:t>
      </w:r>
      <w:r w:rsidR="007F0C8F">
        <w:rPr>
          <w:rStyle w:val="Strong"/>
          <w:rFonts w:ascii="Arial" w:hAnsi="Arial" w:cs="Arial"/>
          <w:bCs/>
          <w:i w:val="0"/>
          <w:color w:val="auto"/>
        </w:rPr>
        <w:tab/>
        <w:t>6</w:t>
      </w:r>
    </w:p>
    <w:p w14:paraId="498DF17F" w14:textId="77777777" w:rsidR="0046037E" w:rsidRPr="007F0C8F" w:rsidRDefault="0046037E" w:rsidP="0046037E">
      <w:pPr>
        <w:pStyle w:val="Heading4"/>
        <w:spacing w:before="0" w:line="360" w:lineRule="auto"/>
        <w:jc w:val="both"/>
        <w:rPr>
          <w:rFonts w:ascii="Arial" w:hAnsi="Arial" w:cs="Arial"/>
          <w:i w:val="0"/>
          <w:color w:val="auto"/>
        </w:rPr>
      </w:pPr>
      <w:r>
        <w:rPr>
          <w:rStyle w:val="Strong"/>
          <w:rFonts w:ascii="Arial" w:hAnsi="Arial" w:cs="Arial"/>
          <w:bCs/>
          <w:color w:val="auto"/>
        </w:rPr>
        <w:t xml:space="preserve">   </w:t>
      </w:r>
      <w:r w:rsidRPr="0046037E">
        <w:rPr>
          <w:rStyle w:val="Strong"/>
          <w:rFonts w:ascii="Arial" w:hAnsi="Arial" w:cs="Arial"/>
          <w:bCs/>
          <w:color w:val="auto"/>
        </w:rPr>
        <w:t>4.2 Socio-Cultural Contexts and Lived Experiences</w:t>
      </w:r>
      <w:r>
        <w:rPr>
          <w:rStyle w:val="Strong"/>
          <w:rFonts w:ascii="Arial" w:hAnsi="Arial" w:cs="Arial"/>
          <w:bCs/>
          <w:color w:val="auto"/>
        </w:rPr>
        <w:t xml:space="preserve"> …………………………….</w:t>
      </w:r>
      <w:r w:rsidR="007F0C8F">
        <w:rPr>
          <w:rStyle w:val="Strong"/>
          <w:rFonts w:ascii="Arial" w:hAnsi="Arial" w:cs="Arial"/>
          <w:bCs/>
          <w:color w:val="auto"/>
        </w:rPr>
        <w:tab/>
      </w:r>
      <w:r w:rsidR="007F0C8F">
        <w:rPr>
          <w:rStyle w:val="Strong"/>
          <w:rFonts w:ascii="Arial" w:hAnsi="Arial" w:cs="Arial"/>
          <w:bCs/>
          <w:i w:val="0"/>
          <w:color w:val="auto"/>
        </w:rPr>
        <w:t>7</w:t>
      </w:r>
    </w:p>
    <w:p w14:paraId="65766096" w14:textId="77777777" w:rsidR="0046037E" w:rsidRPr="007F0C8F" w:rsidRDefault="0046037E" w:rsidP="0046037E">
      <w:pPr>
        <w:pStyle w:val="Heading4"/>
        <w:spacing w:before="0" w:line="360" w:lineRule="auto"/>
        <w:jc w:val="both"/>
        <w:rPr>
          <w:rFonts w:ascii="Arial" w:hAnsi="Arial" w:cs="Arial"/>
          <w:i w:val="0"/>
          <w:color w:val="auto"/>
        </w:rPr>
      </w:pPr>
      <w:r>
        <w:rPr>
          <w:rStyle w:val="Strong"/>
          <w:rFonts w:ascii="Arial" w:hAnsi="Arial" w:cs="Arial"/>
          <w:bCs/>
          <w:color w:val="auto"/>
        </w:rPr>
        <w:t xml:space="preserve">   </w:t>
      </w:r>
      <w:r w:rsidRPr="0046037E">
        <w:rPr>
          <w:rStyle w:val="Strong"/>
          <w:rFonts w:ascii="Arial" w:hAnsi="Arial" w:cs="Arial"/>
          <w:bCs/>
          <w:color w:val="auto"/>
        </w:rPr>
        <w:t>4.3 Consequences for Practice and Policy Development</w:t>
      </w:r>
      <w:r>
        <w:rPr>
          <w:rStyle w:val="Strong"/>
          <w:rFonts w:ascii="Arial" w:hAnsi="Arial" w:cs="Arial"/>
          <w:bCs/>
          <w:color w:val="auto"/>
        </w:rPr>
        <w:t xml:space="preserve"> ………………………</w:t>
      </w:r>
      <w:r w:rsidR="007F0C8F">
        <w:rPr>
          <w:rStyle w:val="Strong"/>
          <w:rFonts w:ascii="Arial" w:hAnsi="Arial" w:cs="Arial"/>
          <w:bCs/>
          <w:color w:val="auto"/>
        </w:rPr>
        <w:tab/>
      </w:r>
      <w:r w:rsidR="007F0C8F">
        <w:rPr>
          <w:rStyle w:val="Strong"/>
          <w:rFonts w:ascii="Arial" w:hAnsi="Arial" w:cs="Arial"/>
          <w:bCs/>
          <w:i w:val="0"/>
          <w:color w:val="auto"/>
        </w:rPr>
        <w:t>7</w:t>
      </w:r>
    </w:p>
    <w:p w14:paraId="09645754" w14:textId="77777777" w:rsidR="0046037E" w:rsidRPr="0046037E" w:rsidRDefault="0046037E" w:rsidP="0046037E">
      <w:pPr>
        <w:pStyle w:val="Heading3"/>
        <w:spacing w:before="0" w:beforeAutospacing="0" w:after="0" w:afterAutospacing="0" w:line="360" w:lineRule="auto"/>
        <w:jc w:val="both"/>
        <w:rPr>
          <w:rFonts w:ascii="Arial" w:hAnsi="Arial" w:cs="Arial"/>
          <w:sz w:val="22"/>
          <w:szCs w:val="22"/>
        </w:rPr>
      </w:pPr>
      <w:r w:rsidRPr="0046037E">
        <w:rPr>
          <w:rStyle w:val="Strong"/>
          <w:rFonts w:ascii="Arial" w:hAnsi="Arial" w:cs="Arial"/>
          <w:bCs/>
          <w:sz w:val="22"/>
          <w:szCs w:val="22"/>
        </w:rPr>
        <w:t>5. Strategic Recommendations</w:t>
      </w:r>
      <w:r>
        <w:rPr>
          <w:rStyle w:val="Strong"/>
          <w:rFonts w:ascii="Arial" w:hAnsi="Arial" w:cs="Arial"/>
          <w:bCs/>
          <w:sz w:val="22"/>
          <w:szCs w:val="22"/>
        </w:rPr>
        <w:t xml:space="preserve"> ………………………………………………………</w:t>
      </w:r>
      <w:r w:rsidR="007F0C8F">
        <w:rPr>
          <w:rStyle w:val="Strong"/>
          <w:rFonts w:ascii="Arial" w:hAnsi="Arial" w:cs="Arial"/>
          <w:bCs/>
          <w:sz w:val="22"/>
          <w:szCs w:val="22"/>
        </w:rPr>
        <w:tab/>
        <w:t>8</w:t>
      </w:r>
    </w:p>
    <w:p w14:paraId="6976D627" w14:textId="77777777" w:rsidR="0046037E" w:rsidRDefault="0046037E" w:rsidP="0046037E">
      <w:pPr>
        <w:pStyle w:val="Heading3"/>
        <w:spacing w:before="0" w:beforeAutospacing="0" w:after="0" w:afterAutospacing="0" w:line="360" w:lineRule="auto"/>
        <w:jc w:val="both"/>
        <w:rPr>
          <w:rStyle w:val="Strong"/>
          <w:rFonts w:ascii="Arial" w:hAnsi="Arial" w:cs="Arial"/>
          <w:bCs/>
          <w:sz w:val="22"/>
          <w:szCs w:val="22"/>
        </w:rPr>
      </w:pPr>
      <w:r w:rsidRPr="0046037E">
        <w:rPr>
          <w:rStyle w:val="Strong"/>
          <w:rFonts w:ascii="Arial" w:hAnsi="Arial" w:cs="Arial"/>
          <w:bCs/>
          <w:sz w:val="22"/>
          <w:szCs w:val="22"/>
        </w:rPr>
        <w:t>6. Conclusion</w:t>
      </w:r>
      <w:r>
        <w:rPr>
          <w:rStyle w:val="Strong"/>
          <w:rFonts w:ascii="Arial" w:hAnsi="Arial" w:cs="Arial"/>
          <w:bCs/>
          <w:sz w:val="22"/>
          <w:szCs w:val="22"/>
        </w:rPr>
        <w:t xml:space="preserve"> …………………………………………………………………………</w:t>
      </w:r>
      <w:r w:rsidR="007F0C8F">
        <w:rPr>
          <w:rStyle w:val="Strong"/>
          <w:rFonts w:ascii="Arial" w:hAnsi="Arial" w:cs="Arial"/>
          <w:bCs/>
          <w:sz w:val="22"/>
          <w:szCs w:val="22"/>
        </w:rPr>
        <w:tab/>
        <w:t>8</w:t>
      </w:r>
    </w:p>
    <w:p w14:paraId="0F028F8E" w14:textId="77777777" w:rsidR="0046037E" w:rsidRPr="0046037E" w:rsidRDefault="0046037E" w:rsidP="0046037E">
      <w:pPr>
        <w:pStyle w:val="Heading3"/>
        <w:spacing w:before="0" w:beforeAutospacing="0" w:after="0" w:afterAutospacing="0" w:line="360" w:lineRule="auto"/>
        <w:jc w:val="both"/>
        <w:rPr>
          <w:rFonts w:ascii="Arial" w:hAnsi="Arial" w:cs="Arial"/>
          <w:sz w:val="22"/>
          <w:szCs w:val="22"/>
        </w:rPr>
      </w:pPr>
      <w:r>
        <w:rPr>
          <w:rStyle w:val="Strong"/>
          <w:rFonts w:ascii="Arial" w:hAnsi="Arial" w:cs="Arial"/>
          <w:bCs/>
          <w:sz w:val="22"/>
          <w:szCs w:val="22"/>
        </w:rPr>
        <w:t xml:space="preserve">    References</w:t>
      </w:r>
    </w:p>
    <w:p w14:paraId="7049F7F3" w14:textId="77777777" w:rsidR="0046037E" w:rsidRDefault="0046037E" w:rsidP="00F06E93">
      <w:pPr>
        <w:spacing w:after="0" w:line="360" w:lineRule="auto"/>
        <w:jc w:val="both"/>
        <w:outlineLvl w:val="2"/>
        <w:rPr>
          <w:rFonts w:ascii="Arial" w:eastAsia="Times New Roman" w:hAnsi="Arial" w:cs="Arial"/>
          <w:b/>
          <w:bCs/>
        </w:rPr>
      </w:pPr>
    </w:p>
    <w:p w14:paraId="60BA1C69" w14:textId="77777777" w:rsidR="0046037E" w:rsidRDefault="0046037E" w:rsidP="00F06E93">
      <w:pPr>
        <w:spacing w:after="0" w:line="360" w:lineRule="auto"/>
        <w:jc w:val="both"/>
        <w:outlineLvl w:val="2"/>
        <w:rPr>
          <w:rFonts w:ascii="Arial" w:eastAsia="Times New Roman" w:hAnsi="Arial" w:cs="Arial"/>
          <w:b/>
          <w:bCs/>
        </w:rPr>
      </w:pPr>
    </w:p>
    <w:p w14:paraId="5EE0E101" w14:textId="77777777" w:rsidR="0046037E" w:rsidRDefault="0046037E" w:rsidP="00F06E93">
      <w:pPr>
        <w:spacing w:after="0" w:line="360" w:lineRule="auto"/>
        <w:jc w:val="both"/>
        <w:outlineLvl w:val="2"/>
        <w:rPr>
          <w:rFonts w:ascii="Arial" w:eastAsia="Times New Roman" w:hAnsi="Arial" w:cs="Arial"/>
          <w:b/>
          <w:bCs/>
        </w:rPr>
      </w:pPr>
    </w:p>
    <w:p w14:paraId="7424BCAD" w14:textId="77777777" w:rsidR="0046037E" w:rsidRDefault="0046037E" w:rsidP="00F06E93">
      <w:pPr>
        <w:spacing w:after="0" w:line="360" w:lineRule="auto"/>
        <w:jc w:val="both"/>
        <w:outlineLvl w:val="2"/>
        <w:rPr>
          <w:rFonts w:ascii="Arial" w:eastAsia="Times New Roman" w:hAnsi="Arial" w:cs="Arial"/>
          <w:b/>
          <w:bCs/>
        </w:rPr>
      </w:pPr>
    </w:p>
    <w:p w14:paraId="40672678" w14:textId="77777777" w:rsidR="0046037E" w:rsidRDefault="0046037E" w:rsidP="00F06E93">
      <w:pPr>
        <w:spacing w:after="0" w:line="360" w:lineRule="auto"/>
        <w:jc w:val="both"/>
        <w:outlineLvl w:val="2"/>
        <w:rPr>
          <w:rFonts w:ascii="Arial" w:eastAsia="Times New Roman" w:hAnsi="Arial" w:cs="Arial"/>
          <w:b/>
          <w:bCs/>
        </w:rPr>
      </w:pPr>
    </w:p>
    <w:p w14:paraId="503B998B" w14:textId="77777777" w:rsidR="0046037E" w:rsidRDefault="0046037E" w:rsidP="00F06E93">
      <w:pPr>
        <w:spacing w:after="0" w:line="360" w:lineRule="auto"/>
        <w:jc w:val="both"/>
        <w:outlineLvl w:val="2"/>
        <w:rPr>
          <w:rFonts w:ascii="Arial" w:eastAsia="Times New Roman" w:hAnsi="Arial" w:cs="Arial"/>
          <w:b/>
          <w:bCs/>
        </w:rPr>
      </w:pPr>
    </w:p>
    <w:p w14:paraId="197E3C12" w14:textId="77777777" w:rsidR="0046037E" w:rsidRDefault="0046037E" w:rsidP="00F06E93">
      <w:pPr>
        <w:spacing w:after="0" w:line="360" w:lineRule="auto"/>
        <w:jc w:val="both"/>
        <w:outlineLvl w:val="2"/>
        <w:rPr>
          <w:rFonts w:ascii="Arial" w:eastAsia="Times New Roman" w:hAnsi="Arial" w:cs="Arial"/>
          <w:b/>
          <w:bCs/>
        </w:rPr>
      </w:pPr>
    </w:p>
    <w:p w14:paraId="1AD33876" w14:textId="77777777" w:rsidR="0046037E" w:rsidRDefault="0046037E" w:rsidP="00F06E93">
      <w:pPr>
        <w:spacing w:after="0" w:line="360" w:lineRule="auto"/>
        <w:jc w:val="both"/>
        <w:outlineLvl w:val="2"/>
        <w:rPr>
          <w:rFonts w:ascii="Arial" w:eastAsia="Times New Roman" w:hAnsi="Arial" w:cs="Arial"/>
          <w:b/>
          <w:bCs/>
        </w:rPr>
      </w:pPr>
    </w:p>
    <w:p w14:paraId="3429CA01" w14:textId="77777777" w:rsidR="0046037E" w:rsidRDefault="0046037E" w:rsidP="00F06E93">
      <w:pPr>
        <w:spacing w:after="0" w:line="360" w:lineRule="auto"/>
        <w:jc w:val="both"/>
        <w:outlineLvl w:val="2"/>
        <w:rPr>
          <w:rFonts w:ascii="Arial" w:eastAsia="Times New Roman" w:hAnsi="Arial" w:cs="Arial"/>
          <w:b/>
          <w:bCs/>
        </w:rPr>
      </w:pPr>
    </w:p>
    <w:p w14:paraId="4237589D" w14:textId="77777777" w:rsidR="0046037E" w:rsidRDefault="0046037E" w:rsidP="00F06E93">
      <w:pPr>
        <w:spacing w:after="0" w:line="360" w:lineRule="auto"/>
        <w:jc w:val="both"/>
        <w:outlineLvl w:val="2"/>
        <w:rPr>
          <w:rFonts w:ascii="Arial" w:eastAsia="Times New Roman" w:hAnsi="Arial" w:cs="Arial"/>
          <w:b/>
          <w:bCs/>
        </w:rPr>
      </w:pPr>
    </w:p>
    <w:p w14:paraId="604F471D" w14:textId="77777777" w:rsidR="0046037E" w:rsidRDefault="0046037E" w:rsidP="00F06E93">
      <w:pPr>
        <w:spacing w:after="0" w:line="360" w:lineRule="auto"/>
        <w:jc w:val="both"/>
        <w:outlineLvl w:val="2"/>
        <w:rPr>
          <w:rFonts w:ascii="Arial" w:eastAsia="Times New Roman" w:hAnsi="Arial" w:cs="Arial"/>
          <w:b/>
          <w:bCs/>
        </w:rPr>
      </w:pPr>
    </w:p>
    <w:p w14:paraId="5C6819B2" w14:textId="77777777" w:rsidR="0046037E" w:rsidRDefault="0046037E" w:rsidP="00F06E93">
      <w:pPr>
        <w:spacing w:after="0" w:line="360" w:lineRule="auto"/>
        <w:jc w:val="both"/>
        <w:outlineLvl w:val="2"/>
        <w:rPr>
          <w:rFonts w:ascii="Arial" w:eastAsia="Times New Roman" w:hAnsi="Arial" w:cs="Arial"/>
          <w:b/>
          <w:bCs/>
        </w:rPr>
      </w:pPr>
    </w:p>
    <w:p w14:paraId="20AEACAA" w14:textId="77777777" w:rsidR="0046037E" w:rsidRDefault="0046037E" w:rsidP="00F06E93">
      <w:pPr>
        <w:spacing w:after="0" w:line="360" w:lineRule="auto"/>
        <w:jc w:val="both"/>
        <w:outlineLvl w:val="2"/>
        <w:rPr>
          <w:rFonts w:ascii="Arial" w:eastAsia="Times New Roman" w:hAnsi="Arial" w:cs="Arial"/>
          <w:b/>
          <w:bCs/>
        </w:rPr>
      </w:pPr>
    </w:p>
    <w:p w14:paraId="6822B7EB" w14:textId="77777777" w:rsidR="0046037E" w:rsidRDefault="0046037E" w:rsidP="00F06E93">
      <w:pPr>
        <w:spacing w:after="0" w:line="360" w:lineRule="auto"/>
        <w:jc w:val="both"/>
        <w:outlineLvl w:val="2"/>
        <w:rPr>
          <w:rFonts w:ascii="Arial" w:eastAsia="Times New Roman" w:hAnsi="Arial" w:cs="Arial"/>
          <w:b/>
          <w:bCs/>
        </w:rPr>
      </w:pPr>
    </w:p>
    <w:p w14:paraId="16F69B20" w14:textId="77777777" w:rsidR="0046037E" w:rsidRDefault="0046037E" w:rsidP="00F06E93">
      <w:pPr>
        <w:spacing w:after="0" w:line="360" w:lineRule="auto"/>
        <w:jc w:val="both"/>
        <w:outlineLvl w:val="2"/>
        <w:rPr>
          <w:rFonts w:ascii="Arial" w:eastAsia="Times New Roman" w:hAnsi="Arial" w:cs="Arial"/>
          <w:b/>
          <w:bCs/>
        </w:rPr>
      </w:pPr>
    </w:p>
    <w:p w14:paraId="0DA9CB8E" w14:textId="77777777" w:rsidR="0046037E" w:rsidRDefault="0046037E" w:rsidP="00F06E93">
      <w:pPr>
        <w:spacing w:after="0" w:line="360" w:lineRule="auto"/>
        <w:jc w:val="both"/>
        <w:outlineLvl w:val="2"/>
        <w:rPr>
          <w:rFonts w:ascii="Arial" w:eastAsia="Times New Roman" w:hAnsi="Arial" w:cs="Arial"/>
          <w:b/>
          <w:bCs/>
        </w:rPr>
      </w:pPr>
    </w:p>
    <w:p w14:paraId="45F2D184" w14:textId="77777777" w:rsidR="00F06E93" w:rsidRPr="00F06E93" w:rsidRDefault="00F06E93" w:rsidP="00F06E93">
      <w:pPr>
        <w:spacing w:after="0" w:line="360" w:lineRule="auto"/>
        <w:jc w:val="both"/>
        <w:outlineLvl w:val="2"/>
        <w:rPr>
          <w:rFonts w:ascii="Arial" w:eastAsia="Times New Roman" w:hAnsi="Arial" w:cs="Arial"/>
          <w:b/>
          <w:bCs/>
        </w:rPr>
      </w:pPr>
      <w:r w:rsidRPr="00F06E93">
        <w:rPr>
          <w:rFonts w:ascii="Arial" w:eastAsia="Times New Roman" w:hAnsi="Arial" w:cs="Arial"/>
          <w:b/>
          <w:bCs/>
        </w:rPr>
        <w:t>1. Introduction</w:t>
      </w:r>
    </w:p>
    <w:p w14:paraId="0F5C8102" w14:textId="77777777" w:rsidR="00F06E93" w:rsidRPr="00F06E93" w:rsidRDefault="00F06E93" w:rsidP="00F06E93">
      <w:pPr>
        <w:spacing w:after="0" w:line="360" w:lineRule="auto"/>
        <w:jc w:val="both"/>
        <w:rPr>
          <w:rFonts w:ascii="Arial" w:eastAsia="Times New Roman" w:hAnsi="Arial" w:cs="Arial"/>
        </w:rPr>
      </w:pPr>
      <w:r w:rsidRPr="00F06E93">
        <w:rPr>
          <w:rFonts w:ascii="Arial" w:eastAsia="Times New Roman" w:hAnsi="Arial" w:cs="Arial"/>
        </w:rPr>
        <w:t xml:space="preserve">Post-Traumatic Stress Disorder (PTSD) is a multifaceted mental health condition that arises after an individual experiences or witnesses a distressing or life-threatening event. It is commonly associated with symptoms such as flashbacks, heightened alertness, avoidance of reminders, and persistent emotional disturbance that disrupt daily life and overall wellbeing (American Psychiatric Association, 2022). Within the ICD-11, PTSD is </w:t>
      </w:r>
      <w:proofErr w:type="spellStart"/>
      <w:r w:rsidRPr="00F06E93">
        <w:rPr>
          <w:rFonts w:ascii="Arial" w:eastAsia="Times New Roman" w:hAnsi="Arial" w:cs="Arial"/>
        </w:rPr>
        <w:t>recognised</w:t>
      </w:r>
      <w:proofErr w:type="spellEnd"/>
      <w:r w:rsidRPr="00F06E93">
        <w:rPr>
          <w:rFonts w:ascii="Arial" w:eastAsia="Times New Roman" w:hAnsi="Arial" w:cs="Arial"/>
        </w:rPr>
        <w:t xml:space="preserve"> as a disorder specifically linked to exposure to extreme stress, differentiating it from typical stress reactions through its distinctive pattern of intrusive recollections and sustained anxiety (World Health Organization, 2022). Traumatic experiences including war, physical or sexual violence, accidents, and natural disasters are frequently identified as triggers, with consequences often extending to interpersonal and community levels (Bisson et al., 2021).</w:t>
      </w:r>
    </w:p>
    <w:p w14:paraId="6ACDEB36" w14:textId="77777777" w:rsidR="00F06E93" w:rsidRDefault="00F06E93" w:rsidP="00F06E93">
      <w:pPr>
        <w:spacing w:after="0" w:line="360" w:lineRule="auto"/>
        <w:jc w:val="both"/>
        <w:rPr>
          <w:rFonts w:ascii="Arial" w:eastAsia="Times New Roman" w:hAnsi="Arial" w:cs="Arial"/>
        </w:rPr>
      </w:pPr>
      <w:r w:rsidRPr="00F06E93">
        <w:rPr>
          <w:rFonts w:ascii="Arial" w:eastAsia="Times New Roman" w:hAnsi="Arial" w:cs="Arial"/>
        </w:rPr>
        <w:t xml:space="preserve">The purpose of this report is to critically explore PTSD by </w:t>
      </w:r>
      <w:proofErr w:type="spellStart"/>
      <w:r w:rsidRPr="00F06E93">
        <w:rPr>
          <w:rFonts w:ascii="Arial" w:eastAsia="Times New Roman" w:hAnsi="Arial" w:cs="Arial"/>
        </w:rPr>
        <w:t>analysing</w:t>
      </w:r>
      <w:proofErr w:type="spellEnd"/>
      <w:r w:rsidRPr="00F06E93">
        <w:rPr>
          <w:rFonts w:ascii="Arial" w:eastAsia="Times New Roman" w:hAnsi="Arial" w:cs="Arial"/>
        </w:rPr>
        <w:t xml:space="preserve"> its diagnostic criteria, classification, and current management strategies within modern mental health care. It aims to evaluate the effectiveness of available treatments, consider cultural and social factors influencing recovery, and examine contemporary debates shaping its understanding. Through this analysis, the report seeks to highlight approaches that advance </w:t>
      </w:r>
      <w:proofErr w:type="spellStart"/>
      <w:r w:rsidRPr="00F06E93">
        <w:rPr>
          <w:rFonts w:ascii="Arial" w:eastAsia="Times New Roman" w:hAnsi="Arial" w:cs="Arial"/>
        </w:rPr>
        <w:t>person-centred</w:t>
      </w:r>
      <w:proofErr w:type="spellEnd"/>
      <w:r w:rsidRPr="00F06E93">
        <w:rPr>
          <w:rFonts w:ascii="Arial" w:eastAsia="Times New Roman" w:hAnsi="Arial" w:cs="Arial"/>
        </w:rPr>
        <w:t xml:space="preserve"> care and improve outcomes for individuals living with post-traumatic stress reactions.</w:t>
      </w:r>
    </w:p>
    <w:p w14:paraId="78C56D60" w14:textId="77777777" w:rsidR="00F06E93" w:rsidRPr="00F06E93" w:rsidRDefault="00F06E93" w:rsidP="00F06E93">
      <w:pPr>
        <w:pStyle w:val="Heading3"/>
        <w:spacing w:before="0" w:beforeAutospacing="0" w:after="0" w:afterAutospacing="0" w:line="360" w:lineRule="auto"/>
        <w:jc w:val="both"/>
        <w:rPr>
          <w:rFonts w:ascii="Arial" w:hAnsi="Arial" w:cs="Arial"/>
          <w:sz w:val="22"/>
          <w:szCs w:val="24"/>
        </w:rPr>
      </w:pPr>
      <w:r w:rsidRPr="00F06E93">
        <w:rPr>
          <w:rStyle w:val="Strong"/>
          <w:rFonts w:ascii="Arial" w:hAnsi="Arial" w:cs="Arial"/>
          <w:b/>
          <w:bCs/>
          <w:sz w:val="22"/>
          <w:szCs w:val="24"/>
        </w:rPr>
        <w:t>2. Classification and Diagnostic Framework</w:t>
      </w:r>
    </w:p>
    <w:p w14:paraId="4901F855" w14:textId="77777777" w:rsidR="00F06E93" w:rsidRPr="00F06E93" w:rsidRDefault="00F06E93" w:rsidP="00F06E93">
      <w:pPr>
        <w:pStyle w:val="Heading4"/>
        <w:spacing w:before="0" w:line="360" w:lineRule="auto"/>
        <w:jc w:val="both"/>
        <w:rPr>
          <w:rFonts w:ascii="Arial" w:hAnsi="Arial" w:cs="Arial"/>
          <w:color w:val="auto"/>
          <w:szCs w:val="24"/>
        </w:rPr>
      </w:pPr>
      <w:r w:rsidRPr="00F06E93">
        <w:rPr>
          <w:rStyle w:val="Strong"/>
          <w:rFonts w:ascii="Arial" w:hAnsi="Arial" w:cs="Arial"/>
          <w:b/>
          <w:bCs/>
          <w:color w:val="auto"/>
          <w:szCs w:val="24"/>
        </w:rPr>
        <w:t xml:space="preserve">2.1 ICD-11 </w:t>
      </w:r>
      <w:proofErr w:type="spellStart"/>
      <w:r w:rsidRPr="00F06E93">
        <w:rPr>
          <w:rStyle w:val="Strong"/>
          <w:rFonts w:ascii="Arial" w:hAnsi="Arial" w:cs="Arial"/>
          <w:b/>
          <w:bCs/>
          <w:color w:val="auto"/>
          <w:szCs w:val="24"/>
        </w:rPr>
        <w:t>Categorisation</w:t>
      </w:r>
      <w:proofErr w:type="spellEnd"/>
      <w:r w:rsidRPr="00F06E93">
        <w:rPr>
          <w:rStyle w:val="Strong"/>
          <w:rFonts w:ascii="Arial" w:hAnsi="Arial" w:cs="Arial"/>
          <w:b/>
          <w:bCs/>
          <w:color w:val="auto"/>
          <w:szCs w:val="24"/>
        </w:rPr>
        <w:t xml:space="preserve"> of PTSD</w:t>
      </w:r>
    </w:p>
    <w:p w14:paraId="6BA0A37A" w14:textId="77777777" w:rsidR="00F06E93" w:rsidRPr="00F06E93" w:rsidRDefault="00F06E93" w:rsidP="00F06E93">
      <w:pPr>
        <w:pStyle w:val="NormalWeb"/>
        <w:spacing w:before="0" w:beforeAutospacing="0" w:after="0" w:afterAutospacing="0" w:line="360" w:lineRule="auto"/>
        <w:jc w:val="both"/>
        <w:rPr>
          <w:rFonts w:ascii="Arial" w:hAnsi="Arial" w:cs="Arial"/>
          <w:sz w:val="22"/>
        </w:rPr>
      </w:pPr>
      <w:r w:rsidRPr="00F06E93">
        <w:rPr>
          <w:rFonts w:ascii="Arial" w:hAnsi="Arial" w:cs="Arial"/>
          <w:sz w:val="22"/>
        </w:rPr>
        <w:t xml:space="preserve">The classification of Post-Traumatic Stress Disorder (PTSD) has developed through growing clinical awareness of how traumatic experiences affect mental health. In the </w:t>
      </w:r>
      <w:r w:rsidRPr="00F06E93">
        <w:rPr>
          <w:rStyle w:val="Strong"/>
          <w:rFonts w:ascii="Arial" w:hAnsi="Arial" w:cs="Arial"/>
          <w:sz w:val="22"/>
        </w:rPr>
        <w:t>ICD-11</w:t>
      </w:r>
      <w:r w:rsidRPr="00F06E93">
        <w:rPr>
          <w:rFonts w:ascii="Arial" w:hAnsi="Arial" w:cs="Arial"/>
          <w:sz w:val="22"/>
        </w:rPr>
        <w:t>, the World Health Organization (2022) defines PTSD as a mental disorder that follows exposure to an event perceived as threatening or extremely distressing. The diagnosis focuses</w:t>
      </w:r>
      <w:r w:rsidR="002D42DE">
        <w:rPr>
          <w:rFonts w:ascii="Arial" w:hAnsi="Arial" w:cs="Arial"/>
          <w:sz w:val="22"/>
        </w:rPr>
        <w:t xml:space="preserve"> on three main symptom clusters, </w:t>
      </w:r>
      <w:r w:rsidRPr="00F06E93">
        <w:rPr>
          <w:rFonts w:ascii="Arial" w:hAnsi="Arial" w:cs="Arial"/>
          <w:sz w:val="22"/>
        </w:rPr>
        <w:t xml:space="preserve">re-experiencing the traumatic event, avoidance of trauma-related reminders, </w:t>
      </w:r>
      <w:r w:rsidRPr="00F06E93">
        <w:rPr>
          <w:rFonts w:ascii="Arial" w:hAnsi="Arial" w:cs="Arial"/>
          <w:sz w:val="22"/>
        </w:rPr>
        <w:lastRenderedPageBreak/>
        <w:t>and a persistent sense of current threat. This simplified structure was introduced to increase diagnostic clarity and cross-cultural applicability. By distinguishing PTSD from normal stress responses, the ICD-11 supports early identification and treatment while aligning with a more global understanding of trauma (</w:t>
      </w:r>
      <w:proofErr w:type="spellStart"/>
      <w:r w:rsidRPr="00F06E93">
        <w:rPr>
          <w:rFonts w:ascii="Arial" w:hAnsi="Arial" w:cs="Arial"/>
          <w:sz w:val="22"/>
        </w:rPr>
        <w:t>Brewin</w:t>
      </w:r>
      <w:proofErr w:type="spellEnd"/>
      <w:r w:rsidRPr="00F06E93">
        <w:rPr>
          <w:rFonts w:ascii="Arial" w:hAnsi="Arial" w:cs="Arial"/>
          <w:sz w:val="22"/>
        </w:rPr>
        <w:t xml:space="preserve">, </w:t>
      </w:r>
      <w:proofErr w:type="spellStart"/>
      <w:r w:rsidRPr="00F06E93">
        <w:rPr>
          <w:rFonts w:ascii="Arial" w:hAnsi="Arial" w:cs="Arial"/>
          <w:sz w:val="22"/>
        </w:rPr>
        <w:t>Cloitre</w:t>
      </w:r>
      <w:proofErr w:type="spellEnd"/>
      <w:r w:rsidRPr="00F06E93">
        <w:rPr>
          <w:rFonts w:ascii="Arial" w:hAnsi="Arial" w:cs="Arial"/>
          <w:sz w:val="22"/>
        </w:rPr>
        <w:t xml:space="preserve"> and </w:t>
      </w:r>
      <w:proofErr w:type="spellStart"/>
      <w:r w:rsidRPr="00F06E93">
        <w:rPr>
          <w:rFonts w:ascii="Arial" w:hAnsi="Arial" w:cs="Arial"/>
          <w:sz w:val="22"/>
        </w:rPr>
        <w:t>Hyland</w:t>
      </w:r>
      <w:proofErr w:type="spellEnd"/>
      <w:r w:rsidRPr="00F06E93">
        <w:rPr>
          <w:rFonts w:ascii="Arial" w:hAnsi="Arial" w:cs="Arial"/>
          <w:sz w:val="22"/>
        </w:rPr>
        <w:t>, 2021). However, critics argue that this condensed model may overlook the complexity of trauma reactions, especially among individuals with repeated or prolonged exposure to violence (</w:t>
      </w:r>
      <w:proofErr w:type="spellStart"/>
      <w:r w:rsidRPr="00F06E93">
        <w:rPr>
          <w:rFonts w:ascii="Arial" w:hAnsi="Arial" w:cs="Arial"/>
          <w:sz w:val="22"/>
        </w:rPr>
        <w:t>Hyland</w:t>
      </w:r>
      <w:proofErr w:type="spellEnd"/>
      <w:r w:rsidRPr="00F06E93">
        <w:rPr>
          <w:rFonts w:ascii="Arial" w:hAnsi="Arial" w:cs="Arial"/>
          <w:sz w:val="22"/>
        </w:rPr>
        <w:t xml:space="preserve">, </w:t>
      </w:r>
      <w:proofErr w:type="spellStart"/>
      <w:r w:rsidRPr="00F06E93">
        <w:rPr>
          <w:rFonts w:ascii="Arial" w:hAnsi="Arial" w:cs="Arial"/>
          <w:sz w:val="22"/>
        </w:rPr>
        <w:t>Shevlin</w:t>
      </w:r>
      <w:proofErr w:type="spellEnd"/>
      <w:r w:rsidRPr="00F06E93">
        <w:rPr>
          <w:rFonts w:ascii="Arial" w:hAnsi="Arial" w:cs="Arial"/>
          <w:sz w:val="22"/>
        </w:rPr>
        <w:t xml:space="preserve"> and </w:t>
      </w:r>
      <w:proofErr w:type="spellStart"/>
      <w:r w:rsidRPr="00F06E93">
        <w:rPr>
          <w:rFonts w:ascii="Arial" w:hAnsi="Arial" w:cs="Arial"/>
          <w:sz w:val="22"/>
        </w:rPr>
        <w:t>Elklit</w:t>
      </w:r>
      <w:proofErr w:type="spellEnd"/>
      <w:r w:rsidRPr="00F06E93">
        <w:rPr>
          <w:rFonts w:ascii="Arial" w:hAnsi="Arial" w:cs="Arial"/>
          <w:sz w:val="22"/>
        </w:rPr>
        <w:t>, 2019).</w:t>
      </w:r>
    </w:p>
    <w:p w14:paraId="0CAC6DEB" w14:textId="77777777" w:rsidR="00F06E93" w:rsidRPr="00F06E93" w:rsidRDefault="00F06E93" w:rsidP="00F06E93">
      <w:pPr>
        <w:pStyle w:val="Heading4"/>
        <w:spacing w:before="0" w:line="360" w:lineRule="auto"/>
        <w:jc w:val="both"/>
        <w:rPr>
          <w:rFonts w:ascii="Arial" w:hAnsi="Arial" w:cs="Arial"/>
          <w:color w:val="auto"/>
          <w:szCs w:val="24"/>
        </w:rPr>
      </w:pPr>
      <w:r w:rsidRPr="00F06E93">
        <w:rPr>
          <w:rStyle w:val="Strong"/>
          <w:rFonts w:ascii="Arial" w:hAnsi="Arial" w:cs="Arial"/>
          <w:b/>
          <w:bCs/>
          <w:color w:val="auto"/>
          <w:szCs w:val="24"/>
        </w:rPr>
        <w:t>2.2 Diagnostic Features and Assessment Procedures</w:t>
      </w:r>
    </w:p>
    <w:p w14:paraId="4E0187BE" w14:textId="77777777" w:rsidR="00F06E93" w:rsidRPr="00F06E93" w:rsidRDefault="00F06E93" w:rsidP="00F06E93">
      <w:pPr>
        <w:pStyle w:val="NormalWeb"/>
        <w:spacing w:before="0" w:beforeAutospacing="0" w:after="0" w:afterAutospacing="0" w:line="360" w:lineRule="auto"/>
        <w:jc w:val="both"/>
        <w:rPr>
          <w:rFonts w:ascii="Arial" w:hAnsi="Arial" w:cs="Arial"/>
          <w:sz w:val="22"/>
        </w:rPr>
      </w:pPr>
      <w:r w:rsidRPr="00F06E93">
        <w:rPr>
          <w:rFonts w:ascii="Arial" w:hAnsi="Arial" w:cs="Arial"/>
          <w:sz w:val="22"/>
        </w:rPr>
        <w:t xml:space="preserve">Diagnosis of PTSD is typically informed by both clinical evaluation and validated psychological tools. The </w:t>
      </w:r>
      <w:r w:rsidRPr="002D42DE">
        <w:rPr>
          <w:rStyle w:val="Strong"/>
          <w:rFonts w:ascii="Arial" w:hAnsi="Arial" w:cs="Arial"/>
          <w:b w:val="0"/>
          <w:sz w:val="22"/>
        </w:rPr>
        <w:t>DSM-5-TR</w:t>
      </w:r>
      <w:r w:rsidRPr="00F06E93">
        <w:rPr>
          <w:rFonts w:ascii="Arial" w:hAnsi="Arial" w:cs="Arial"/>
          <w:sz w:val="22"/>
        </w:rPr>
        <w:t xml:space="preserve"> presents a more detailed structure, identifying four core symptom groups: intrusive thoughts, avoidance, changes in cognition and mood, and </w:t>
      </w:r>
      <w:proofErr w:type="spellStart"/>
      <w:r w:rsidRPr="00F06E93">
        <w:rPr>
          <w:rFonts w:ascii="Arial" w:hAnsi="Arial" w:cs="Arial"/>
          <w:sz w:val="22"/>
        </w:rPr>
        <w:t>hyperarousal</w:t>
      </w:r>
      <w:proofErr w:type="spellEnd"/>
      <w:r w:rsidRPr="00F06E93">
        <w:rPr>
          <w:rFonts w:ascii="Arial" w:hAnsi="Arial" w:cs="Arial"/>
          <w:sz w:val="22"/>
        </w:rPr>
        <w:t xml:space="preserve"> (American Psychiatric Association, 2022). Assessment methods often combine structured interviews and self-report scales, such as the Clinician-Administered PTSD Scale (CAPS-5) and the PTSD Checklist (PCL-5), to determine symptom presence and severity (Weathers, </w:t>
      </w:r>
      <w:proofErr w:type="spellStart"/>
      <w:r w:rsidRPr="00F06E93">
        <w:rPr>
          <w:rFonts w:ascii="Arial" w:hAnsi="Arial" w:cs="Arial"/>
          <w:sz w:val="22"/>
        </w:rPr>
        <w:t>Bovin</w:t>
      </w:r>
      <w:proofErr w:type="spellEnd"/>
      <w:r w:rsidRPr="00F06E93">
        <w:rPr>
          <w:rFonts w:ascii="Arial" w:hAnsi="Arial" w:cs="Arial"/>
          <w:sz w:val="22"/>
        </w:rPr>
        <w:t xml:space="preserve"> and Lee, 2018). Nonetheless, assessment can be complicated by differences in cultural expression and interpretation of distress. Research suggests that social norms and language shape how trauma symptoms are communicated, which can lead to diagnostic inconsistencies across different cultural or ethnic populations (Hinton and Lewis-Fernández, 2018). Therefore, incorporating culturally sensitive approaches into clinical practice is crucial for improving diagnostic accuracy and ensuring that assessments reflect individuals’ lived experiences (</w:t>
      </w:r>
      <w:proofErr w:type="spellStart"/>
      <w:r w:rsidRPr="00F06E93">
        <w:rPr>
          <w:rFonts w:ascii="Arial" w:hAnsi="Arial" w:cs="Arial"/>
          <w:sz w:val="22"/>
        </w:rPr>
        <w:t>Kirmayer</w:t>
      </w:r>
      <w:proofErr w:type="spellEnd"/>
      <w:r w:rsidRPr="00F06E93">
        <w:rPr>
          <w:rFonts w:ascii="Arial" w:hAnsi="Arial" w:cs="Arial"/>
          <w:sz w:val="22"/>
        </w:rPr>
        <w:t xml:space="preserve"> and Pedersen, 2020).</w:t>
      </w:r>
    </w:p>
    <w:p w14:paraId="2BC166C8" w14:textId="77777777" w:rsidR="00F06E93" w:rsidRPr="00F06E93" w:rsidRDefault="00F06E93" w:rsidP="00F06E93">
      <w:pPr>
        <w:pStyle w:val="Heading4"/>
        <w:spacing w:before="0" w:line="360" w:lineRule="auto"/>
        <w:jc w:val="both"/>
        <w:rPr>
          <w:rFonts w:ascii="Arial" w:hAnsi="Arial" w:cs="Arial"/>
          <w:color w:val="auto"/>
          <w:szCs w:val="24"/>
        </w:rPr>
      </w:pPr>
      <w:r w:rsidRPr="00F06E93">
        <w:rPr>
          <w:rStyle w:val="Strong"/>
          <w:rFonts w:ascii="Arial" w:hAnsi="Arial" w:cs="Arial"/>
          <w:b/>
          <w:bCs/>
          <w:color w:val="auto"/>
          <w:szCs w:val="24"/>
        </w:rPr>
        <w:t>2.3 Conceptual Terms and Clinical Significance</w:t>
      </w:r>
    </w:p>
    <w:p w14:paraId="3590C991" w14:textId="77777777" w:rsidR="00D63D23" w:rsidRPr="00D63D23" w:rsidRDefault="00F06E93" w:rsidP="00D63D23">
      <w:pPr>
        <w:pStyle w:val="NormalWeb"/>
        <w:spacing w:before="0" w:beforeAutospacing="0" w:after="0" w:afterAutospacing="0" w:line="360" w:lineRule="auto"/>
        <w:jc w:val="both"/>
        <w:rPr>
          <w:rStyle w:val="Strong"/>
          <w:rFonts w:ascii="Arial" w:hAnsi="Arial" w:cs="Arial"/>
          <w:b w:val="0"/>
          <w:bCs w:val="0"/>
          <w:sz w:val="22"/>
        </w:rPr>
      </w:pPr>
      <w:r w:rsidRPr="00F06E93">
        <w:rPr>
          <w:rFonts w:ascii="Arial" w:hAnsi="Arial" w:cs="Arial"/>
          <w:sz w:val="22"/>
        </w:rPr>
        <w:t xml:space="preserve">Terminology surrounding PTSD continues to be debated in contemporary mental health discussions. Some researchers contend that describing PTSD as a </w:t>
      </w:r>
      <w:r w:rsidRPr="00F06E93">
        <w:rPr>
          <w:rStyle w:val="Emphasis"/>
          <w:rFonts w:ascii="Arial" w:hAnsi="Arial" w:cs="Arial"/>
          <w:sz w:val="22"/>
        </w:rPr>
        <w:t>“disorder”</w:t>
      </w:r>
      <w:r w:rsidRPr="00F06E93">
        <w:rPr>
          <w:rFonts w:ascii="Arial" w:hAnsi="Arial" w:cs="Arial"/>
          <w:sz w:val="22"/>
        </w:rPr>
        <w:t xml:space="preserve"> </w:t>
      </w:r>
      <w:proofErr w:type="spellStart"/>
      <w:r w:rsidRPr="00F06E93">
        <w:rPr>
          <w:rFonts w:ascii="Arial" w:hAnsi="Arial" w:cs="Arial"/>
          <w:sz w:val="22"/>
        </w:rPr>
        <w:t>medicalises</w:t>
      </w:r>
      <w:proofErr w:type="spellEnd"/>
      <w:r w:rsidRPr="00F06E93">
        <w:rPr>
          <w:rFonts w:ascii="Arial" w:hAnsi="Arial" w:cs="Arial"/>
          <w:sz w:val="22"/>
        </w:rPr>
        <w:t xml:space="preserve"> what might be a natural human reaction to severe adversity, potentially increasing stigma and discouraging individuals from seeking help (Sones, 2021). In contrast, others argue that the diagnostic label provides legitimacy, enabling access to treatment, funding, and legal protection for affected individuals (Jones, 2019). This ongoing debate reflects the broader divide between medical and social models of mental health. Clinically, accurate diagnosis remains vital for effective treatment planning and outcome monitoring. Yet, as scholars point out, definitions of trauma and distress must evolve to capture the range of emotional, cognitive, and social responses people experience following extreme stress (</w:t>
      </w:r>
      <w:proofErr w:type="spellStart"/>
      <w:r w:rsidRPr="00F06E93">
        <w:rPr>
          <w:rFonts w:ascii="Arial" w:hAnsi="Arial" w:cs="Arial"/>
          <w:sz w:val="22"/>
        </w:rPr>
        <w:t>Brewin</w:t>
      </w:r>
      <w:proofErr w:type="spellEnd"/>
      <w:r w:rsidRPr="00F06E93">
        <w:rPr>
          <w:rFonts w:ascii="Arial" w:hAnsi="Arial" w:cs="Arial"/>
          <w:sz w:val="22"/>
        </w:rPr>
        <w:t xml:space="preserve">, </w:t>
      </w:r>
      <w:proofErr w:type="spellStart"/>
      <w:r w:rsidRPr="00F06E93">
        <w:rPr>
          <w:rFonts w:ascii="Arial" w:hAnsi="Arial" w:cs="Arial"/>
          <w:sz w:val="22"/>
        </w:rPr>
        <w:t>Cloitre</w:t>
      </w:r>
      <w:proofErr w:type="spellEnd"/>
      <w:r w:rsidRPr="00F06E93">
        <w:rPr>
          <w:rFonts w:ascii="Arial" w:hAnsi="Arial" w:cs="Arial"/>
          <w:sz w:val="22"/>
        </w:rPr>
        <w:t xml:space="preserve"> and </w:t>
      </w:r>
      <w:proofErr w:type="spellStart"/>
      <w:r w:rsidRPr="00F06E93">
        <w:rPr>
          <w:rFonts w:ascii="Arial" w:hAnsi="Arial" w:cs="Arial"/>
          <w:sz w:val="22"/>
        </w:rPr>
        <w:t>Hyland</w:t>
      </w:r>
      <w:proofErr w:type="spellEnd"/>
      <w:r w:rsidRPr="00F06E93">
        <w:rPr>
          <w:rFonts w:ascii="Arial" w:hAnsi="Arial" w:cs="Arial"/>
          <w:sz w:val="22"/>
        </w:rPr>
        <w:t>, 2021).</w:t>
      </w:r>
    </w:p>
    <w:p w14:paraId="0E91A163" w14:textId="77777777" w:rsidR="00D63D23" w:rsidRDefault="002D42DE" w:rsidP="00D63D23">
      <w:pPr>
        <w:pStyle w:val="Heading3"/>
        <w:spacing w:before="0" w:beforeAutospacing="0" w:after="0" w:afterAutospacing="0" w:line="360" w:lineRule="auto"/>
        <w:jc w:val="both"/>
        <w:rPr>
          <w:rStyle w:val="Strong"/>
          <w:rFonts w:ascii="Arial" w:hAnsi="Arial" w:cs="Arial"/>
          <w:b/>
          <w:bCs/>
          <w:sz w:val="22"/>
          <w:szCs w:val="22"/>
        </w:rPr>
      </w:pPr>
      <w:r w:rsidRPr="002D42DE">
        <w:rPr>
          <w:rStyle w:val="Strong"/>
          <w:rFonts w:ascii="Arial" w:hAnsi="Arial" w:cs="Arial"/>
          <w:b/>
          <w:bCs/>
          <w:sz w:val="22"/>
          <w:szCs w:val="22"/>
        </w:rPr>
        <w:t>3. Intervention and Recovery Approaches</w:t>
      </w:r>
    </w:p>
    <w:p w14:paraId="03E9010D" w14:textId="77777777" w:rsidR="00D63D23" w:rsidRDefault="00D63D23" w:rsidP="00D63D23">
      <w:pPr>
        <w:pStyle w:val="Heading3"/>
        <w:spacing w:before="0" w:beforeAutospacing="0" w:after="0" w:afterAutospacing="0" w:line="360" w:lineRule="auto"/>
        <w:jc w:val="both"/>
        <w:rPr>
          <w:rStyle w:val="Strong"/>
          <w:rFonts w:ascii="Arial" w:hAnsi="Arial" w:cs="Arial"/>
          <w:b/>
          <w:bCs/>
          <w:sz w:val="22"/>
          <w:szCs w:val="22"/>
        </w:rPr>
      </w:pPr>
      <w:r w:rsidRPr="002D42DE">
        <w:rPr>
          <w:rStyle w:val="Strong"/>
          <w:rFonts w:ascii="Arial" w:hAnsi="Arial" w:cs="Arial"/>
          <w:b/>
          <w:bCs/>
          <w:sz w:val="22"/>
          <w:szCs w:val="22"/>
        </w:rPr>
        <w:t>3.1 Medication-Based Interventions</w:t>
      </w:r>
    </w:p>
    <w:p w14:paraId="1CD9F809" w14:textId="77777777" w:rsidR="00D63D23" w:rsidRPr="00D63D23" w:rsidRDefault="00D63D23" w:rsidP="00D63D23">
      <w:pPr>
        <w:spacing w:after="0" w:line="360" w:lineRule="auto"/>
        <w:jc w:val="both"/>
        <w:rPr>
          <w:rFonts w:ascii="Arial" w:hAnsi="Arial" w:cs="Arial"/>
        </w:rPr>
      </w:pPr>
      <w:r w:rsidRPr="00D63D23">
        <w:rPr>
          <w:rFonts w:ascii="Arial" w:hAnsi="Arial" w:cs="Arial"/>
        </w:rPr>
        <w:lastRenderedPageBreak/>
        <w:t xml:space="preserve">Pharmacological treatment remains an important aspect of managing Post-Traumatic Stress Disorder (PTSD), especially for people experiencing severe anxiety, insomnia, or intrusive memories. Selective serotonin reuptake inhibitors such as sertraline and paroxetine are the main prescribed drugs because they help </w:t>
      </w:r>
      <w:proofErr w:type="spellStart"/>
      <w:r w:rsidRPr="00D63D23">
        <w:rPr>
          <w:rFonts w:ascii="Arial" w:hAnsi="Arial" w:cs="Arial"/>
        </w:rPr>
        <w:t>stabilise</w:t>
      </w:r>
      <w:proofErr w:type="spellEnd"/>
      <w:r w:rsidRPr="00D63D23">
        <w:rPr>
          <w:rFonts w:ascii="Arial" w:hAnsi="Arial" w:cs="Arial"/>
        </w:rPr>
        <w:t xml:space="preserve"> mood and reduce emotional arousal (Hoskins et al., 2021). When symptoms persist, serotonin and norepinephrine reuptake inhibitors like venlafaxine may be used (Stein, </w:t>
      </w:r>
      <w:proofErr w:type="spellStart"/>
      <w:r w:rsidRPr="00D63D23">
        <w:rPr>
          <w:rFonts w:ascii="Arial" w:hAnsi="Arial" w:cs="Arial"/>
        </w:rPr>
        <w:t>Ipser</w:t>
      </w:r>
      <w:proofErr w:type="spellEnd"/>
      <w:r w:rsidRPr="00D63D23">
        <w:rPr>
          <w:rFonts w:ascii="Arial" w:hAnsi="Arial" w:cs="Arial"/>
        </w:rPr>
        <w:t xml:space="preserve"> and </w:t>
      </w:r>
      <w:proofErr w:type="spellStart"/>
      <w:r w:rsidRPr="00D63D23">
        <w:rPr>
          <w:rFonts w:ascii="Arial" w:hAnsi="Arial" w:cs="Arial"/>
        </w:rPr>
        <w:t>Seedat</w:t>
      </w:r>
      <w:proofErr w:type="spellEnd"/>
      <w:r w:rsidRPr="00D63D23">
        <w:rPr>
          <w:rFonts w:ascii="Arial" w:hAnsi="Arial" w:cs="Arial"/>
        </w:rPr>
        <w:t xml:space="preserve">, 2021). However, medication alone rarely ensures lasting recovery. Alexander (2020) suggests it should be combined with psychological therapies to enhance long-term outcomes. Other medications, including atypical antipsychotics and mood </w:t>
      </w:r>
      <w:proofErr w:type="spellStart"/>
      <w:r w:rsidRPr="00D63D23">
        <w:rPr>
          <w:rFonts w:ascii="Arial" w:hAnsi="Arial" w:cs="Arial"/>
        </w:rPr>
        <w:t>stabilisers</w:t>
      </w:r>
      <w:proofErr w:type="spellEnd"/>
      <w:r w:rsidRPr="00D63D23">
        <w:rPr>
          <w:rFonts w:ascii="Arial" w:hAnsi="Arial" w:cs="Arial"/>
        </w:rPr>
        <w:t>, are sometimes considered for treatment-resistant cases, though their safety and effectiveness remain uncertain (Krystal and Davis, 2020). Benzodiazepines are generally avoided due to their addictive potential and limited therapeutic value (</w:t>
      </w:r>
      <w:proofErr w:type="spellStart"/>
      <w:r w:rsidRPr="00D63D23">
        <w:rPr>
          <w:rFonts w:ascii="Arial" w:hAnsi="Arial" w:cs="Arial"/>
        </w:rPr>
        <w:t>Bernardy</w:t>
      </w:r>
      <w:proofErr w:type="spellEnd"/>
      <w:r w:rsidRPr="00D63D23">
        <w:rPr>
          <w:rFonts w:ascii="Arial" w:hAnsi="Arial" w:cs="Arial"/>
        </w:rPr>
        <w:t xml:space="preserve"> and Friedman, 2019). Overall, research indicates that medication should function as part of a comprehensive, </w:t>
      </w:r>
      <w:proofErr w:type="spellStart"/>
      <w:r w:rsidRPr="00D63D23">
        <w:rPr>
          <w:rFonts w:ascii="Arial" w:hAnsi="Arial" w:cs="Arial"/>
        </w:rPr>
        <w:t>individualised</w:t>
      </w:r>
      <w:proofErr w:type="spellEnd"/>
      <w:r w:rsidRPr="00D63D23">
        <w:rPr>
          <w:rFonts w:ascii="Arial" w:hAnsi="Arial" w:cs="Arial"/>
        </w:rPr>
        <w:t xml:space="preserve"> treatment plan that includes evidence-based therapy, consistent social support, and structured rehabilitation. This integrated approach promotes both symptom relief and sustainable recovery from trauma-related distress.</w:t>
      </w:r>
    </w:p>
    <w:p w14:paraId="710D4077" w14:textId="77777777" w:rsidR="002D42DE" w:rsidRPr="002D42DE" w:rsidRDefault="002D42DE" w:rsidP="002D42DE">
      <w:pPr>
        <w:pStyle w:val="Heading4"/>
        <w:spacing w:before="0" w:line="360" w:lineRule="auto"/>
        <w:jc w:val="both"/>
        <w:rPr>
          <w:rFonts w:ascii="Arial" w:hAnsi="Arial" w:cs="Arial"/>
          <w:color w:val="auto"/>
        </w:rPr>
      </w:pPr>
      <w:r w:rsidRPr="002D42DE">
        <w:rPr>
          <w:rStyle w:val="Strong"/>
          <w:rFonts w:ascii="Arial" w:hAnsi="Arial" w:cs="Arial"/>
          <w:b/>
          <w:bCs/>
          <w:color w:val="auto"/>
        </w:rPr>
        <w:t>3.2 Psychological and Social Therapies</w:t>
      </w:r>
    </w:p>
    <w:p w14:paraId="246F1536" w14:textId="77777777" w:rsidR="00D63D23" w:rsidRPr="00D63D23" w:rsidRDefault="00D63D23" w:rsidP="00D63D23">
      <w:pPr>
        <w:pStyle w:val="NormalWeb"/>
        <w:spacing w:before="0" w:beforeAutospacing="0" w:after="0" w:afterAutospacing="0" w:line="360" w:lineRule="auto"/>
        <w:jc w:val="both"/>
        <w:rPr>
          <w:rFonts w:ascii="Arial" w:hAnsi="Arial" w:cs="Arial"/>
          <w:sz w:val="22"/>
        </w:rPr>
      </w:pPr>
      <w:r w:rsidRPr="00D63D23">
        <w:rPr>
          <w:rFonts w:ascii="Arial" w:hAnsi="Arial" w:cs="Arial"/>
          <w:sz w:val="22"/>
        </w:rPr>
        <w:t xml:space="preserve">Psychological therapy continues to be the primary approach in treating Post-Traumatic Stress Disorder (PTSD). Strong evidence highlights the effectiveness of trauma-focused Cognitive </w:t>
      </w:r>
      <w:proofErr w:type="spellStart"/>
      <w:r w:rsidRPr="00D63D23">
        <w:rPr>
          <w:rFonts w:ascii="Arial" w:hAnsi="Arial" w:cs="Arial"/>
          <w:sz w:val="22"/>
        </w:rPr>
        <w:t>Behavioural</w:t>
      </w:r>
      <w:proofErr w:type="spellEnd"/>
      <w:r w:rsidRPr="00D63D23">
        <w:rPr>
          <w:rFonts w:ascii="Arial" w:hAnsi="Arial" w:cs="Arial"/>
          <w:sz w:val="22"/>
        </w:rPr>
        <w:t xml:space="preserve"> Therapy (CBT) and Eye Movement </w:t>
      </w:r>
      <w:proofErr w:type="spellStart"/>
      <w:r w:rsidRPr="00D63D23">
        <w:rPr>
          <w:rFonts w:ascii="Arial" w:hAnsi="Arial" w:cs="Arial"/>
          <w:sz w:val="22"/>
        </w:rPr>
        <w:t>Desensitisation</w:t>
      </w:r>
      <w:proofErr w:type="spellEnd"/>
      <w:r w:rsidRPr="00D63D23">
        <w:rPr>
          <w:rFonts w:ascii="Arial" w:hAnsi="Arial" w:cs="Arial"/>
          <w:sz w:val="22"/>
        </w:rPr>
        <w:t xml:space="preserve"> and Reprocessing (EMDR) in reducing trauma-related symptoms and restoring emotional stability (Bisson, Cosgrove and Lewis, 2021). These interventions assist individuals in confronting traumatic memories, challenging negative thought patterns, and strengthening coping abilities. EMDR, in particular, promotes adaptive memory reprocessing, enabling individuals to reinterpret distressing experiences and lessen emotional intensity (Watkins, Sprang and </w:t>
      </w:r>
      <w:proofErr w:type="spellStart"/>
      <w:r w:rsidRPr="00D63D23">
        <w:rPr>
          <w:rFonts w:ascii="Arial" w:hAnsi="Arial" w:cs="Arial"/>
          <w:sz w:val="22"/>
        </w:rPr>
        <w:t>Rothbaum</w:t>
      </w:r>
      <w:proofErr w:type="spellEnd"/>
      <w:r w:rsidRPr="00D63D23">
        <w:rPr>
          <w:rFonts w:ascii="Arial" w:hAnsi="Arial" w:cs="Arial"/>
          <w:sz w:val="22"/>
        </w:rPr>
        <w:t xml:space="preserve">, 2018). Both treatments are </w:t>
      </w:r>
      <w:proofErr w:type="spellStart"/>
      <w:r w:rsidRPr="00D63D23">
        <w:rPr>
          <w:rFonts w:ascii="Arial" w:hAnsi="Arial" w:cs="Arial"/>
          <w:sz w:val="22"/>
        </w:rPr>
        <w:t>recognised</w:t>
      </w:r>
      <w:proofErr w:type="spellEnd"/>
      <w:r w:rsidRPr="00D63D23">
        <w:rPr>
          <w:rFonts w:ascii="Arial" w:hAnsi="Arial" w:cs="Arial"/>
          <w:sz w:val="22"/>
        </w:rPr>
        <w:t xml:space="preserve"> by the National Institute for Health and Care Excellence (NICE, 2023) as the most effective psychological options for PTSD.</w:t>
      </w:r>
    </w:p>
    <w:p w14:paraId="548D7562" w14:textId="77777777" w:rsidR="00D63D23" w:rsidRDefault="00D63D23" w:rsidP="00D63D23">
      <w:pPr>
        <w:pStyle w:val="NormalWeb"/>
        <w:spacing w:before="0" w:beforeAutospacing="0" w:after="0" w:afterAutospacing="0" w:line="360" w:lineRule="auto"/>
        <w:jc w:val="both"/>
      </w:pPr>
      <w:r w:rsidRPr="00D63D23">
        <w:rPr>
          <w:rFonts w:ascii="Arial" w:hAnsi="Arial" w:cs="Arial"/>
          <w:sz w:val="22"/>
        </w:rPr>
        <w:t xml:space="preserve">Beyond individual therapy, group and community-based </w:t>
      </w:r>
      <w:proofErr w:type="spellStart"/>
      <w:r w:rsidRPr="00D63D23">
        <w:rPr>
          <w:rFonts w:ascii="Arial" w:hAnsi="Arial" w:cs="Arial"/>
          <w:sz w:val="22"/>
        </w:rPr>
        <w:t>programmes</w:t>
      </w:r>
      <w:proofErr w:type="spellEnd"/>
      <w:r w:rsidRPr="00D63D23">
        <w:rPr>
          <w:rFonts w:ascii="Arial" w:hAnsi="Arial" w:cs="Arial"/>
          <w:sz w:val="22"/>
        </w:rPr>
        <w:t xml:space="preserve"> play a vital role in recovery. Peer support, group </w:t>
      </w:r>
      <w:proofErr w:type="spellStart"/>
      <w:r w:rsidRPr="00D63D23">
        <w:rPr>
          <w:rFonts w:ascii="Arial" w:hAnsi="Arial" w:cs="Arial"/>
          <w:sz w:val="22"/>
        </w:rPr>
        <w:t>counselling</w:t>
      </w:r>
      <w:proofErr w:type="spellEnd"/>
      <w:r w:rsidRPr="00D63D23">
        <w:rPr>
          <w:rFonts w:ascii="Arial" w:hAnsi="Arial" w:cs="Arial"/>
          <w:sz w:val="22"/>
        </w:rPr>
        <w:t>, and family therapy encourage shared understanding and emotional connection, reducing feelings of isolation (Schnyder, Bryant and Ehlers, 2017). Participation in community activities also fosters resilience and social reintegration, particularly for people affected by collective trauma such as war or disaster (</w:t>
      </w:r>
      <w:proofErr w:type="spellStart"/>
      <w:r w:rsidRPr="00D63D23">
        <w:rPr>
          <w:rFonts w:ascii="Arial" w:hAnsi="Arial" w:cs="Arial"/>
          <w:sz w:val="22"/>
        </w:rPr>
        <w:t>Kitchiner</w:t>
      </w:r>
      <w:proofErr w:type="spellEnd"/>
      <w:r w:rsidRPr="00D63D23">
        <w:rPr>
          <w:rFonts w:ascii="Arial" w:hAnsi="Arial" w:cs="Arial"/>
          <w:sz w:val="22"/>
        </w:rPr>
        <w:t xml:space="preserve">, Lewis and Roberts, 2019). Nevertheless, some researchers argue that trauma-focused methods may not be suitable for all cases. </w:t>
      </w:r>
      <w:proofErr w:type="spellStart"/>
      <w:r w:rsidRPr="00D63D23">
        <w:rPr>
          <w:rFonts w:ascii="Arial" w:hAnsi="Arial" w:cs="Arial"/>
          <w:sz w:val="22"/>
        </w:rPr>
        <w:t>Cloitre</w:t>
      </w:r>
      <w:proofErr w:type="spellEnd"/>
      <w:r w:rsidRPr="00D63D23">
        <w:rPr>
          <w:rFonts w:ascii="Arial" w:hAnsi="Arial" w:cs="Arial"/>
          <w:sz w:val="22"/>
        </w:rPr>
        <w:t xml:space="preserve">, </w:t>
      </w:r>
      <w:proofErr w:type="spellStart"/>
      <w:r w:rsidRPr="00D63D23">
        <w:rPr>
          <w:rFonts w:ascii="Arial" w:hAnsi="Arial" w:cs="Arial"/>
          <w:sz w:val="22"/>
        </w:rPr>
        <w:t>Courtois</w:t>
      </w:r>
      <w:proofErr w:type="spellEnd"/>
      <w:r w:rsidRPr="00D63D23">
        <w:rPr>
          <w:rFonts w:ascii="Arial" w:hAnsi="Arial" w:cs="Arial"/>
          <w:sz w:val="22"/>
        </w:rPr>
        <w:t xml:space="preserve"> and Ford (2020) recommend phased, </w:t>
      </w:r>
      <w:proofErr w:type="spellStart"/>
      <w:r w:rsidRPr="00D63D23">
        <w:rPr>
          <w:rFonts w:ascii="Arial" w:hAnsi="Arial" w:cs="Arial"/>
          <w:sz w:val="22"/>
        </w:rPr>
        <w:t>individualised</w:t>
      </w:r>
      <w:proofErr w:type="spellEnd"/>
      <w:r w:rsidRPr="00D63D23">
        <w:rPr>
          <w:rFonts w:ascii="Arial" w:hAnsi="Arial" w:cs="Arial"/>
          <w:sz w:val="22"/>
        </w:rPr>
        <w:t xml:space="preserve"> strategies for</w:t>
      </w:r>
      <w:r w:rsidRPr="00D63D23">
        <w:rPr>
          <w:sz w:val="22"/>
        </w:rPr>
        <w:t xml:space="preserve"> </w:t>
      </w:r>
      <w:r>
        <w:t>complex or long-term trauma exposure.</w:t>
      </w:r>
    </w:p>
    <w:p w14:paraId="51DD165A" w14:textId="77777777" w:rsidR="002D42DE" w:rsidRPr="002D42DE" w:rsidRDefault="002D42DE" w:rsidP="002D42DE">
      <w:pPr>
        <w:pStyle w:val="Heading4"/>
        <w:spacing w:before="0" w:line="360" w:lineRule="auto"/>
        <w:jc w:val="both"/>
        <w:rPr>
          <w:rFonts w:ascii="Arial" w:hAnsi="Arial" w:cs="Arial"/>
          <w:color w:val="auto"/>
        </w:rPr>
      </w:pPr>
      <w:r w:rsidRPr="002D42DE">
        <w:rPr>
          <w:rStyle w:val="Strong"/>
          <w:rFonts w:ascii="Arial" w:hAnsi="Arial" w:cs="Arial"/>
          <w:b/>
          <w:bCs/>
          <w:color w:val="auto"/>
        </w:rPr>
        <w:lastRenderedPageBreak/>
        <w:t>3.3 Rehabilitation Pathways and Recovery Models</w:t>
      </w:r>
    </w:p>
    <w:p w14:paraId="29AF6E29" w14:textId="77777777" w:rsidR="002D42DE" w:rsidRPr="002D42DE" w:rsidRDefault="002D42DE" w:rsidP="002D42DE">
      <w:pPr>
        <w:pStyle w:val="NormalWeb"/>
        <w:spacing w:before="0" w:beforeAutospacing="0" w:after="0" w:afterAutospacing="0" w:line="360" w:lineRule="auto"/>
        <w:jc w:val="both"/>
        <w:rPr>
          <w:rFonts w:ascii="Arial" w:hAnsi="Arial" w:cs="Arial"/>
          <w:sz w:val="22"/>
          <w:szCs w:val="22"/>
        </w:rPr>
      </w:pPr>
      <w:r w:rsidRPr="002D42DE">
        <w:rPr>
          <w:rFonts w:ascii="Arial" w:hAnsi="Arial" w:cs="Arial"/>
          <w:sz w:val="22"/>
          <w:szCs w:val="22"/>
        </w:rPr>
        <w:t xml:space="preserve">Rehabilitation focuses on rebuilding a sense of identity and purpose after trauma. Modern recovery-oriented approaches encourage individuals to regain control, rebuild confidence, and participate actively in meaningful life roles. </w:t>
      </w:r>
      <w:proofErr w:type="spellStart"/>
      <w:r w:rsidRPr="002D42DE">
        <w:rPr>
          <w:rFonts w:ascii="Arial" w:hAnsi="Arial" w:cs="Arial"/>
          <w:sz w:val="22"/>
          <w:szCs w:val="22"/>
        </w:rPr>
        <w:t>Slade</w:t>
      </w:r>
      <w:proofErr w:type="spellEnd"/>
      <w:r w:rsidRPr="002D42DE">
        <w:rPr>
          <w:rFonts w:ascii="Arial" w:hAnsi="Arial" w:cs="Arial"/>
          <w:sz w:val="22"/>
          <w:szCs w:val="22"/>
        </w:rPr>
        <w:t xml:space="preserve">, </w:t>
      </w:r>
      <w:proofErr w:type="spellStart"/>
      <w:r w:rsidRPr="002D42DE">
        <w:rPr>
          <w:rFonts w:ascii="Arial" w:hAnsi="Arial" w:cs="Arial"/>
          <w:sz w:val="22"/>
          <w:szCs w:val="22"/>
        </w:rPr>
        <w:t>Amering</w:t>
      </w:r>
      <w:proofErr w:type="spellEnd"/>
      <w:r w:rsidRPr="002D42DE">
        <w:rPr>
          <w:rFonts w:ascii="Arial" w:hAnsi="Arial" w:cs="Arial"/>
          <w:sz w:val="22"/>
          <w:szCs w:val="22"/>
        </w:rPr>
        <w:t xml:space="preserve"> and </w:t>
      </w:r>
      <w:proofErr w:type="spellStart"/>
      <w:r w:rsidRPr="002D42DE">
        <w:rPr>
          <w:rFonts w:ascii="Arial" w:hAnsi="Arial" w:cs="Arial"/>
          <w:sz w:val="22"/>
          <w:szCs w:val="22"/>
        </w:rPr>
        <w:t>Oades</w:t>
      </w:r>
      <w:proofErr w:type="spellEnd"/>
      <w:r w:rsidRPr="002D42DE">
        <w:rPr>
          <w:rFonts w:ascii="Arial" w:hAnsi="Arial" w:cs="Arial"/>
          <w:sz w:val="22"/>
          <w:szCs w:val="22"/>
        </w:rPr>
        <w:t xml:space="preserve"> (2017) describe recovery as a process of personal growth that extends beyond the absence of symptoms. Mindfulness </w:t>
      </w:r>
      <w:proofErr w:type="spellStart"/>
      <w:r w:rsidRPr="002D42DE">
        <w:rPr>
          <w:rFonts w:ascii="Arial" w:hAnsi="Arial" w:cs="Arial"/>
          <w:sz w:val="22"/>
          <w:szCs w:val="22"/>
        </w:rPr>
        <w:t>programmes</w:t>
      </w:r>
      <w:proofErr w:type="spellEnd"/>
      <w:r w:rsidRPr="002D42DE">
        <w:rPr>
          <w:rFonts w:ascii="Arial" w:hAnsi="Arial" w:cs="Arial"/>
          <w:sz w:val="22"/>
          <w:szCs w:val="22"/>
        </w:rPr>
        <w:t>, creative therapies, and supported employment schemes are valuable tools that enhance self-esteem and emotional stability (</w:t>
      </w:r>
      <w:proofErr w:type="spellStart"/>
      <w:r w:rsidRPr="002D42DE">
        <w:rPr>
          <w:rFonts w:ascii="Arial" w:hAnsi="Arial" w:cs="Arial"/>
          <w:sz w:val="22"/>
          <w:szCs w:val="22"/>
        </w:rPr>
        <w:t>Galatzer-Levy</w:t>
      </w:r>
      <w:proofErr w:type="spellEnd"/>
      <w:r w:rsidRPr="002D42DE">
        <w:rPr>
          <w:rFonts w:ascii="Arial" w:hAnsi="Arial" w:cs="Arial"/>
          <w:sz w:val="22"/>
          <w:szCs w:val="22"/>
        </w:rPr>
        <w:t xml:space="preserve">, Bryant and </w:t>
      </w:r>
      <w:proofErr w:type="spellStart"/>
      <w:r w:rsidRPr="002D42DE">
        <w:rPr>
          <w:rFonts w:ascii="Arial" w:hAnsi="Arial" w:cs="Arial"/>
          <w:sz w:val="22"/>
          <w:szCs w:val="22"/>
        </w:rPr>
        <w:t>Bonanno</w:t>
      </w:r>
      <w:proofErr w:type="spellEnd"/>
      <w:r w:rsidRPr="002D42DE">
        <w:rPr>
          <w:rFonts w:ascii="Arial" w:hAnsi="Arial" w:cs="Arial"/>
          <w:sz w:val="22"/>
          <w:szCs w:val="22"/>
        </w:rPr>
        <w:t>, 2018). For populations such as veterans and emergency service workers, multidisciplinary rehabilitation that combines physical, occupational, and psychological support has produced encouraging outcomes (Bryant, Nickerson and Creamer, 2020).</w:t>
      </w:r>
    </w:p>
    <w:p w14:paraId="4A21F136" w14:textId="77777777" w:rsidR="002D42DE" w:rsidRPr="002D42DE" w:rsidRDefault="002D42DE" w:rsidP="002D42DE">
      <w:pPr>
        <w:pStyle w:val="NormalWeb"/>
        <w:spacing w:before="0" w:beforeAutospacing="0" w:after="0" w:afterAutospacing="0" w:line="360" w:lineRule="auto"/>
        <w:jc w:val="both"/>
        <w:rPr>
          <w:rFonts w:ascii="Arial" w:hAnsi="Arial" w:cs="Arial"/>
          <w:sz w:val="22"/>
          <w:szCs w:val="22"/>
        </w:rPr>
      </w:pPr>
      <w:r w:rsidRPr="002D42DE">
        <w:rPr>
          <w:rFonts w:ascii="Arial" w:hAnsi="Arial" w:cs="Arial"/>
          <w:sz w:val="22"/>
          <w:szCs w:val="22"/>
        </w:rPr>
        <w:t xml:space="preserve">However, challenges such as funding limitations, workforce shortages, and fragmented services often reduce the availability of rehabilitation </w:t>
      </w:r>
      <w:proofErr w:type="spellStart"/>
      <w:r w:rsidRPr="002D42DE">
        <w:rPr>
          <w:rFonts w:ascii="Arial" w:hAnsi="Arial" w:cs="Arial"/>
          <w:sz w:val="22"/>
          <w:szCs w:val="22"/>
        </w:rPr>
        <w:t>programmes</w:t>
      </w:r>
      <w:proofErr w:type="spellEnd"/>
      <w:r w:rsidRPr="002D42DE">
        <w:rPr>
          <w:rFonts w:ascii="Arial" w:hAnsi="Arial" w:cs="Arial"/>
          <w:sz w:val="22"/>
          <w:szCs w:val="22"/>
        </w:rPr>
        <w:t xml:space="preserve">. Social stigma and fear of judgment continue to discourage many from accessing help (Greene, </w:t>
      </w:r>
      <w:proofErr w:type="spellStart"/>
      <w:r w:rsidRPr="002D42DE">
        <w:rPr>
          <w:rFonts w:ascii="Arial" w:hAnsi="Arial" w:cs="Arial"/>
          <w:sz w:val="22"/>
          <w:szCs w:val="22"/>
        </w:rPr>
        <w:t>Gelkopf</w:t>
      </w:r>
      <w:proofErr w:type="spellEnd"/>
      <w:r w:rsidRPr="002D42DE">
        <w:rPr>
          <w:rFonts w:ascii="Arial" w:hAnsi="Arial" w:cs="Arial"/>
          <w:sz w:val="22"/>
          <w:szCs w:val="22"/>
        </w:rPr>
        <w:t xml:space="preserve"> and Fried, 2020). To overcome these barriers, rehabilitation must integrate social inclusion, education, and anti-stigma initiatives alongside clinical care to sustain long-term recovery.</w:t>
      </w:r>
    </w:p>
    <w:p w14:paraId="132F880D" w14:textId="77777777" w:rsidR="002D42DE" w:rsidRPr="002D42DE" w:rsidRDefault="002D42DE" w:rsidP="002D42DE">
      <w:pPr>
        <w:pStyle w:val="Heading4"/>
        <w:spacing w:before="0" w:line="360" w:lineRule="auto"/>
        <w:jc w:val="both"/>
        <w:rPr>
          <w:rFonts w:ascii="Arial" w:hAnsi="Arial" w:cs="Arial"/>
          <w:color w:val="auto"/>
        </w:rPr>
      </w:pPr>
      <w:r w:rsidRPr="002D42DE">
        <w:rPr>
          <w:rStyle w:val="Strong"/>
          <w:rFonts w:ascii="Arial" w:hAnsi="Arial" w:cs="Arial"/>
          <w:b/>
          <w:bCs/>
          <w:color w:val="auto"/>
        </w:rPr>
        <w:t>3.4 Strengths and Shortcomings of Current Practices</w:t>
      </w:r>
    </w:p>
    <w:p w14:paraId="21830FA0" w14:textId="77777777" w:rsidR="002D42DE" w:rsidRPr="002D42DE" w:rsidRDefault="002D42DE" w:rsidP="002D42DE">
      <w:pPr>
        <w:pStyle w:val="NormalWeb"/>
        <w:spacing w:before="0" w:beforeAutospacing="0" w:after="0" w:afterAutospacing="0" w:line="360" w:lineRule="auto"/>
        <w:jc w:val="both"/>
        <w:rPr>
          <w:rFonts w:ascii="Arial" w:hAnsi="Arial" w:cs="Arial"/>
          <w:sz w:val="22"/>
          <w:szCs w:val="22"/>
        </w:rPr>
      </w:pPr>
      <w:r w:rsidRPr="002D42DE">
        <w:rPr>
          <w:rFonts w:ascii="Arial" w:hAnsi="Arial" w:cs="Arial"/>
          <w:sz w:val="22"/>
          <w:szCs w:val="22"/>
        </w:rPr>
        <w:t xml:space="preserve">Although great progress has been made in the treatment of PTSD, several shortcomings remain. The combined use of medication and therapy has proven effective for many, but cultural and contextual factors still affect treatment outcomes (Hinton and Lewis-Fernández, 2018). Some critics argue that </w:t>
      </w:r>
      <w:proofErr w:type="spellStart"/>
      <w:r w:rsidRPr="002D42DE">
        <w:rPr>
          <w:rFonts w:ascii="Arial" w:hAnsi="Arial" w:cs="Arial"/>
          <w:sz w:val="22"/>
          <w:szCs w:val="22"/>
        </w:rPr>
        <w:t>standardised</w:t>
      </w:r>
      <w:proofErr w:type="spellEnd"/>
      <w:r w:rsidRPr="002D42DE">
        <w:rPr>
          <w:rFonts w:ascii="Arial" w:hAnsi="Arial" w:cs="Arial"/>
          <w:sz w:val="22"/>
          <w:szCs w:val="22"/>
        </w:rPr>
        <w:t xml:space="preserve"> treatment protocols oversimplify trauma by neglecting social, cultural, and historical influences (Summerfield, 2019). This calls for more </w:t>
      </w:r>
      <w:proofErr w:type="spellStart"/>
      <w:r w:rsidRPr="002D42DE">
        <w:rPr>
          <w:rFonts w:ascii="Arial" w:hAnsi="Arial" w:cs="Arial"/>
          <w:sz w:val="22"/>
          <w:szCs w:val="22"/>
        </w:rPr>
        <w:t>individualised</w:t>
      </w:r>
      <w:proofErr w:type="spellEnd"/>
      <w:r w:rsidRPr="002D42DE">
        <w:rPr>
          <w:rFonts w:ascii="Arial" w:hAnsi="Arial" w:cs="Arial"/>
          <w:sz w:val="22"/>
          <w:szCs w:val="22"/>
        </w:rPr>
        <w:t xml:space="preserve"> and culturally informed interventions that </w:t>
      </w:r>
      <w:proofErr w:type="spellStart"/>
      <w:r w:rsidRPr="002D42DE">
        <w:rPr>
          <w:rFonts w:ascii="Arial" w:hAnsi="Arial" w:cs="Arial"/>
          <w:sz w:val="22"/>
          <w:szCs w:val="22"/>
        </w:rPr>
        <w:t>recognise</w:t>
      </w:r>
      <w:proofErr w:type="spellEnd"/>
      <w:r w:rsidRPr="002D42DE">
        <w:rPr>
          <w:rFonts w:ascii="Arial" w:hAnsi="Arial" w:cs="Arial"/>
          <w:sz w:val="22"/>
          <w:szCs w:val="22"/>
        </w:rPr>
        <w:t xml:space="preserve"> different expressions of distress and healing.</w:t>
      </w:r>
    </w:p>
    <w:p w14:paraId="3BFB29BE" w14:textId="77777777" w:rsidR="002D42DE" w:rsidRDefault="002D42DE" w:rsidP="002D42DE">
      <w:pPr>
        <w:pStyle w:val="NormalWeb"/>
        <w:spacing w:before="0" w:beforeAutospacing="0" w:after="0" w:afterAutospacing="0" w:line="360" w:lineRule="auto"/>
        <w:jc w:val="both"/>
        <w:rPr>
          <w:rFonts w:ascii="Arial" w:hAnsi="Arial" w:cs="Arial"/>
          <w:sz w:val="22"/>
          <w:szCs w:val="22"/>
        </w:rPr>
      </w:pPr>
      <w:r w:rsidRPr="002D42DE">
        <w:rPr>
          <w:rFonts w:ascii="Arial" w:hAnsi="Arial" w:cs="Arial"/>
          <w:sz w:val="22"/>
          <w:szCs w:val="22"/>
        </w:rPr>
        <w:t xml:space="preserve">Technological innovation is gradually transforming PTSD care. Online </w:t>
      </w:r>
      <w:proofErr w:type="spellStart"/>
      <w:r w:rsidRPr="002D42DE">
        <w:rPr>
          <w:rFonts w:ascii="Arial" w:hAnsi="Arial" w:cs="Arial"/>
          <w:sz w:val="22"/>
          <w:szCs w:val="22"/>
        </w:rPr>
        <w:t>counselling</w:t>
      </w:r>
      <w:proofErr w:type="spellEnd"/>
      <w:r w:rsidRPr="002D42DE">
        <w:rPr>
          <w:rFonts w:ascii="Arial" w:hAnsi="Arial" w:cs="Arial"/>
          <w:sz w:val="22"/>
          <w:szCs w:val="22"/>
        </w:rPr>
        <w:t xml:space="preserve">, mobile therapy applications, and virtual support groups are increasingly being used to improve access and continuity of care (Wind, </w:t>
      </w:r>
      <w:proofErr w:type="spellStart"/>
      <w:r w:rsidRPr="002D42DE">
        <w:rPr>
          <w:rFonts w:ascii="Arial" w:hAnsi="Arial" w:cs="Arial"/>
          <w:sz w:val="22"/>
          <w:szCs w:val="22"/>
        </w:rPr>
        <w:t>Rijkeboer</w:t>
      </w:r>
      <w:proofErr w:type="spellEnd"/>
      <w:r w:rsidRPr="002D42DE">
        <w:rPr>
          <w:rFonts w:ascii="Arial" w:hAnsi="Arial" w:cs="Arial"/>
          <w:sz w:val="22"/>
          <w:szCs w:val="22"/>
        </w:rPr>
        <w:t xml:space="preserve"> and Andersson, 2020). However, more research is needed to ensure these digital options maintain quality and provide adequate emotional support. In the future, effective treatment of PTSD will depend on sustained investment in multidisciplinary care, inclusive policy frameworks, and continued collaboration among researchers, clinicians, and service users.</w:t>
      </w:r>
    </w:p>
    <w:p w14:paraId="2D7D35D7" w14:textId="77777777" w:rsidR="002D42DE" w:rsidRPr="002D42DE" w:rsidRDefault="002D42DE" w:rsidP="002D42DE">
      <w:pPr>
        <w:pStyle w:val="Heading3"/>
        <w:spacing w:before="0" w:beforeAutospacing="0" w:after="0" w:afterAutospacing="0" w:line="360" w:lineRule="auto"/>
        <w:jc w:val="both"/>
        <w:rPr>
          <w:rFonts w:ascii="Arial" w:hAnsi="Arial" w:cs="Arial"/>
          <w:sz w:val="22"/>
          <w:szCs w:val="22"/>
        </w:rPr>
      </w:pPr>
      <w:r w:rsidRPr="002D42DE">
        <w:rPr>
          <w:rStyle w:val="Strong"/>
          <w:rFonts w:ascii="Arial" w:hAnsi="Arial" w:cs="Arial"/>
          <w:b/>
          <w:bCs/>
          <w:sz w:val="22"/>
          <w:szCs w:val="22"/>
        </w:rPr>
        <w:t>4. Contemporary Discussions and Emerging Perspectives</w:t>
      </w:r>
    </w:p>
    <w:p w14:paraId="37874E73" w14:textId="77777777" w:rsidR="002D42DE" w:rsidRPr="002D42DE" w:rsidRDefault="002D42DE" w:rsidP="002D42DE">
      <w:pPr>
        <w:pStyle w:val="Heading4"/>
        <w:spacing w:before="0" w:line="360" w:lineRule="auto"/>
        <w:jc w:val="both"/>
        <w:rPr>
          <w:rFonts w:ascii="Arial" w:hAnsi="Arial" w:cs="Arial"/>
          <w:color w:val="auto"/>
        </w:rPr>
      </w:pPr>
      <w:r w:rsidRPr="002D42DE">
        <w:rPr>
          <w:rStyle w:val="Strong"/>
          <w:rFonts w:ascii="Arial" w:hAnsi="Arial" w:cs="Arial"/>
          <w:b/>
          <w:bCs/>
          <w:color w:val="auto"/>
        </w:rPr>
        <w:t>4.1 Neurodiversity and Reconsideration of PTSD</w:t>
      </w:r>
    </w:p>
    <w:p w14:paraId="5CD96758" w14:textId="77777777" w:rsidR="00D63D23" w:rsidRPr="00023364" w:rsidRDefault="00D63D23" w:rsidP="00023364">
      <w:pPr>
        <w:pStyle w:val="NormalWeb"/>
        <w:spacing w:before="0" w:beforeAutospacing="0" w:after="0" w:afterAutospacing="0" w:line="360" w:lineRule="auto"/>
        <w:jc w:val="both"/>
        <w:rPr>
          <w:rFonts w:ascii="Arial" w:hAnsi="Arial" w:cs="Arial"/>
          <w:sz w:val="22"/>
        </w:rPr>
      </w:pPr>
      <w:r w:rsidRPr="00023364">
        <w:rPr>
          <w:rFonts w:ascii="Arial" w:hAnsi="Arial" w:cs="Arial"/>
          <w:sz w:val="22"/>
        </w:rPr>
        <w:t xml:space="preserve">There is growing discussion in mental health regarding whether Post-Traumatic Stress Disorder (PTSD) should be viewed solely as a psychiatric disorder or </w:t>
      </w:r>
      <w:proofErr w:type="spellStart"/>
      <w:r w:rsidRPr="00023364">
        <w:rPr>
          <w:rFonts w:ascii="Arial" w:hAnsi="Arial" w:cs="Arial"/>
          <w:sz w:val="22"/>
        </w:rPr>
        <w:t>recognised</w:t>
      </w:r>
      <w:proofErr w:type="spellEnd"/>
      <w:r w:rsidRPr="00023364">
        <w:rPr>
          <w:rFonts w:ascii="Arial" w:hAnsi="Arial" w:cs="Arial"/>
          <w:sz w:val="22"/>
        </w:rPr>
        <w:t xml:space="preserve"> as a variation of human </w:t>
      </w:r>
      <w:r w:rsidRPr="00023364">
        <w:rPr>
          <w:rFonts w:ascii="Arial" w:hAnsi="Arial" w:cs="Arial"/>
          <w:sz w:val="22"/>
        </w:rPr>
        <w:lastRenderedPageBreak/>
        <w:t xml:space="preserve">neurodiversity. Advocates of the neurodiversity perspective suggest that reactions to trauma represent natural human adaptation rather than pathological dysfunction (Chapman, 2022). From this perspective, increased alertness, strong emotions, and protective </w:t>
      </w:r>
      <w:proofErr w:type="spellStart"/>
      <w:r w:rsidRPr="00023364">
        <w:rPr>
          <w:rFonts w:ascii="Arial" w:hAnsi="Arial" w:cs="Arial"/>
          <w:sz w:val="22"/>
        </w:rPr>
        <w:t>behaviours</w:t>
      </w:r>
      <w:proofErr w:type="spellEnd"/>
      <w:r w:rsidRPr="00023364">
        <w:rPr>
          <w:rFonts w:ascii="Arial" w:hAnsi="Arial" w:cs="Arial"/>
          <w:sz w:val="22"/>
        </w:rPr>
        <w:t xml:space="preserve"> are considered normal survival responses to perceived threats (</w:t>
      </w:r>
      <w:proofErr w:type="spellStart"/>
      <w:r w:rsidRPr="00023364">
        <w:rPr>
          <w:rFonts w:ascii="Arial" w:hAnsi="Arial" w:cs="Arial"/>
          <w:sz w:val="22"/>
        </w:rPr>
        <w:t>Dell’Osso</w:t>
      </w:r>
      <w:proofErr w:type="spellEnd"/>
      <w:r w:rsidRPr="00023364">
        <w:rPr>
          <w:rFonts w:ascii="Arial" w:hAnsi="Arial" w:cs="Arial"/>
          <w:sz w:val="22"/>
        </w:rPr>
        <w:t xml:space="preserve"> and </w:t>
      </w:r>
      <w:proofErr w:type="spellStart"/>
      <w:r w:rsidRPr="00023364">
        <w:rPr>
          <w:rFonts w:ascii="Arial" w:hAnsi="Arial" w:cs="Arial"/>
          <w:sz w:val="22"/>
        </w:rPr>
        <w:t>Nemeroff</w:t>
      </w:r>
      <w:proofErr w:type="spellEnd"/>
      <w:r w:rsidRPr="00023364">
        <w:rPr>
          <w:rFonts w:ascii="Arial" w:hAnsi="Arial" w:cs="Arial"/>
          <w:sz w:val="22"/>
        </w:rPr>
        <w:t>, 2020). Some critics argue that defining trauma reactions as illness reinforces stigma and limits personal empowerment, while others believe that maintaining a diagnostic label remains vital for ensuring access to clinical care and legal safeguards (Jones, 2019).</w:t>
      </w:r>
    </w:p>
    <w:p w14:paraId="1B5E8572" w14:textId="77777777" w:rsidR="00D63D23" w:rsidRPr="00023364" w:rsidRDefault="00D63D23" w:rsidP="00023364">
      <w:pPr>
        <w:pStyle w:val="NormalWeb"/>
        <w:spacing w:before="0" w:beforeAutospacing="0" w:after="0" w:afterAutospacing="0" w:line="360" w:lineRule="auto"/>
        <w:jc w:val="both"/>
        <w:rPr>
          <w:rFonts w:ascii="Arial" w:hAnsi="Arial" w:cs="Arial"/>
          <w:sz w:val="22"/>
        </w:rPr>
      </w:pPr>
      <w:r w:rsidRPr="00023364">
        <w:rPr>
          <w:rFonts w:ascii="Arial" w:hAnsi="Arial" w:cs="Arial"/>
          <w:sz w:val="22"/>
        </w:rPr>
        <w:t xml:space="preserve">The International Classification of Diseases, Eleventh Revision (ICD 11), has influenced this debate by distinguishing between PTSD and Complex PTSD as related but distinct conditions (World Health Organization, 2022). </w:t>
      </w:r>
      <w:proofErr w:type="spellStart"/>
      <w:r w:rsidRPr="00023364">
        <w:rPr>
          <w:rFonts w:ascii="Arial" w:hAnsi="Arial" w:cs="Arial"/>
          <w:sz w:val="22"/>
        </w:rPr>
        <w:t>Brewin</w:t>
      </w:r>
      <w:proofErr w:type="spellEnd"/>
      <w:r w:rsidRPr="00023364">
        <w:rPr>
          <w:rFonts w:ascii="Arial" w:hAnsi="Arial" w:cs="Arial"/>
          <w:sz w:val="22"/>
        </w:rPr>
        <w:t xml:space="preserve">, </w:t>
      </w:r>
      <w:proofErr w:type="spellStart"/>
      <w:r w:rsidRPr="00023364">
        <w:rPr>
          <w:rFonts w:ascii="Arial" w:hAnsi="Arial" w:cs="Arial"/>
          <w:sz w:val="22"/>
        </w:rPr>
        <w:t>Cloitre</w:t>
      </w:r>
      <w:proofErr w:type="spellEnd"/>
      <w:r w:rsidRPr="00023364">
        <w:rPr>
          <w:rFonts w:ascii="Arial" w:hAnsi="Arial" w:cs="Arial"/>
          <w:sz w:val="22"/>
        </w:rPr>
        <w:t xml:space="preserve"> and </w:t>
      </w:r>
      <w:proofErr w:type="spellStart"/>
      <w:r w:rsidRPr="00023364">
        <w:rPr>
          <w:rFonts w:ascii="Arial" w:hAnsi="Arial" w:cs="Arial"/>
          <w:sz w:val="22"/>
        </w:rPr>
        <w:t>Hyland</w:t>
      </w:r>
      <w:proofErr w:type="spellEnd"/>
      <w:r w:rsidRPr="00023364">
        <w:rPr>
          <w:rFonts w:ascii="Arial" w:hAnsi="Arial" w:cs="Arial"/>
          <w:sz w:val="22"/>
        </w:rPr>
        <w:t xml:space="preserve"> (2021) view this distinction as an improvement in diagnostic accuracy and therapeutic focus. However, </w:t>
      </w:r>
      <w:proofErr w:type="spellStart"/>
      <w:r w:rsidRPr="00023364">
        <w:rPr>
          <w:rFonts w:ascii="Arial" w:hAnsi="Arial" w:cs="Arial"/>
          <w:sz w:val="22"/>
        </w:rPr>
        <w:t>Hyland</w:t>
      </w:r>
      <w:proofErr w:type="spellEnd"/>
      <w:r w:rsidRPr="00023364">
        <w:rPr>
          <w:rFonts w:ascii="Arial" w:hAnsi="Arial" w:cs="Arial"/>
          <w:sz w:val="22"/>
        </w:rPr>
        <w:t xml:space="preserve">, </w:t>
      </w:r>
      <w:proofErr w:type="spellStart"/>
      <w:r w:rsidRPr="00023364">
        <w:rPr>
          <w:rFonts w:ascii="Arial" w:hAnsi="Arial" w:cs="Arial"/>
          <w:sz w:val="22"/>
        </w:rPr>
        <w:t>Shevlin</w:t>
      </w:r>
      <w:proofErr w:type="spellEnd"/>
      <w:r w:rsidRPr="00023364">
        <w:rPr>
          <w:rFonts w:ascii="Arial" w:hAnsi="Arial" w:cs="Arial"/>
          <w:sz w:val="22"/>
        </w:rPr>
        <w:t xml:space="preserve"> and </w:t>
      </w:r>
      <w:proofErr w:type="spellStart"/>
      <w:r w:rsidRPr="00023364">
        <w:rPr>
          <w:rFonts w:ascii="Arial" w:hAnsi="Arial" w:cs="Arial"/>
          <w:sz w:val="22"/>
        </w:rPr>
        <w:t>Elklit</w:t>
      </w:r>
      <w:proofErr w:type="spellEnd"/>
      <w:r w:rsidRPr="00023364">
        <w:rPr>
          <w:rFonts w:ascii="Arial" w:hAnsi="Arial" w:cs="Arial"/>
          <w:sz w:val="22"/>
        </w:rPr>
        <w:t xml:space="preserve"> (2019) caution that this approach risks oversimplifying trauma’s complexity. Ongoing scholarly dialogue continues to refine the understanding of trauma, balancing clinical classification with a broader appreciation of human diversity and resilience.</w:t>
      </w:r>
    </w:p>
    <w:p w14:paraId="14321E2A" w14:textId="77777777" w:rsidR="002D42DE" w:rsidRPr="002D42DE" w:rsidRDefault="002D42DE" w:rsidP="002D42DE">
      <w:pPr>
        <w:pStyle w:val="Heading4"/>
        <w:spacing w:before="0" w:line="360" w:lineRule="auto"/>
        <w:jc w:val="both"/>
        <w:rPr>
          <w:rFonts w:ascii="Arial" w:hAnsi="Arial" w:cs="Arial"/>
          <w:color w:val="auto"/>
        </w:rPr>
      </w:pPr>
      <w:r w:rsidRPr="002D42DE">
        <w:rPr>
          <w:rStyle w:val="Strong"/>
          <w:rFonts w:ascii="Arial" w:hAnsi="Arial" w:cs="Arial"/>
          <w:b/>
          <w:bCs/>
          <w:color w:val="auto"/>
        </w:rPr>
        <w:t>4.2 Socio-Cultural Contexts and Lived Experiences</w:t>
      </w:r>
    </w:p>
    <w:p w14:paraId="61BBEA20" w14:textId="77777777" w:rsidR="002D42DE" w:rsidRPr="002D42DE" w:rsidRDefault="002D42DE" w:rsidP="002D42DE">
      <w:pPr>
        <w:pStyle w:val="NormalWeb"/>
        <w:spacing w:before="0" w:beforeAutospacing="0" w:after="0" w:afterAutospacing="0" w:line="360" w:lineRule="auto"/>
        <w:jc w:val="both"/>
        <w:rPr>
          <w:rFonts w:ascii="Arial" w:hAnsi="Arial" w:cs="Arial"/>
          <w:sz w:val="22"/>
          <w:szCs w:val="22"/>
        </w:rPr>
      </w:pPr>
      <w:r w:rsidRPr="002D42DE">
        <w:rPr>
          <w:rFonts w:ascii="Arial" w:hAnsi="Arial" w:cs="Arial"/>
          <w:sz w:val="22"/>
          <w:szCs w:val="22"/>
        </w:rPr>
        <w:t xml:space="preserve">Cultural and social influences strongly affect how PTSD is experienced and managed. Hinton and Lewis-Fernández (2018) point out that cultural values and belief systems shape how distress is described and interpreted. In certain societies, trauma is expressed through physical pain or spiritual disturbance rather than emotional suffering, which can lead to challenges in diagnosis when applying Western-based frameworks. </w:t>
      </w:r>
      <w:proofErr w:type="spellStart"/>
      <w:r w:rsidRPr="002D42DE">
        <w:rPr>
          <w:rFonts w:ascii="Arial" w:hAnsi="Arial" w:cs="Arial"/>
          <w:sz w:val="22"/>
          <w:szCs w:val="22"/>
        </w:rPr>
        <w:t>Kirmayer</w:t>
      </w:r>
      <w:proofErr w:type="spellEnd"/>
      <w:r w:rsidRPr="002D42DE">
        <w:rPr>
          <w:rFonts w:ascii="Arial" w:hAnsi="Arial" w:cs="Arial"/>
          <w:sz w:val="22"/>
          <w:szCs w:val="22"/>
        </w:rPr>
        <w:t xml:space="preserve"> and Pedersen (2020) observe that universal diagnostic systems such as the DSM and ICD may not always reflect the lived experiences of people from non-Western backgrounds, resulting in potential misinterpretation or </w:t>
      </w:r>
      <w:proofErr w:type="spellStart"/>
      <w:r w:rsidRPr="002D42DE">
        <w:rPr>
          <w:rFonts w:ascii="Arial" w:hAnsi="Arial" w:cs="Arial"/>
          <w:sz w:val="22"/>
          <w:szCs w:val="22"/>
        </w:rPr>
        <w:t>over-pathologisation</w:t>
      </w:r>
      <w:proofErr w:type="spellEnd"/>
      <w:r w:rsidRPr="002D42DE">
        <w:rPr>
          <w:rFonts w:ascii="Arial" w:hAnsi="Arial" w:cs="Arial"/>
          <w:sz w:val="22"/>
          <w:szCs w:val="22"/>
        </w:rPr>
        <w:t xml:space="preserve"> of normal cultural responses to stress.</w:t>
      </w:r>
    </w:p>
    <w:p w14:paraId="0111C8A9" w14:textId="77777777" w:rsidR="002D42DE" w:rsidRPr="002D42DE" w:rsidRDefault="002D42DE" w:rsidP="002D42DE">
      <w:pPr>
        <w:pStyle w:val="NormalWeb"/>
        <w:spacing w:before="0" w:beforeAutospacing="0" w:after="0" w:afterAutospacing="0" w:line="360" w:lineRule="auto"/>
        <w:jc w:val="both"/>
        <w:rPr>
          <w:rFonts w:ascii="Arial" w:hAnsi="Arial" w:cs="Arial"/>
          <w:sz w:val="22"/>
          <w:szCs w:val="22"/>
        </w:rPr>
      </w:pPr>
      <w:r w:rsidRPr="002D42DE">
        <w:rPr>
          <w:rFonts w:ascii="Arial" w:hAnsi="Arial" w:cs="Arial"/>
          <w:sz w:val="22"/>
          <w:szCs w:val="22"/>
        </w:rPr>
        <w:t>Social conditions also play a central role in shaping both exposure to trauma and access to support. Poverty, forced migration, and gender-related violence remain significant risk factors for PTSD and influence treatment outcomes (</w:t>
      </w:r>
      <w:proofErr w:type="spellStart"/>
      <w:r w:rsidRPr="002D42DE">
        <w:rPr>
          <w:rFonts w:ascii="Arial" w:hAnsi="Arial" w:cs="Arial"/>
          <w:sz w:val="22"/>
          <w:szCs w:val="22"/>
        </w:rPr>
        <w:t>Silove</w:t>
      </w:r>
      <w:proofErr w:type="spellEnd"/>
      <w:r w:rsidRPr="002D42DE">
        <w:rPr>
          <w:rFonts w:ascii="Arial" w:hAnsi="Arial" w:cs="Arial"/>
          <w:sz w:val="22"/>
          <w:szCs w:val="22"/>
        </w:rPr>
        <w:t xml:space="preserve">, </w:t>
      </w:r>
      <w:proofErr w:type="spellStart"/>
      <w:r w:rsidRPr="002D42DE">
        <w:rPr>
          <w:rFonts w:ascii="Arial" w:hAnsi="Arial" w:cs="Arial"/>
          <w:sz w:val="22"/>
          <w:szCs w:val="22"/>
        </w:rPr>
        <w:t>Ventevogel</w:t>
      </w:r>
      <w:proofErr w:type="spellEnd"/>
      <w:r w:rsidRPr="002D42DE">
        <w:rPr>
          <w:rFonts w:ascii="Arial" w:hAnsi="Arial" w:cs="Arial"/>
          <w:sz w:val="22"/>
          <w:szCs w:val="22"/>
        </w:rPr>
        <w:t xml:space="preserve"> and Rees, 2017). Some scholars argue that focusing only on individual symptoms can overlook the wider social injustices that often underpin trauma (Summerfield, 2019). In response, there is increasing interest in trauma recovery approaches that combine psychological care with community engagement, cultural rituals, and collective healing practices. Such strategies encourage empowerment and social restoration alongside symptom management.</w:t>
      </w:r>
    </w:p>
    <w:p w14:paraId="224BB89D" w14:textId="77777777" w:rsidR="002D42DE" w:rsidRPr="002D42DE" w:rsidRDefault="002D42DE" w:rsidP="002D42DE">
      <w:pPr>
        <w:pStyle w:val="Heading4"/>
        <w:spacing w:before="0" w:line="360" w:lineRule="auto"/>
        <w:jc w:val="both"/>
        <w:rPr>
          <w:rFonts w:ascii="Arial" w:hAnsi="Arial" w:cs="Arial"/>
          <w:color w:val="auto"/>
        </w:rPr>
      </w:pPr>
      <w:r w:rsidRPr="002D42DE">
        <w:rPr>
          <w:rStyle w:val="Strong"/>
          <w:rFonts w:ascii="Arial" w:hAnsi="Arial" w:cs="Arial"/>
          <w:b/>
          <w:bCs/>
          <w:color w:val="auto"/>
        </w:rPr>
        <w:t>4.3 Consequences for Practice and Policy Development</w:t>
      </w:r>
    </w:p>
    <w:p w14:paraId="4DF621DF" w14:textId="77777777" w:rsidR="002D42DE" w:rsidRPr="002D42DE" w:rsidRDefault="002D42DE" w:rsidP="002D42DE">
      <w:pPr>
        <w:pStyle w:val="NormalWeb"/>
        <w:spacing w:before="0" w:beforeAutospacing="0" w:after="0" w:afterAutospacing="0" w:line="360" w:lineRule="auto"/>
        <w:jc w:val="both"/>
        <w:rPr>
          <w:rFonts w:ascii="Arial" w:hAnsi="Arial" w:cs="Arial"/>
          <w:sz w:val="22"/>
          <w:szCs w:val="22"/>
        </w:rPr>
      </w:pPr>
      <w:r w:rsidRPr="002D42DE">
        <w:rPr>
          <w:rFonts w:ascii="Arial" w:hAnsi="Arial" w:cs="Arial"/>
          <w:sz w:val="22"/>
          <w:szCs w:val="22"/>
        </w:rPr>
        <w:t xml:space="preserve">Evolving debates about PTSD have direct implications for how services are delivered and policies are designed. Mental health professionals are now encouraged to use trauma-informed </w:t>
      </w:r>
      <w:r w:rsidRPr="002D42DE">
        <w:rPr>
          <w:rFonts w:ascii="Arial" w:hAnsi="Arial" w:cs="Arial"/>
          <w:sz w:val="22"/>
          <w:szCs w:val="22"/>
        </w:rPr>
        <w:lastRenderedPageBreak/>
        <w:t xml:space="preserve">and </w:t>
      </w:r>
      <w:proofErr w:type="spellStart"/>
      <w:r w:rsidRPr="002D42DE">
        <w:rPr>
          <w:rFonts w:ascii="Arial" w:hAnsi="Arial" w:cs="Arial"/>
          <w:sz w:val="22"/>
          <w:szCs w:val="22"/>
        </w:rPr>
        <w:t>person-centred</w:t>
      </w:r>
      <w:proofErr w:type="spellEnd"/>
      <w:r w:rsidRPr="002D42DE">
        <w:rPr>
          <w:rFonts w:ascii="Arial" w:hAnsi="Arial" w:cs="Arial"/>
          <w:sz w:val="22"/>
          <w:szCs w:val="22"/>
        </w:rPr>
        <w:t xml:space="preserve"> models of care that </w:t>
      </w:r>
      <w:proofErr w:type="spellStart"/>
      <w:r w:rsidRPr="002D42DE">
        <w:rPr>
          <w:rFonts w:ascii="Arial" w:hAnsi="Arial" w:cs="Arial"/>
          <w:sz w:val="22"/>
          <w:szCs w:val="22"/>
        </w:rPr>
        <w:t>emphasise</w:t>
      </w:r>
      <w:proofErr w:type="spellEnd"/>
      <w:r w:rsidRPr="002D42DE">
        <w:rPr>
          <w:rFonts w:ascii="Arial" w:hAnsi="Arial" w:cs="Arial"/>
          <w:sz w:val="22"/>
          <w:szCs w:val="22"/>
        </w:rPr>
        <w:t xml:space="preserve"> collaboration, safety, and empowerment (</w:t>
      </w:r>
      <w:proofErr w:type="spellStart"/>
      <w:r w:rsidRPr="002D42DE">
        <w:rPr>
          <w:rFonts w:ascii="Arial" w:hAnsi="Arial" w:cs="Arial"/>
          <w:sz w:val="22"/>
          <w:szCs w:val="22"/>
        </w:rPr>
        <w:t>Slade</w:t>
      </w:r>
      <w:proofErr w:type="spellEnd"/>
      <w:r w:rsidRPr="002D42DE">
        <w:rPr>
          <w:rFonts w:ascii="Arial" w:hAnsi="Arial" w:cs="Arial"/>
          <w:sz w:val="22"/>
          <w:szCs w:val="22"/>
        </w:rPr>
        <w:t xml:space="preserve">, </w:t>
      </w:r>
      <w:proofErr w:type="spellStart"/>
      <w:r w:rsidRPr="002D42DE">
        <w:rPr>
          <w:rFonts w:ascii="Arial" w:hAnsi="Arial" w:cs="Arial"/>
          <w:sz w:val="22"/>
          <w:szCs w:val="22"/>
        </w:rPr>
        <w:t>Amering</w:t>
      </w:r>
      <w:proofErr w:type="spellEnd"/>
      <w:r w:rsidRPr="002D42DE">
        <w:rPr>
          <w:rFonts w:ascii="Arial" w:hAnsi="Arial" w:cs="Arial"/>
          <w:sz w:val="22"/>
          <w:szCs w:val="22"/>
        </w:rPr>
        <w:t xml:space="preserve"> and </w:t>
      </w:r>
      <w:proofErr w:type="spellStart"/>
      <w:r w:rsidRPr="002D42DE">
        <w:rPr>
          <w:rFonts w:ascii="Arial" w:hAnsi="Arial" w:cs="Arial"/>
          <w:sz w:val="22"/>
          <w:szCs w:val="22"/>
        </w:rPr>
        <w:t>Oades</w:t>
      </w:r>
      <w:proofErr w:type="spellEnd"/>
      <w:r w:rsidRPr="002D42DE">
        <w:rPr>
          <w:rFonts w:ascii="Arial" w:hAnsi="Arial" w:cs="Arial"/>
          <w:sz w:val="22"/>
          <w:szCs w:val="22"/>
        </w:rPr>
        <w:t>, 2017). Policy frameworks are also gradually shifting to support earlier intervention and community-based care designed to prevent long-term disability. In the United Kingdom, these priorities are reflected in the national recommendations for PTSD management issued by the National Institute for Health and Care Excellence (2023).</w:t>
      </w:r>
    </w:p>
    <w:p w14:paraId="767E4E40" w14:textId="77777777" w:rsidR="002D42DE" w:rsidRPr="002D42DE" w:rsidRDefault="002D42DE" w:rsidP="002D42DE">
      <w:pPr>
        <w:pStyle w:val="NormalWeb"/>
        <w:spacing w:before="0" w:beforeAutospacing="0" w:after="0" w:afterAutospacing="0" w:line="360" w:lineRule="auto"/>
        <w:jc w:val="both"/>
        <w:rPr>
          <w:rFonts w:ascii="Arial" w:hAnsi="Arial" w:cs="Arial"/>
          <w:sz w:val="22"/>
          <w:szCs w:val="22"/>
        </w:rPr>
      </w:pPr>
      <w:r w:rsidRPr="002D42DE">
        <w:rPr>
          <w:rFonts w:ascii="Arial" w:hAnsi="Arial" w:cs="Arial"/>
          <w:sz w:val="22"/>
          <w:szCs w:val="22"/>
        </w:rPr>
        <w:t xml:space="preserve">At a systemic level, digital therapy, peer mentoring, and public awareness </w:t>
      </w:r>
      <w:proofErr w:type="spellStart"/>
      <w:r w:rsidRPr="002D42DE">
        <w:rPr>
          <w:rFonts w:ascii="Arial" w:hAnsi="Arial" w:cs="Arial"/>
          <w:sz w:val="22"/>
          <w:szCs w:val="22"/>
        </w:rPr>
        <w:t>programmes</w:t>
      </w:r>
      <w:proofErr w:type="spellEnd"/>
      <w:r w:rsidRPr="002D42DE">
        <w:rPr>
          <w:rFonts w:ascii="Arial" w:hAnsi="Arial" w:cs="Arial"/>
          <w:sz w:val="22"/>
          <w:szCs w:val="22"/>
        </w:rPr>
        <w:t xml:space="preserve"> are increasingly used to expand access to mental health services and reduce stigma (Wind, </w:t>
      </w:r>
      <w:proofErr w:type="spellStart"/>
      <w:r w:rsidRPr="002D42DE">
        <w:rPr>
          <w:rFonts w:ascii="Arial" w:hAnsi="Arial" w:cs="Arial"/>
          <w:sz w:val="22"/>
          <w:szCs w:val="22"/>
        </w:rPr>
        <w:t>Rijkeboer</w:t>
      </w:r>
      <w:proofErr w:type="spellEnd"/>
      <w:r w:rsidRPr="002D42DE">
        <w:rPr>
          <w:rFonts w:ascii="Arial" w:hAnsi="Arial" w:cs="Arial"/>
          <w:sz w:val="22"/>
          <w:szCs w:val="22"/>
        </w:rPr>
        <w:t xml:space="preserve"> and Andersson, 2020). Despite this progress, challenges persist in terms of funding, staff shortages, and uneven access to services, particularly in </w:t>
      </w:r>
      <w:proofErr w:type="spellStart"/>
      <w:r w:rsidRPr="002D42DE">
        <w:rPr>
          <w:rFonts w:ascii="Arial" w:hAnsi="Arial" w:cs="Arial"/>
          <w:sz w:val="22"/>
          <w:szCs w:val="22"/>
        </w:rPr>
        <w:t>marginalised</w:t>
      </w:r>
      <w:proofErr w:type="spellEnd"/>
      <w:r w:rsidRPr="002D42DE">
        <w:rPr>
          <w:rFonts w:ascii="Arial" w:hAnsi="Arial" w:cs="Arial"/>
          <w:sz w:val="22"/>
          <w:szCs w:val="22"/>
        </w:rPr>
        <w:t xml:space="preserve"> communities (Perkins, </w:t>
      </w:r>
      <w:proofErr w:type="spellStart"/>
      <w:r w:rsidRPr="002D42DE">
        <w:rPr>
          <w:rFonts w:ascii="Arial" w:hAnsi="Arial" w:cs="Arial"/>
          <w:sz w:val="22"/>
          <w:szCs w:val="22"/>
        </w:rPr>
        <w:t>Repper</w:t>
      </w:r>
      <w:proofErr w:type="spellEnd"/>
      <w:r w:rsidRPr="002D42DE">
        <w:rPr>
          <w:rFonts w:ascii="Arial" w:hAnsi="Arial" w:cs="Arial"/>
          <w:sz w:val="22"/>
          <w:szCs w:val="22"/>
        </w:rPr>
        <w:t xml:space="preserve"> and Rinaldi, 2020). For this reason, researchers and policymakers continue to call for stronger investment in culturally competent care and equitable service provision. Adopting these approaches may help bridge the gap between clinical knowledge and real-world experience, fostering more inclusive and compassionate responses to trauma.</w:t>
      </w:r>
    </w:p>
    <w:p w14:paraId="668CD480" w14:textId="77777777" w:rsidR="002D42DE" w:rsidRPr="002D42DE" w:rsidRDefault="002D42DE" w:rsidP="002D42DE">
      <w:pPr>
        <w:pStyle w:val="Heading3"/>
        <w:spacing w:before="0" w:beforeAutospacing="0" w:after="0" w:afterAutospacing="0" w:line="360" w:lineRule="auto"/>
        <w:jc w:val="both"/>
        <w:rPr>
          <w:rFonts w:ascii="Arial" w:hAnsi="Arial" w:cs="Arial"/>
          <w:sz w:val="22"/>
          <w:szCs w:val="22"/>
        </w:rPr>
      </w:pPr>
      <w:r w:rsidRPr="002D42DE">
        <w:rPr>
          <w:rStyle w:val="Strong"/>
          <w:rFonts w:ascii="Arial" w:hAnsi="Arial" w:cs="Arial"/>
          <w:b/>
          <w:bCs/>
          <w:sz w:val="22"/>
          <w:szCs w:val="22"/>
        </w:rPr>
        <w:t>5. Strategic Recommendations</w:t>
      </w:r>
    </w:p>
    <w:p w14:paraId="43C117E1" w14:textId="77777777" w:rsidR="002D42DE" w:rsidRPr="002D42DE" w:rsidRDefault="002D42DE" w:rsidP="002D42DE">
      <w:pPr>
        <w:pStyle w:val="NormalWeb"/>
        <w:spacing w:before="0" w:beforeAutospacing="0" w:after="0" w:afterAutospacing="0" w:line="360" w:lineRule="auto"/>
        <w:jc w:val="both"/>
        <w:rPr>
          <w:rFonts w:ascii="Arial" w:hAnsi="Arial" w:cs="Arial"/>
          <w:sz w:val="22"/>
          <w:szCs w:val="22"/>
        </w:rPr>
      </w:pPr>
      <w:r w:rsidRPr="002D42DE">
        <w:rPr>
          <w:rFonts w:ascii="Arial" w:hAnsi="Arial" w:cs="Arial"/>
          <w:sz w:val="22"/>
          <w:szCs w:val="22"/>
        </w:rPr>
        <w:t>Advancing the understanding and management of Post-Traumatic Stress Disorder requires the integration of biological, psychological, and sociocultural perspectives within both research and clinical practice. Future revisions of diagnostic systems should further refine the distinction between PTSD and complex trauma to ensure greater accuracy while incorporating cultural and contextual influences that shape individual experiences (World Health Organization, 2022; Hinton and Lewis-Fernández, 2018). Clinicians are encouraged to adopt culturally sensitive assessment tools and trauma-informed practices that promote empowerment and recovery rather than focusing solely on symptom reduction (</w:t>
      </w:r>
      <w:proofErr w:type="spellStart"/>
      <w:r w:rsidRPr="002D42DE">
        <w:rPr>
          <w:rFonts w:ascii="Arial" w:hAnsi="Arial" w:cs="Arial"/>
          <w:sz w:val="22"/>
          <w:szCs w:val="22"/>
        </w:rPr>
        <w:t>Slade</w:t>
      </w:r>
      <w:proofErr w:type="spellEnd"/>
      <w:r w:rsidRPr="002D42DE">
        <w:rPr>
          <w:rFonts w:ascii="Arial" w:hAnsi="Arial" w:cs="Arial"/>
          <w:sz w:val="22"/>
          <w:szCs w:val="22"/>
        </w:rPr>
        <w:t xml:space="preserve">, </w:t>
      </w:r>
      <w:proofErr w:type="spellStart"/>
      <w:r w:rsidRPr="002D42DE">
        <w:rPr>
          <w:rFonts w:ascii="Arial" w:hAnsi="Arial" w:cs="Arial"/>
          <w:sz w:val="22"/>
          <w:szCs w:val="22"/>
        </w:rPr>
        <w:t>Amering</w:t>
      </w:r>
      <w:proofErr w:type="spellEnd"/>
      <w:r w:rsidRPr="002D42DE">
        <w:rPr>
          <w:rFonts w:ascii="Arial" w:hAnsi="Arial" w:cs="Arial"/>
          <w:sz w:val="22"/>
          <w:szCs w:val="22"/>
        </w:rPr>
        <w:t xml:space="preserve"> and </w:t>
      </w:r>
      <w:proofErr w:type="spellStart"/>
      <w:r w:rsidRPr="002D42DE">
        <w:rPr>
          <w:rFonts w:ascii="Arial" w:hAnsi="Arial" w:cs="Arial"/>
          <w:sz w:val="22"/>
          <w:szCs w:val="22"/>
        </w:rPr>
        <w:t>Oades</w:t>
      </w:r>
      <w:proofErr w:type="spellEnd"/>
      <w:r w:rsidRPr="002D42DE">
        <w:rPr>
          <w:rFonts w:ascii="Arial" w:hAnsi="Arial" w:cs="Arial"/>
          <w:sz w:val="22"/>
          <w:szCs w:val="22"/>
        </w:rPr>
        <w:t>, 2017).</w:t>
      </w:r>
    </w:p>
    <w:p w14:paraId="61BDE35C" w14:textId="77777777" w:rsidR="002D42DE" w:rsidRPr="002D42DE" w:rsidRDefault="002D42DE" w:rsidP="002D42DE">
      <w:pPr>
        <w:pStyle w:val="NormalWeb"/>
        <w:spacing w:before="0" w:beforeAutospacing="0" w:after="0" w:afterAutospacing="0" w:line="360" w:lineRule="auto"/>
        <w:jc w:val="both"/>
        <w:rPr>
          <w:rFonts w:ascii="Arial" w:hAnsi="Arial" w:cs="Arial"/>
          <w:sz w:val="22"/>
          <w:szCs w:val="22"/>
        </w:rPr>
      </w:pPr>
      <w:r w:rsidRPr="002D42DE">
        <w:rPr>
          <w:rFonts w:ascii="Arial" w:hAnsi="Arial" w:cs="Arial"/>
          <w:sz w:val="22"/>
          <w:szCs w:val="22"/>
        </w:rPr>
        <w:t xml:space="preserve">Treatment approaches should combine pharmacological </w:t>
      </w:r>
      <w:proofErr w:type="spellStart"/>
      <w:r w:rsidRPr="002D42DE">
        <w:rPr>
          <w:rFonts w:ascii="Arial" w:hAnsi="Arial" w:cs="Arial"/>
          <w:sz w:val="22"/>
          <w:szCs w:val="22"/>
        </w:rPr>
        <w:t>stabilisation</w:t>
      </w:r>
      <w:proofErr w:type="spellEnd"/>
      <w:r w:rsidRPr="002D42DE">
        <w:rPr>
          <w:rFonts w:ascii="Arial" w:hAnsi="Arial" w:cs="Arial"/>
          <w:sz w:val="22"/>
          <w:szCs w:val="22"/>
        </w:rPr>
        <w:t xml:space="preserve"> with evidence-based psychological therapies, such as trauma-focused cognitive </w:t>
      </w:r>
      <w:proofErr w:type="spellStart"/>
      <w:r w:rsidRPr="002D42DE">
        <w:rPr>
          <w:rFonts w:ascii="Arial" w:hAnsi="Arial" w:cs="Arial"/>
          <w:sz w:val="22"/>
          <w:szCs w:val="22"/>
        </w:rPr>
        <w:t>behavioural</w:t>
      </w:r>
      <w:proofErr w:type="spellEnd"/>
      <w:r w:rsidRPr="002D42DE">
        <w:rPr>
          <w:rFonts w:ascii="Arial" w:hAnsi="Arial" w:cs="Arial"/>
          <w:sz w:val="22"/>
          <w:szCs w:val="22"/>
        </w:rPr>
        <w:t xml:space="preserve"> interventions and EMDR, alongside community support systems (Bisson, Cosgrove and Lewis, 2021). Rehabilitation should </w:t>
      </w:r>
      <w:proofErr w:type="spellStart"/>
      <w:r w:rsidRPr="002D42DE">
        <w:rPr>
          <w:rFonts w:ascii="Arial" w:hAnsi="Arial" w:cs="Arial"/>
          <w:sz w:val="22"/>
          <w:szCs w:val="22"/>
        </w:rPr>
        <w:t>prioritise</w:t>
      </w:r>
      <w:proofErr w:type="spellEnd"/>
      <w:r w:rsidRPr="002D42DE">
        <w:rPr>
          <w:rFonts w:ascii="Arial" w:hAnsi="Arial" w:cs="Arial"/>
          <w:sz w:val="22"/>
          <w:szCs w:val="22"/>
        </w:rPr>
        <w:t xml:space="preserve"> social inclusion, peer involvement, and accessible digital resources to overcome barriers to care (Wind, </w:t>
      </w:r>
      <w:proofErr w:type="spellStart"/>
      <w:r w:rsidRPr="002D42DE">
        <w:rPr>
          <w:rFonts w:ascii="Arial" w:hAnsi="Arial" w:cs="Arial"/>
          <w:sz w:val="22"/>
          <w:szCs w:val="22"/>
        </w:rPr>
        <w:t>Rijkeboer</w:t>
      </w:r>
      <w:proofErr w:type="spellEnd"/>
      <w:r w:rsidRPr="002D42DE">
        <w:rPr>
          <w:rFonts w:ascii="Arial" w:hAnsi="Arial" w:cs="Arial"/>
          <w:sz w:val="22"/>
          <w:szCs w:val="22"/>
        </w:rPr>
        <w:t xml:space="preserve"> and Andersson, 2020). At the policy level, greater investment in early intervention, workforce development, and public education is essential to reduce stigma and improve service capacity (Perkins, </w:t>
      </w:r>
      <w:proofErr w:type="spellStart"/>
      <w:r w:rsidRPr="002D42DE">
        <w:rPr>
          <w:rFonts w:ascii="Arial" w:hAnsi="Arial" w:cs="Arial"/>
          <w:sz w:val="22"/>
          <w:szCs w:val="22"/>
        </w:rPr>
        <w:t>Repper</w:t>
      </w:r>
      <w:proofErr w:type="spellEnd"/>
      <w:r w:rsidRPr="002D42DE">
        <w:rPr>
          <w:rFonts w:ascii="Arial" w:hAnsi="Arial" w:cs="Arial"/>
          <w:sz w:val="22"/>
          <w:szCs w:val="22"/>
        </w:rPr>
        <w:t xml:space="preserve"> and Rinaldi, 2020). Research should continue to explore the relationship between neurodiversity, culture, and trauma, supporting the development of more equitable and </w:t>
      </w:r>
      <w:proofErr w:type="spellStart"/>
      <w:r w:rsidRPr="002D42DE">
        <w:rPr>
          <w:rFonts w:ascii="Arial" w:hAnsi="Arial" w:cs="Arial"/>
          <w:sz w:val="22"/>
          <w:szCs w:val="22"/>
        </w:rPr>
        <w:t>person-centred</w:t>
      </w:r>
      <w:proofErr w:type="spellEnd"/>
      <w:r w:rsidRPr="002D42DE">
        <w:rPr>
          <w:rFonts w:ascii="Arial" w:hAnsi="Arial" w:cs="Arial"/>
          <w:sz w:val="22"/>
          <w:szCs w:val="22"/>
        </w:rPr>
        <w:t xml:space="preserve"> mental health systems that reflect the complexity of human responses to adversity.</w:t>
      </w:r>
    </w:p>
    <w:p w14:paraId="4CC82B58" w14:textId="77777777" w:rsidR="002D42DE" w:rsidRPr="002D42DE" w:rsidRDefault="002D42DE" w:rsidP="002D42DE">
      <w:pPr>
        <w:pStyle w:val="Heading3"/>
        <w:spacing w:before="0" w:beforeAutospacing="0" w:after="0" w:afterAutospacing="0" w:line="360" w:lineRule="auto"/>
        <w:jc w:val="both"/>
        <w:rPr>
          <w:rFonts w:ascii="Arial" w:hAnsi="Arial" w:cs="Arial"/>
          <w:sz w:val="22"/>
          <w:szCs w:val="22"/>
        </w:rPr>
      </w:pPr>
      <w:r w:rsidRPr="002D42DE">
        <w:rPr>
          <w:rStyle w:val="Strong"/>
          <w:rFonts w:ascii="Arial" w:hAnsi="Arial" w:cs="Arial"/>
          <w:b/>
          <w:bCs/>
          <w:sz w:val="22"/>
          <w:szCs w:val="22"/>
        </w:rPr>
        <w:t>6. Conclusion</w:t>
      </w:r>
    </w:p>
    <w:p w14:paraId="3633B087" w14:textId="77777777" w:rsidR="002D42DE" w:rsidRPr="002D42DE" w:rsidRDefault="002D42DE" w:rsidP="002D42DE">
      <w:pPr>
        <w:pStyle w:val="NormalWeb"/>
        <w:spacing w:before="0" w:beforeAutospacing="0" w:after="0" w:afterAutospacing="0" w:line="360" w:lineRule="auto"/>
        <w:jc w:val="both"/>
        <w:rPr>
          <w:rFonts w:ascii="Arial" w:hAnsi="Arial" w:cs="Arial"/>
          <w:sz w:val="22"/>
          <w:szCs w:val="22"/>
        </w:rPr>
      </w:pPr>
      <w:r w:rsidRPr="002D42DE">
        <w:rPr>
          <w:rFonts w:ascii="Arial" w:hAnsi="Arial" w:cs="Arial"/>
          <w:sz w:val="22"/>
          <w:szCs w:val="22"/>
        </w:rPr>
        <w:lastRenderedPageBreak/>
        <w:t xml:space="preserve">Post-Traumatic Stress Disorder continues to present significant challenges for diagnosis, treatment, and recovery across global mental health systems. While recent frameworks such as the ICD 11 have improved clinical understanding, continued progress depends on integrating biological, psychological, and cultural perspectives. Effective care must extend beyond symptom management to include empowerment, resilience, and social participation. Collaboration between clinicians, policymakers, and researchers is vital to enhance early intervention, cultural sensitivity, and equity within trauma services. Through such collective commitment, future approaches to PTSD can become more inclusive, evidence-informed, and </w:t>
      </w:r>
      <w:proofErr w:type="spellStart"/>
      <w:r w:rsidRPr="002D42DE">
        <w:rPr>
          <w:rFonts w:ascii="Arial" w:hAnsi="Arial" w:cs="Arial"/>
          <w:sz w:val="22"/>
          <w:szCs w:val="22"/>
        </w:rPr>
        <w:t>centred</w:t>
      </w:r>
      <w:proofErr w:type="spellEnd"/>
      <w:r w:rsidRPr="002D42DE">
        <w:rPr>
          <w:rFonts w:ascii="Arial" w:hAnsi="Arial" w:cs="Arial"/>
          <w:sz w:val="22"/>
          <w:szCs w:val="22"/>
        </w:rPr>
        <w:t xml:space="preserve"> on the lived experiences of those affected.</w:t>
      </w:r>
    </w:p>
    <w:p w14:paraId="7807F18C" w14:textId="77777777" w:rsidR="00D63D23" w:rsidRPr="0046037E" w:rsidRDefault="00D63D23" w:rsidP="0046037E">
      <w:pPr>
        <w:spacing w:line="360" w:lineRule="auto"/>
        <w:rPr>
          <w:rFonts w:ascii="Arial" w:hAnsi="Arial" w:cs="Arial"/>
          <w:sz w:val="18"/>
        </w:rPr>
      </w:pPr>
    </w:p>
    <w:p w14:paraId="63CA8523" w14:textId="77777777" w:rsidR="00F75649" w:rsidRPr="0046037E" w:rsidRDefault="00F75649" w:rsidP="0046037E">
      <w:pPr>
        <w:pStyle w:val="Heading2"/>
        <w:spacing w:before="0" w:line="360" w:lineRule="auto"/>
        <w:jc w:val="both"/>
        <w:rPr>
          <w:rFonts w:ascii="Arial" w:hAnsi="Arial" w:cs="Arial"/>
          <w:color w:val="auto"/>
          <w:sz w:val="22"/>
        </w:rPr>
      </w:pPr>
      <w:r w:rsidRPr="0046037E">
        <w:rPr>
          <w:rStyle w:val="Strong"/>
          <w:rFonts w:ascii="Arial" w:hAnsi="Arial" w:cs="Arial"/>
          <w:b/>
          <w:bCs/>
          <w:color w:val="auto"/>
          <w:sz w:val="22"/>
        </w:rPr>
        <w:t>References</w:t>
      </w:r>
    </w:p>
    <w:p w14:paraId="6B628487" w14:textId="77777777" w:rsidR="00F75649" w:rsidRPr="00F75649" w:rsidRDefault="00F75649" w:rsidP="0046037E">
      <w:pPr>
        <w:pStyle w:val="NormalWeb"/>
        <w:spacing w:before="0" w:beforeAutospacing="0" w:after="0" w:afterAutospacing="0" w:line="360" w:lineRule="auto"/>
        <w:jc w:val="both"/>
        <w:rPr>
          <w:rFonts w:ascii="Arial" w:hAnsi="Arial" w:cs="Arial"/>
          <w:sz w:val="22"/>
        </w:rPr>
      </w:pPr>
      <w:r w:rsidRPr="00F75649">
        <w:rPr>
          <w:rFonts w:ascii="Arial" w:hAnsi="Arial" w:cs="Arial"/>
          <w:sz w:val="22"/>
        </w:rPr>
        <w:t xml:space="preserve">Alexander, W. (2020) ‘Pharmacologic treatments for post-traumatic stress disorder: A review of evidence’, </w:t>
      </w:r>
      <w:r w:rsidRPr="00F75649">
        <w:rPr>
          <w:rStyle w:val="Emphasis"/>
          <w:rFonts w:ascii="Arial" w:eastAsiaTheme="majorEastAsia" w:hAnsi="Arial" w:cs="Arial"/>
          <w:sz w:val="22"/>
        </w:rPr>
        <w:t>Journal of Clinical Psychiatry</w:t>
      </w:r>
      <w:r w:rsidRPr="00F75649">
        <w:rPr>
          <w:rFonts w:ascii="Arial" w:hAnsi="Arial" w:cs="Arial"/>
          <w:sz w:val="22"/>
        </w:rPr>
        <w:t>, 81(4), pp. 1–8.</w:t>
      </w:r>
    </w:p>
    <w:p w14:paraId="3D830FB3"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r w:rsidRPr="00F75649">
        <w:rPr>
          <w:rFonts w:ascii="Arial" w:hAnsi="Arial" w:cs="Arial"/>
          <w:sz w:val="22"/>
        </w:rPr>
        <w:t xml:space="preserve">American Psychiatric Association (2022) </w:t>
      </w:r>
      <w:r w:rsidRPr="00F75649">
        <w:rPr>
          <w:rStyle w:val="Emphasis"/>
          <w:rFonts w:ascii="Arial" w:eastAsiaTheme="majorEastAsia" w:hAnsi="Arial" w:cs="Arial"/>
          <w:sz w:val="22"/>
        </w:rPr>
        <w:t>Diagnostic and Statistical Manual of Mental Disorders</w:t>
      </w:r>
      <w:r w:rsidRPr="00F75649">
        <w:rPr>
          <w:rFonts w:ascii="Arial" w:hAnsi="Arial" w:cs="Arial"/>
          <w:sz w:val="22"/>
        </w:rPr>
        <w:t>. 5th ed., text rev. Washington DC: American Psychiatric Association.</w:t>
      </w:r>
    </w:p>
    <w:p w14:paraId="67FE2C01"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proofErr w:type="spellStart"/>
      <w:r w:rsidRPr="00F75649">
        <w:rPr>
          <w:rFonts w:ascii="Arial" w:hAnsi="Arial" w:cs="Arial"/>
          <w:sz w:val="22"/>
        </w:rPr>
        <w:t>Bernardy</w:t>
      </w:r>
      <w:proofErr w:type="spellEnd"/>
      <w:r w:rsidRPr="00F75649">
        <w:rPr>
          <w:rFonts w:ascii="Arial" w:hAnsi="Arial" w:cs="Arial"/>
          <w:sz w:val="22"/>
        </w:rPr>
        <w:t xml:space="preserve">, N. C. and Friedman, M. J. (2019) ‘Pharmacological management of posttraumatic stress disorder’, </w:t>
      </w:r>
      <w:r w:rsidRPr="00F75649">
        <w:rPr>
          <w:rStyle w:val="Emphasis"/>
          <w:rFonts w:ascii="Arial" w:eastAsiaTheme="majorEastAsia" w:hAnsi="Arial" w:cs="Arial"/>
          <w:sz w:val="22"/>
        </w:rPr>
        <w:t>Psychiatric Clinics of North America</w:t>
      </w:r>
      <w:r w:rsidRPr="00F75649">
        <w:rPr>
          <w:rFonts w:ascii="Arial" w:hAnsi="Arial" w:cs="Arial"/>
          <w:sz w:val="22"/>
        </w:rPr>
        <w:t>, 42(3), pp. 349–363.</w:t>
      </w:r>
    </w:p>
    <w:p w14:paraId="1CEB045F"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r w:rsidRPr="00F75649">
        <w:rPr>
          <w:rFonts w:ascii="Arial" w:hAnsi="Arial" w:cs="Arial"/>
          <w:sz w:val="22"/>
        </w:rPr>
        <w:t xml:space="preserve">Bisson, J. I., Cosgrove, S. and Lewis, C. (2021) ‘Post-traumatic stress disorder’, </w:t>
      </w:r>
      <w:r w:rsidRPr="00F75649">
        <w:rPr>
          <w:rStyle w:val="Emphasis"/>
          <w:rFonts w:ascii="Arial" w:eastAsiaTheme="majorEastAsia" w:hAnsi="Arial" w:cs="Arial"/>
          <w:sz w:val="22"/>
        </w:rPr>
        <w:t>BMJ</w:t>
      </w:r>
      <w:r w:rsidRPr="00F75649">
        <w:rPr>
          <w:rFonts w:ascii="Arial" w:hAnsi="Arial" w:cs="Arial"/>
          <w:sz w:val="22"/>
        </w:rPr>
        <w:t>, 372, pp. 1–10.</w:t>
      </w:r>
    </w:p>
    <w:p w14:paraId="7F137A76"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proofErr w:type="spellStart"/>
      <w:r w:rsidRPr="00F75649">
        <w:rPr>
          <w:rFonts w:ascii="Arial" w:hAnsi="Arial" w:cs="Arial"/>
          <w:sz w:val="22"/>
        </w:rPr>
        <w:t>Brewin</w:t>
      </w:r>
      <w:proofErr w:type="spellEnd"/>
      <w:r w:rsidRPr="00F75649">
        <w:rPr>
          <w:rFonts w:ascii="Arial" w:hAnsi="Arial" w:cs="Arial"/>
          <w:sz w:val="22"/>
        </w:rPr>
        <w:t xml:space="preserve">, C. R., </w:t>
      </w:r>
      <w:proofErr w:type="spellStart"/>
      <w:r w:rsidRPr="00F75649">
        <w:rPr>
          <w:rFonts w:ascii="Arial" w:hAnsi="Arial" w:cs="Arial"/>
          <w:sz w:val="22"/>
        </w:rPr>
        <w:t>Cloitre</w:t>
      </w:r>
      <w:proofErr w:type="spellEnd"/>
      <w:r w:rsidRPr="00F75649">
        <w:rPr>
          <w:rFonts w:ascii="Arial" w:hAnsi="Arial" w:cs="Arial"/>
          <w:sz w:val="22"/>
        </w:rPr>
        <w:t xml:space="preserve">, M. and Hyland, P. (2021) ‘A review of current evidence on ICD-11 PTSD and complex PTSD’, </w:t>
      </w:r>
      <w:r w:rsidRPr="00F75649">
        <w:rPr>
          <w:rStyle w:val="Emphasis"/>
          <w:rFonts w:ascii="Arial" w:eastAsiaTheme="majorEastAsia" w:hAnsi="Arial" w:cs="Arial"/>
          <w:sz w:val="22"/>
        </w:rPr>
        <w:t>Clinical Psychology Review</w:t>
      </w:r>
      <w:r w:rsidRPr="00F75649">
        <w:rPr>
          <w:rFonts w:ascii="Arial" w:hAnsi="Arial" w:cs="Arial"/>
          <w:sz w:val="22"/>
        </w:rPr>
        <w:t>, 87, pp. 1–10.</w:t>
      </w:r>
    </w:p>
    <w:p w14:paraId="294E0BC9"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r w:rsidRPr="00F75649">
        <w:rPr>
          <w:rFonts w:ascii="Arial" w:hAnsi="Arial" w:cs="Arial"/>
          <w:sz w:val="22"/>
        </w:rPr>
        <w:t xml:space="preserve">Bryant, R. A., Nickerson, A. and Creamer, M. (2020) ‘Trauma recovery: From evidence-based treatment to integrated rehabilitation’, </w:t>
      </w:r>
      <w:r w:rsidRPr="00F75649">
        <w:rPr>
          <w:rStyle w:val="Emphasis"/>
          <w:rFonts w:ascii="Arial" w:eastAsiaTheme="majorEastAsia" w:hAnsi="Arial" w:cs="Arial"/>
          <w:sz w:val="22"/>
        </w:rPr>
        <w:t>Clinical Psychology Review</w:t>
      </w:r>
      <w:r w:rsidRPr="00F75649">
        <w:rPr>
          <w:rFonts w:ascii="Arial" w:hAnsi="Arial" w:cs="Arial"/>
          <w:sz w:val="22"/>
        </w:rPr>
        <w:t>, 82, pp. 101–114.</w:t>
      </w:r>
    </w:p>
    <w:p w14:paraId="3226EEB8"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r w:rsidRPr="00F75649">
        <w:rPr>
          <w:rFonts w:ascii="Arial" w:hAnsi="Arial" w:cs="Arial"/>
          <w:sz w:val="22"/>
        </w:rPr>
        <w:t xml:space="preserve">Chapman, R. (2022) </w:t>
      </w:r>
      <w:r w:rsidRPr="00F75649">
        <w:rPr>
          <w:rStyle w:val="Emphasis"/>
          <w:rFonts w:ascii="Arial" w:eastAsiaTheme="majorEastAsia" w:hAnsi="Arial" w:cs="Arial"/>
          <w:sz w:val="22"/>
        </w:rPr>
        <w:t>Neurodiversity and the Social Model of Madness</w:t>
      </w:r>
      <w:r w:rsidRPr="00F75649">
        <w:rPr>
          <w:rFonts w:ascii="Arial" w:hAnsi="Arial" w:cs="Arial"/>
          <w:sz w:val="22"/>
        </w:rPr>
        <w:t>. London: Palgrave Macmillan.</w:t>
      </w:r>
    </w:p>
    <w:p w14:paraId="1AA0D460"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proofErr w:type="spellStart"/>
      <w:r w:rsidRPr="00F75649">
        <w:rPr>
          <w:rFonts w:ascii="Arial" w:hAnsi="Arial" w:cs="Arial"/>
          <w:sz w:val="22"/>
        </w:rPr>
        <w:t>Cloitre</w:t>
      </w:r>
      <w:proofErr w:type="spellEnd"/>
      <w:r w:rsidRPr="00F75649">
        <w:rPr>
          <w:rFonts w:ascii="Arial" w:hAnsi="Arial" w:cs="Arial"/>
          <w:sz w:val="22"/>
        </w:rPr>
        <w:t xml:space="preserve">, M., </w:t>
      </w:r>
      <w:proofErr w:type="spellStart"/>
      <w:r w:rsidRPr="00F75649">
        <w:rPr>
          <w:rFonts w:ascii="Arial" w:hAnsi="Arial" w:cs="Arial"/>
          <w:sz w:val="22"/>
        </w:rPr>
        <w:t>Courtois</w:t>
      </w:r>
      <w:proofErr w:type="spellEnd"/>
      <w:r w:rsidRPr="00F75649">
        <w:rPr>
          <w:rFonts w:ascii="Arial" w:hAnsi="Arial" w:cs="Arial"/>
          <w:sz w:val="22"/>
        </w:rPr>
        <w:t xml:space="preserve">, C. A. and Ford, J. D. (2020) ‘Complex PTSD: Assessment and treatment considerations’, </w:t>
      </w:r>
      <w:r w:rsidRPr="00F75649">
        <w:rPr>
          <w:rStyle w:val="Emphasis"/>
          <w:rFonts w:ascii="Arial" w:eastAsiaTheme="majorEastAsia" w:hAnsi="Arial" w:cs="Arial"/>
          <w:sz w:val="22"/>
        </w:rPr>
        <w:t>Depression and Anxiety</w:t>
      </w:r>
      <w:r w:rsidRPr="00F75649">
        <w:rPr>
          <w:rFonts w:ascii="Arial" w:hAnsi="Arial" w:cs="Arial"/>
          <w:sz w:val="22"/>
        </w:rPr>
        <w:t>, 37(8), pp. 707–717.</w:t>
      </w:r>
    </w:p>
    <w:p w14:paraId="27001DF3"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proofErr w:type="spellStart"/>
      <w:r w:rsidRPr="00F75649">
        <w:rPr>
          <w:rFonts w:ascii="Arial" w:hAnsi="Arial" w:cs="Arial"/>
          <w:sz w:val="22"/>
        </w:rPr>
        <w:t>Dell’Osso</w:t>
      </w:r>
      <w:proofErr w:type="spellEnd"/>
      <w:r w:rsidRPr="00F75649">
        <w:rPr>
          <w:rFonts w:ascii="Arial" w:hAnsi="Arial" w:cs="Arial"/>
          <w:sz w:val="22"/>
        </w:rPr>
        <w:t xml:space="preserve">, L. and </w:t>
      </w:r>
      <w:proofErr w:type="spellStart"/>
      <w:r w:rsidRPr="00F75649">
        <w:rPr>
          <w:rFonts w:ascii="Arial" w:hAnsi="Arial" w:cs="Arial"/>
          <w:sz w:val="22"/>
        </w:rPr>
        <w:t>Nemeroff</w:t>
      </w:r>
      <w:proofErr w:type="spellEnd"/>
      <w:r w:rsidRPr="00F75649">
        <w:rPr>
          <w:rFonts w:ascii="Arial" w:hAnsi="Arial" w:cs="Arial"/>
          <w:sz w:val="22"/>
        </w:rPr>
        <w:t xml:space="preserve">, C. B. (2020) ‘The role of stress and neuroplasticity in the pathophysiology of PTSD’, </w:t>
      </w:r>
      <w:r w:rsidRPr="00F75649">
        <w:rPr>
          <w:rStyle w:val="Emphasis"/>
          <w:rFonts w:ascii="Arial" w:eastAsiaTheme="majorEastAsia" w:hAnsi="Arial" w:cs="Arial"/>
          <w:sz w:val="22"/>
        </w:rPr>
        <w:t xml:space="preserve">European </w:t>
      </w:r>
      <w:proofErr w:type="spellStart"/>
      <w:r w:rsidRPr="00F75649">
        <w:rPr>
          <w:rStyle w:val="Emphasis"/>
          <w:rFonts w:ascii="Arial" w:eastAsiaTheme="majorEastAsia" w:hAnsi="Arial" w:cs="Arial"/>
          <w:sz w:val="22"/>
        </w:rPr>
        <w:t>Neuropsychopharmacology</w:t>
      </w:r>
      <w:proofErr w:type="spellEnd"/>
      <w:r w:rsidRPr="00F75649">
        <w:rPr>
          <w:rFonts w:ascii="Arial" w:hAnsi="Arial" w:cs="Arial"/>
          <w:sz w:val="22"/>
        </w:rPr>
        <w:t>, 40, pp. 87–98.</w:t>
      </w:r>
    </w:p>
    <w:p w14:paraId="4A89BA29"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proofErr w:type="spellStart"/>
      <w:r w:rsidRPr="00F75649">
        <w:rPr>
          <w:rFonts w:ascii="Arial" w:hAnsi="Arial" w:cs="Arial"/>
          <w:sz w:val="22"/>
        </w:rPr>
        <w:t>Galatzer-Levy</w:t>
      </w:r>
      <w:proofErr w:type="spellEnd"/>
      <w:r w:rsidRPr="00F75649">
        <w:rPr>
          <w:rFonts w:ascii="Arial" w:hAnsi="Arial" w:cs="Arial"/>
          <w:sz w:val="22"/>
        </w:rPr>
        <w:t xml:space="preserve">, I. R., Bryant, R. A. and </w:t>
      </w:r>
      <w:proofErr w:type="spellStart"/>
      <w:r w:rsidRPr="00F75649">
        <w:rPr>
          <w:rFonts w:ascii="Arial" w:hAnsi="Arial" w:cs="Arial"/>
          <w:sz w:val="22"/>
        </w:rPr>
        <w:t>Bonanno</w:t>
      </w:r>
      <w:proofErr w:type="spellEnd"/>
      <w:r w:rsidRPr="00F75649">
        <w:rPr>
          <w:rFonts w:ascii="Arial" w:hAnsi="Arial" w:cs="Arial"/>
          <w:sz w:val="22"/>
        </w:rPr>
        <w:t xml:space="preserve">, G. A. (2018) ‘Resilience and recovery following trauma’, </w:t>
      </w:r>
      <w:r w:rsidRPr="00F75649">
        <w:rPr>
          <w:rStyle w:val="Emphasis"/>
          <w:rFonts w:ascii="Arial" w:eastAsiaTheme="majorEastAsia" w:hAnsi="Arial" w:cs="Arial"/>
          <w:sz w:val="22"/>
        </w:rPr>
        <w:t>Annual Review of Clinical Psychology</w:t>
      </w:r>
      <w:r w:rsidRPr="00F75649">
        <w:rPr>
          <w:rFonts w:ascii="Arial" w:hAnsi="Arial" w:cs="Arial"/>
          <w:sz w:val="22"/>
        </w:rPr>
        <w:t>, 14, pp. 497–520.</w:t>
      </w:r>
    </w:p>
    <w:p w14:paraId="20B78A4B"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r w:rsidRPr="00F75649">
        <w:rPr>
          <w:rFonts w:ascii="Arial" w:hAnsi="Arial" w:cs="Arial"/>
          <w:sz w:val="22"/>
        </w:rPr>
        <w:t xml:space="preserve">Greene, T., </w:t>
      </w:r>
      <w:proofErr w:type="spellStart"/>
      <w:r w:rsidRPr="00F75649">
        <w:rPr>
          <w:rFonts w:ascii="Arial" w:hAnsi="Arial" w:cs="Arial"/>
          <w:sz w:val="22"/>
        </w:rPr>
        <w:t>Gelkopf</w:t>
      </w:r>
      <w:proofErr w:type="spellEnd"/>
      <w:r w:rsidRPr="00F75649">
        <w:rPr>
          <w:rFonts w:ascii="Arial" w:hAnsi="Arial" w:cs="Arial"/>
          <w:sz w:val="22"/>
        </w:rPr>
        <w:t xml:space="preserve">, M. and Fried, E. (2020) ‘Mental health, stigma, and help-seeking among trauma survivors’, </w:t>
      </w:r>
      <w:r w:rsidRPr="00F75649">
        <w:rPr>
          <w:rStyle w:val="Emphasis"/>
          <w:rFonts w:ascii="Arial" w:eastAsiaTheme="majorEastAsia" w:hAnsi="Arial" w:cs="Arial"/>
          <w:sz w:val="22"/>
        </w:rPr>
        <w:t>Psychological Medicine</w:t>
      </w:r>
      <w:r w:rsidRPr="00F75649">
        <w:rPr>
          <w:rFonts w:ascii="Arial" w:hAnsi="Arial" w:cs="Arial"/>
          <w:sz w:val="22"/>
        </w:rPr>
        <w:t>, 50(5), pp. 801–810.</w:t>
      </w:r>
    </w:p>
    <w:p w14:paraId="3C411917"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r w:rsidRPr="00F75649">
        <w:rPr>
          <w:rFonts w:ascii="Arial" w:hAnsi="Arial" w:cs="Arial"/>
          <w:sz w:val="22"/>
        </w:rPr>
        <w:lastRenderedPageBreak/>
        <w:t xml:space="preserve">Hinton, D. E. and Lewis-Fernández, R. (2018) ‘Cultural concepts of distress and their relationship to PTSD: Implications for diagnosis and treatment’, </w:t>
      </w:r>
      <w:r w:rsidRPr="00F75649">
        <w:rPr>
          <w:rStyle w:val="Emphasis"/>
          <w:rFonts w:ascii="Arial" w:eastAsiaTheme="majorEastAsia" w:hAnsi="Arial" w:cs="Arial"/>
          <w:sz w:val="22"/>
        </w:rPr>
        <w:t>World Psychiatry</w:t>
      </w:r>
      <w:r w:rsidRPr="00F75649">
        <w:rPr>
          <w:rFonts w:ascii="Arial" w:hAnsi="Arial" w:cs="Arial"/>
          <w:sz w:val="22"/>
        </w:rPr>
        <w:t>, 17(3), pp. 315–332.</w:t>
      </w:r>
    </w:p>
    <w:p w14:paraId="286C69E3"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r w:rsidRPr="00F75649">
        <w:rPr>
          <w:rFonts w:ascii="Arial" w:hAnsi="Arial" w:cs="Arial"/>
          <w:sz w:val="22"/>
        </w:rPr>
        <w:t xml:space="preserve">Hoskins, M., Pearce, J. and </w:t>
      </w:r>
      <w:proofErr w:type="spellStart"/>
      <w:r w:rsidRPr="00F75649">
        <w:rPr>
          <w:rFonts w:ascii="Arial" w:hAnsi="Arial" w:cs="Arial"/>
          <w:sz w:val="22"/>
        </w:rPr>
        <w:t>Bethell</w:t>
      </w:r>
      <w:proofErr w:type="spellEnd"/>
      <w:r w:rsidRPr="00F75649">
        <w:rPr>
          <w:rFonts w:ascii="Arial" w:hAnsi="Arial" w:cs="Arial"/>
          <w:sz w:val="22"/>
        </w:rPr>
        <w:t xml:space="preserve">, A. (2021) ‘Pharmacotherapy for post-traumatic stress disorder: Systematic review and meta-analysis’, </w:t>
      </w:r>
      <w:r w:rsidRPr="00F75649">
        <w:rPr>
          <w:rStyle w:val="Emphasis"/>
          <w:rFonts w:ascii="Arial" w:eastAsiaTheme="majorEastAsia" w:hAnsi="Arial" w:cs="Arial"/>
          <w:sz w:val="22"/>
        </w:rPr>
        <w:t>British Journal of Psychiatry</w:t>
      </w:r>
      <w:r w:rsidRPr="00F75649">
        <w:rPr>
          <w:rFonts w:ascii="Arial" w:hAnsi="Arial" w:cs="Arial"/>
          <w:sz w:val="22"/>
        </w:rPr>
        <w:t>, 218(2), pp. 101–113.</w:t>
      </w:r>
    </w:p>
    <w:p w14:paraId="6226FDD5"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r w:rsidRPr="00F75649">
        <w:rPr>
          <w:rFonts w:ascii="Arial" w:hAnsi="Arial" w:cs="Arial"/>
          <w:sz w:val="22"/>
        </w:rPr>
        <w:t xml:space="preserve">Hyland, P., </w:t>
      </w:r>
      <w:proofErr w:type="spellStart"/>
      <w:r w:rsidRPr="00F75649">
        <w:rPr>
          <w:rFonts w:ascii="Arial" w:hAnsi="Arial" w:cs="Arial"/>
          <w:sz w:val="22"/>
        </w:rPr>
        <w:t>Shevlin</w:t>
      </w:r>
      <w:proofErr w:type="spellEnd"/>
      <w:r w:rsidRPr="00F75649">
        <w:rPr>
          <w:rFonts w:ascii="Arial" w:hAnsi="Arial" w:cs="Arial"/>
          <w:sz w:val="22"/>
        </w:rPr>
        <w:t xml:space="preserve">, M. and </w:t>
      </w:r>
      <w:proofErr w:type="spellStart"/>
      <w:r w:rsidRPr="00F75649">
        <w:rPr>
          <w:rFonts w:ascii="Arial" w:hAnsi="Arial" w:cs="Arial"/>
          <w:sz w:val="22"/>
        </w:rPr>
        <w:t>Elklit</w:t>
      </w:r>
      <w:proofErr w:type="spellEnd"/>
      <w:r w:rsidRPr="00F75649">
        <w:rPr>
          <w:rFonts w:ascii="Arial" w:hAnsi="Arial" w:cs="Arial"/>
          <w:sz w:val="22"/>
        </w:rPr>
        <w:t xml:space="preserve">, A. (2019) ‘A critical evaluation of ICD-11 PTSD: Implications for assessment and treatment’, </w:t>
      </w:r>
      <w:r w:rsidRPr="00F75649">
        <w:rPr>
          <w:rStyle w:val="Emphasis"/>
          <w:rFonts w:ascii="Arial" w:eastAsiaTheme="majorEastAsia" w:hAnsi="Arial" w:cs="Arial"/>
          <w:sz w:val="22"/>
        </w:rPr>
        <w:t xml:space="preserve">European Journal of </w:t>
      </w:r>
      <w:proofErr w:type="spellStart"/>
      <w:r w:rsidRPr="00F75649">
        <w:rPr>
          <w:rStyle w:val="Emphasis"/>
          <w:rFonts w:ascii="Arial" w:eastAsiaTheme="majorEastAsia" w:hAnsi="Arial" w:cs="Arial"/>
          <w:sz w:val="22"/>
        </w:rPr>
        <w:t>Psychotraumatology</w:t>
      </w:r>
      <w:proofErr w:type="spellEnd"/>
      <w:r w:rsidRPr="00F75649">
        <w:rPr>
          <w:rFonts w:ascii="Arial" w:hAnsi="Arial" w:cs="Arial"/>
          <w:sz w:val="22"/>
        </w:rPr>
        <w:t>, 10(1), pp. 1–12.</w:t>
      </w:r>
    </w:p>
    <w:p w14:paraId="0CE4C274"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r w:rsidRPr="00F75649">
        <w:rPr>
          <w:rFonts w:ascii="Arial" w:hAnsi="Arial" w:cs="Arial"/>
          <w:sz w:val="22"/>
        </w:rPr>
        <w:t xml:space="preserve">Jones, E. (2019) ‘Post-traumatic stress disorder: Historical development and future directions’, </w:t>
      </w:r>
      <w:r w:rsidRPr="00F75649">
        <w:rPr>
          <w:rStyle w:val="Emphasis"/>
          <w:rFonts w:ascii="Arial" w:eastAsiaTheme="majorEastAsia" w:hAnsi="Arial" w:cs="Arial"/>
          <w:sz w:val="22"/>
        </w:rPr>
        <w:t>British Journal of Psychiatry</w:t>
      </w:r>
      <w:r w:rsidRPr="00F75649">
        <w:rPr>
          <w:rFonts w:ascii="Arial" w:hAnsi="Arial" w:cs="Arial"/>
          <w:sz w:val="22"/>
        </w:rPr>
        <w:t>, 214(6), pp. 329–335.</w:t>
      </w:r>
    </w:p>
    <w:p w14:paraId="3F048919"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proofErr w:type="spellStart"/>
      <w:r w:rsidRPr="00F75649">
        <w:rPr>
          <w:rFonts w:ascii="Arial" w:hAnsi="Arial" w:cs="Arial"/>
          <w:sz w:val="22"/>
        </w:rPr>
        <w:t>Kirmayer</w:t>
      </w:r>
      <w:proofErr w:type="spellEnd"/>
      <w:r w:rsidRPr="00F75649">
        <w:rPr>
          <w:rFonts w:ascii="Arial" w:hAnsi="Arial" w:cs="Arial"/>
          <w:sz w:val="22"/>
        </w:rPr>
        <w:t xml:space="preserve">, L. J. and Pedersen, D. (2020) ‘Toward a new architecture for global mental health’, </w:t>
      </w:r>
      <w:r w:rsidRPr="00F75649">
        <w:rPr>
          <w:rStyle w:val="Emphasis"/>
          <w:rFonts w:ascii="Arial" w:eastAsiaTheme="majorEastAsia" w:hAnsi="Arial" w:cs="Arial"/>
          <w:sz w:val="22"/>
        </w:rPr>
        <w:t>Transcultural Psychiatry</w:t>
      </w:r>
      <w:r w:rsidRPr="00F75649">
        <w:rPr>
          <w:rFonts w:ascii="Arial" w:hAnsi="Arial" w:cs="Arial"/>
          <w:sz w:val="22"/>
        </w:rPr>
        <w:t>, 57(1), pp. 3–23.</w:t>
      </w:r>
    </w:p>
    <w:p w14:paraId="2C0C5D53"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proofErr w:type="spellStart"/>
      <w:r w:rsidRPr="00F75649">
        <w:rPr>
          <w:rFonts w:ascii="Arial" w:hAnsi="Arial" w:cs="Arial"/>
          <w:sz w:val="22"/>
        </w:rPr>
        <w:t>Kitchiner</w:t>
      </w:r>
      <w:proofErr w:type="spellEnd"/>
      <w:r w:rsidRPr="00F75649">
        <w:rPr>
          <w:rFonts w:ascii="Arial" w:hAnsi="Arial" w:cs="Arial"/>
          <w:sz w:val="22"/>
        </w:rPr>
        <w:t xml:space="preserve">, N. J., Lewis, C. and Roberts, N. P. (2019) ‘Community-based interventions for trauma survivors: A systematic review’, </w:t>
      </w:r>
      <w:r w:rsidRPr="00F75649">
        <w:rPr>
          <w:rStyle w:val="Emphasis"/>
          <w:rFonts w:ascii="Arial" w:eastAsiaTheme="majorEastAsia" w:hAnsi="Arial" w:cs="Arial"/>
          <w:sz w:val="22"/>
        </w:rPr>
        <w:t xml:space="preserve">European Journal of </w:t>
      </w:r>
      <w:proofErr w:type="spellStart"/>
      <w:r w:rsidRPr="00F75649">
        <w:rPr>
          <w:rStyle w:val="Emphasis"/>
          <w:rFonts w:ascii="Arial" w:eastAsiaTheme="majorEastAsia" w:hAnsi="Arial" w:cs="Arial"/>
          <w:sz w:val="22"/>
        </w:rPr>
        <w:t>Psychotraumatology</w:t>
      </w:r>
      <w:proofErr w:type="spellEnd"/>
      <w:r w:rsidRPr="00F75649">
        <w:rPr>
          <w:rFonts w:ascii="Arial" w:hAnsi="Arial" w:cs="Arial"/>
          <w:sz w:val="22"/>
        </w:rPr>
        <w:t>, 10(1), pp. 1–14.</w:t>
      </w:r>
    </w:p>
    <w:p w14:paraId="7164F970"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r w:rsidRPr="00F75649">
        <w:rPr>
          <w:rFonts w:ascii="Arial" w:hAnsi="Arial" w:cs="Arial"/>
          <w:sz w:val="22"/>
        </w:rPr>
        <w:t xml:space="preserve">Krystal, J. H. and Davis, L. L. (2020) ‘Pharmacotherapy for chronic PTSD: Current status and future directions’, </w:t>
      </w:r>
      <w:r w:rsidRPr="00F75649">
        <w:rPr>
          <w:rStyle w:val="Emphasis"/>
          <w:rFonts w:ascii="Arial" w:eastAsiaTheme="majorEastAsia" w:hAnsi="Arial" w:cs="Arial"/>
          <w:sz w:val="22"/>
        </w:rPr>
        <w:t>World Psychiatry</w:t>
      </w:r>
      <w:r w:rsidRPr="00F75649">
        <w:rPr>
          <w:rFonts w:ascii="Arial" w:hAnsi="Arial" w:cs="Arial"/>
          <w:sz w:val="22"/>
        </w:rPr>
        <w:t>, 19(3), pp. 359–375.</w:t>
      </w:r>
    </w:p>
    <w:p w14:paraId="49C2380C"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r w:rsidRPr="00F75649">
        <w:rPr>
          <w:rFonts w:ascii="Arial" w:hAnsi="Arial" w:cs="Arial"/>
          <w:sz w:val="22"/>
        </w:rPr>
        <w:t xml:space="preserve">National Institute for Health and Care Excellence (NICE) (2023) </w:t>
      </w:r>
      <w:r w:rsidRPr="00F75649">
        <w:rPr>
          <w:rStyle w:val="Emphasis"/>
          <w:rFonts w:ascii="Arial" w:eastAsiaTheme="majorEastAsia" w:hAnsi="Arial" w:cs="Arial"/>
          <w:sz w:val="22"/>
        </w:rPr>
        <w:t>Post-traumatic Stress Disorder: Management</w:t>
      </w:r>
      <w:r w:rsidRPr="00F75649">
        <w:rPr>
          <w:rFonts w:ascii="Arial" w:hAnsi="Arial" w:cs="Arial"/>
          <w:sz w:val="22"/>
        </w:rPr>
        <w:t>. NICE Guideline NG116. London: NICE.</w:t>
      </w:r>
    </w:p>
    <w:p w14:paraId="3AECEFAA"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r w:rsidRPr="00F75649">
        <w:rPr>
          <w:rFonts w:ascii="Arial" w:hAnsi="Arial" w:cs="Arial"/>
          <w:sz w:val="22"/>
        </w:rPr>
        <w:t xml:space="preserve">Perkins, R., </w:t>
      </w:r>
      <w:proofErr w:type="spellStart"/>
      <w:r w:rsidRPr="00F75649">
        <w:rPr>
          <w:rFonts w:ascii="Arial" w:hAnsi="Arial" w:cs="Arial"/>
          <w:sz w:val="22"/>
        </w:rPr>
        <w:t>Repper</w:t>
      </w:r>
      <w:proofErr w:type="spellEnd"/>
      <w:r w:rsidRPr="00F75649">
        <w:rPr>
          <w:rFonts w:ascii="Arial" w:hAnsi="Arial" w:cs="Arial"/>
          <w:sz w:val="22"/>
        </w:rPr>
        <w:t xml:space="preserve">, J. and Rinaldi, M. (2020) ‘Recovery and social inclusion: Policy and practice’, </w:t>
      </w:r>
      <w:r w:rsidRPr="00F75649">
        <w:rPr>
          <w:rStyle w:val="Emphasis"/>
          <w:rFonts w:ascii="Arial" w:eastAsiaTheme="majorEastAsia" w:hAnsi="Arial" w:cs="Arial"/>
          <w:sz w:val="22"/>
        </w:rPr>
        <w:t>Mental Health and Social Inclusion</w:t>
      </w:r>
      <w:r w:rsidRPr="00F75649">
        <w:rPr>
          <w:rFonts w:ascii="Arial" w:hAnsi="Arial" w:cs="Arial"/>
          <w:sz w:val="22"/>
        </w:rPr>
        <w:t>, 24(3), pp. 131–141.</w:t>
      </w:r>
    </w:p>
    <w:p w14:paraId="2EB3154A"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proofErr w:type="spellStart"/>
      <w:r w:rsidRPr="00F75649">
        <w:rPr>
          <w:rFonts w:ascii="Arial" w:hAnsi="Arial" w:cs="Arial"/>
          <w:sz w:val="22"/>
        </w:rPr>
        <w:t>Silove</w:t>
      </w:r>
      <w:proofErr w:type="spellEnd"/>
      <w:r w:rsidRPr="00F75649">
        <w:rPr>
          <w:rFonts w:ascii="Arial" w:hAnsi="Arial" w:cs="Arial"/>
          <w:sz w:val="22"/>
        </w:rPr>
        <w:t xml:space="preserve">, D., </w:t>
      </w:r>
      <w:proofErr w:type="spellStart"/>
      <w:r w:rsidRPr="00F75649">
        <w:rPr>
          <w:rFonts w:ascii="Arial" w:hAnsi="Arial" w:cs="Arial"/>
          <w:sz w:val="22"/>
        </w:rPr>
        <w:t>Ventevogel</w:t>
      </w:r>
      <w:proofErr w:type="spellEnd"/>
      <w:r w:rsidRPr="00F75649">
        <w:rPr>
          <w:rFonts w:ascii="Arial" w:hAnsi="Arial" w:cs="Arial"/>
          <w:sz w:val="22"/>
        </w:rPr>
        <w:t xml:space="preserve">, P. and Rees, S. (2017) ‘The contemporary refugee crisis: An overview of mental health challenges’, </w:t>
      </w:r>
      <w:r w:rsidRPr="00F75649">
        <w:rPr>
          <w:rStyle w:val="Emphasis"/>
          <w:rFonts w:ascii="Arial" w:eastAsiaTheme="majorEastAsia" w:hAnsi="Arial" w:cs="Arial"/>
          <w:sz w:val="22"/>
        </w:rPr>
        <w:t>World Psychiatry</w:t>
      </w:r>
      <w:r w:rsidRPr="00F75649">
        <w:rPr>
          <w:rFonts w:ascii="Arial" w:hAnsi="Arial" w:cs="Arial"/>
          <w:sz w:val="22"/>
        </w:rPr>
        <w:t>, 16(2), pp. 130–139.</w:t>
      </w:r>
    </w:p>
    <w:p w14:paraId="27448B21"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r w:rsidRPr="00F75649">
        <w:rPr>
          <w:rFonts w:ascii="Arial" w:hAnsi="Arial" w:cs="Arial"/>
          <w:sz w:val="22"/>
        </w:rPr>
        <w:t xml:space="preserve">Slade, M., </w:t>
      </w:r>
      <w:proofErr w:type="spellStart"/>
      <w:r w:rsidRPr="00F75649">
        <w:rPr>
          <w:rFonts w:ascii="Arial" w:hAnsi="Arial" w:cs="Arial"/>
          <w:sz w:val="22"/>
        </w:rPr>
        <w:t>Amering</w:t>
      </w:r>
      <w:proofErr w:type="spellEnd"/>
      <w:r w:rsidRPr="00F75649">
        <w:rPr>
          <w:rFonts w:ascii="Arial" w:hAnsi="Arial" w:cs="Arial"/>
          <w:sz w:val="22"/>
        </w:rPr>
        <w:t xml:space="preserve">, M. and </w:t>
      </w:r>
      <w:proofErr w:type="spellStart"/>
      <w:r w:rsidRPr="00F75649">
        <w:rPr>
          <w:rFonts w:ascii="Arial" w:hAnsi="Arial" w:cs="Arial"/>
          <w:sz w:val="22"/>
        </w:rPr>
        <w:t>Oades</w:t>
      </w:r>
      <w:proofErr w:type="spellEnd"/>
      <w:r w:rsidRPr="00F75649">
        <w:rPr>
          <w:rFonts w:ascii="Arial" w:hAnsi="Arial" w:cs="Arial"/>
          <w:sz w:val="22"/>
        </w:rPr>
        <w:t xml:space="preserve">, L. (2017) ‘Recovery: An international perspective’, </w:t>
      </w:r>
      <w:r w:rsidRPr="00F75649">
        <w:rPr>
          <w:rStyle w:val="Emphasis"/>
          <w:rFonts w:ascii="Arial" w:eastAsiaTheme="majorEastAsia" w:hAnsi="Arial" w:cs="Arial"/>
          <w:sz w:val="22"/>
        </w:rPr>
        <w:t>Epidemiology and Psychiatric Sciences</w:t>
      </w:r>
      <w:r w:rsidRPr="00F75649">
        <w:rPr>
          <w:rFonts w:ascii="Arial" w:hAnsi="Arial" w:cs="Arial"/>
          <w:sz w:val="22"/>
        </w:rPr>
        <w:t>, 27(2), pp. 128–137.</w:t>
      </w:r>
    </w:p>
    <w:p w14:paraId="0B9A4343"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r w:rsidRPr="00F75649">
        <w:rPr>
          <w:rFonts w:ascii="Arial" w:hAnsi="Arial" w:cs="Arial"/>
          <w:sz w:val="22"/>
        </w:rPr>
        <w:t xml:space="preserve">Schnyder, U., Bryant, R. A. and Ehlers, A. (2017) ‘Psychological treatments for PTSD: International meta-analysis and guidelines’, </w:t>
      </w:r>
      <w:r w:rsidRPr="00F75649">
        <w:rPr>
          <w:rStyle w:val="Emphasis"/>
          <w:rFonts w:ascii="Arial" w:eastAsiaTheme="majorEastAsia" w:hAnsi="Arial" w:cs="Arial"/>
          <w:sz w:val="22"/>
        </w:rPr>
        <w:t xml:space="preserve">European Journal of </w:t>
      </w:r>
      <w:proofErr w:type="spellStart"/>
      <w:r w:rsidRPr="00F75649">
        <w:rPr>
          <w:rStyle w:val="Emphasis"/>
          <w:rFonts w:ascii="Arial" w:eastAsiaTheme="majorEastAsia" w:hAnsi="Arial" w:cs="Arial"/>
          <w:sz w:val="22"/>
        </w:rPr>
        <w:t>Psychotraumatology</w:t>
      </w:r>
      <w:proofErr w:type="spellEnd"/>
      <w:r w:rsidRPr="00F75649">
        <w:rPr>
          <w:rFonts w:ascii="Arial" w:hAnsi="Arial" w:cs="Arial"/>
          <w:sz w:val="22"/>
        </w:rPr>
        <w:t>, 8(1), pp. 141–150.</w:t>
      </w:r>
    </w:p>
    <w:p w14:paraId="381325C0"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r w:rsidRPr="00F75649">
        <w:rPr>
          <w:rFonts w:ascii="Arial" w:hAnsi="Arial" w:cs="Arial"/>
          <w:sz w:val="22"/>
        </w:rPr>
        <w:t xml:space="preserve">Stein, D. J., </w:t>
      </w:r>
      <w:proofErr w:type="spellStart"/>
      <w:r w:rsidRPr="00F75649">
        <w:rPr>
          <w:rFonts w:ascii="Arial" w:hAnsi="Arial" w:cs="Arial"/>
          <w:sz w:val="22"/>
        </w:rPr>
        <w:t>Ipser</w:t>
      </w:r>
      <w:proofErr w:type="spellEnd"/>
      <w:r w:rsidRPr="00F75649">
        <w:rPr>
          <w:rFonts w:ascii="Arial" w:hAnsi="Arial" w:cs="Arial"/>
          <w:sz w:val="22"/>
        </w:rPr>
        <w:t xml:space="preserve">, J. and </w:t>
      </w:r>
      <w:proofErr w:type="spellStart"/>
      <w:r w:rsidRPr="00F75649">
        <w:rPr>
          <w:rFonts w:ascii="Arial" w:hAnsi="Arial" w:cs="Arial"/>
          <w:sz w:val="22"/>
        </w:rPr>
        <w:t>Seedat</w:t>
      </w:r>
      <w:proofErr w:type="spellEnd"/>
      <w:r w:rsidRPr="00F75649">
        <w:rPr>
          <w:rFonts w:ascii="Arial" w:hAnsi="Arial" w:cs="Arial"/>
          <w:sz w:val="22"/>
        </w:rPr>
        <w:t xml:space="preserve">, S. (2021) ‘Pharmacotherapy for post-traumatic stress disorder: Advances and controversies’, </w:t>
      </w:r>
      <w:r w:rsidRPr="00F75649">
        <w:rPr>
          <w:rStyle w:val="Emphasis"/>
          <w:rFonts w:ascii="Arial" w:eastAsiaTheme="majorEastAsia" w:hAnsi="Arial" w:cs="Arial"/>
          <w:sz w:val="22"/>
        </w:rPr>
        <w:t>CNS Drugs</w:t>
      </w:r>
      <w:r w:rsidRPr="00F75649">
        <w:rPr>
          <w:rFonts w:ascii="Arial" w:hAnsi="Arial" w:cs="Arial"/>
          <w:sz w:val="22"/>
        </w:rPr>
        <w:t>, 35(2), pp. 111–123.</w:t>
      </w:r>
    </w:p>
    <w:p w14:paraId="519C0A5F"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r w:rsidRPr="00F75649">
        <w:rPr>
          <w:rFonts w:ascii="Arial" w:hAnsi="Arial" w:cs="Arial"/>
          <w:sz w:val="22"/>
        </w:rPr>
        <w:t xml:space="preserve">Summerfield, D. (2019) ‘Critiquing the </w:t>
      </w:r>
      <w:proofErr w:type="spellStart"/>
      <w:r w:rsidRPr="00F75649">
        <w:rPr>
          <w:rFonts w:ascii="Arial" w:hAnsi="Arial" w:cs="Arial"/>
          <w:sz w:val="22"/>
        </w:rPr>
        <w:t>medicalisation</w:t>
      </w:r>
      <w:proofErr w:type="spellEnd"/>
      <w:r w:rsidRPr="00F75649">
        <w:rPr>
          <w:rFonts w:ascii="Arial" w:hAnsi="Arial" w:cs="Arial"/>
          <w:sz w:val="22"/>
        </w:rPr>
        <w:t xml:space="preserve"> of trauma’, </w:t>
      </w:r>
      <w:r w:rsidRPr="00F75649">
        <w:rPr>
          <w:rStyle w:val="Emphasis"/>
          <w:rFonts w:ascii="Arial" w:eastAsiaTheme="majorEastAsia" w:hAnsi="Arial" w:cs="Arial"/>
          <w:sz w:val="22"/>
        </w:rPr>
        <w:t>Social Science &amp; Medicine</w:t>
      </w:r>
      <w:r w:rsidRPr="00F75649">
        <w:rPr>
          <w:rFonts w:ascii="Arial" w:hAnsi="Arial" w:cs="Arial"/>
          <w:sz w:val="22"/>
        </w:rPr>
        <w:t>, 228, pp. 343–350.</w:t>
      </w:r>
    </w:p>
    <w:p w14:paraId="6A46AD42"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r w:rsidRPr="00F75649">
        <w:rPr>
          <w:rFonts w:ascii="Arial" w:hAnsi="Arial" w:cs="Arial"/>
          <w:sz w:val="22"/>
        </w:rPr>
        <w:t xml:space="preserve">Watkins, L. E., Sprang, K. R. and </w:t>
      </w:r>
      <w:proofErr w:type="spellStart"/>
      <w:r w:rsidRPr="00F75649">
        <w:rPr>
          <w:rFonts w:ascii="Arial" w:hAnsi="Arial" w:cs="Arial"/>
          <w:sz w:val="22"/>
        </w:rPr>
        <w:t>Rothbaum</w:t>
      </w:r>
      <w:proofErr w:type="spellEnd"/>
      <w:r w:rsidRPr="00F75649">
        <w:rPr>
          <w:rFonts w:ascii="Arial" w:hAnsi="Arial" w:cs="Arial"/>
          <w:sz w:val="22"/>
        </w:rPr>
        <w:t xml:space="preserve">, B. O. (2018) ‘Treating PTSD: A review of evidence-based psychotherapy and emerging approaches’, </w:t>
      </w:r>
      <w:r w:rsidRPr="00F75649">
        <w:rPr>
          <w:rStyle w:val="Emphasis"/>
          <w:rFonts w:ascii="Arial" w:eastAsiaTheme="majorEastAsia" w:hAnsi="Arial" w:cs="Arial"/>
          <w:sz w:val="22"/>
        </w:rPr>
        <w:t>Current Psychiatry Reports</w:t>
      </w:r>
      <w:r w:rsidRPr="00F75649">
        <w:rPr>
          <w:rFonts w:ascii="Arial" w:hAnsi="Arial" w:cs="Arial"/>
          <w:sz w:val="22"/>
        </w:rPr>
        <w:t>, 20(12), pp. 99–110.</w:t>
      </w:r>
    </w:p>
    <w:p w14:paraId="3471B982"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r w:rsidRPr="00F75649">
        <w:rPr>
          <w:rFonts w:ascii="Arial" w:hAnsi="Arial" w:cs="Arial"/>
          <w:sz w:val="22"/>
        </w:rPr>
        <w:lastRenderedPageBreak/>
        <w:t xml:space="preserve">Wind, T. R., </w:t>
      </w:r>
      <w:proofErr w:type="spellStart"/>
      <w:r w:rsidRPr="00F75649">
        <w:rPr>
          <w:rFonts w:ascii="Arial" w:hAnsi="Arial" w:cs="Arial"/>
          <w:sz w:val="22"/>
        </w:rPr>
        <w:t>Rijkeboer</w:t>
      </w:r>
      <w:proofErr w:type="spellEnd"/>
      <w:r w:rsidRPr="00F75649">
        <w:rPr>
          <w:rFonts w:ascii="Arial" w:hAnsi="Arial" w:cs="Arial"/>
          <w:sz w:val="22"/>
        </w:rPr>
        <w:t xml:space="preserve">, M. and Andersson, G. (2020) ‘The COVID-19 pandemic: The role of digital mental health interventions’, </w:t>
      </w:r>
      <w:r w:rsidRPr="00F75649">
        <w:rPr>
          <w:rStyle w:val="Emphasis"/>
          <w:rFonts w:ascii="Arial" w:eastAsiaTheme="majorEastAsia" w:hAnsi="Arial" w:cs="Arial"/>
          <w:sz w:val="22"/>
        </w:rPr>
        <w:t>Internet Interventions</w:t>
      </w:r>
      <w:r w:rsidRPr="00F75649">
        <w:rPr>
          <w:rFonts w:ascii="Arial" w:hAnsi="Arial" w:cs="Arial"/>
          <w:sz w:val="22"/>
        </w:rPr>
        <w:t>, 21, pp. 100–107.</w:t>
      </w:r>
    </w:p>
    <w:p w14:paraId="09E685B9" w14:textId="77777777" w:rsidR="00F75649" w:rsidRPr="00F75649" w:rsidRDefault="00F75649" w:rsidP="00F75649">
      <w:pPr>
        <w:pStyle w:val="NormalWeb"/>
        <w:spacing w:before="0" w:beforeAutospacing="0" w:after="0" w:afterAutospacing="0" w:line="360" w:lineRule="auto"/>
        <w:jc w:val="both"/>
        <w:rPr>
          <w:rFonts w:ascii="Arial" w:hAnsi="Arial" w:cs="Arial"/>
          <w:sz w:val="22"/>
        </w:rPr>
      </w:pPr>
      <w:r w:rsidRPr="00F75649">
        <w:rPr>
          <w:rFonts w:ascii="Arial" w:hAnsi="Arial" w:cs="Arial"/>
          <w:sz w:val="22"/>
        </w:rPr>
        <w:t xml:space="preserve">World Health Organization (2022) </w:t>
      </w:r>
      <w:r w:rsidRPr="00F75649">
        <w:rPr>
          <w:rStyle w:val="Emphasis"/>
          <w:rFonts w:ascii="Arial" w:eastAsiaTheme="majorEastAsia" w:hAnsi="Arial" w:cs="Arial"/>
          <w:sz w:val="22"/>
        </w:rPr>
        <w:t xml:space="preserve">International Classification of Diseases 11th Revision (ICD-11): Mental, </w:t>
      </w:r>
      <w:proofErr w:type="spellStart"/>
      <w:r w:rsidRPr="00F75649">
        <w:rPr>
          <w:rStyle w:val="Emphasis"/>
          <w:rFonts w:ascii="Arial" w:eastAsiaTheme="majorEastAsia" w:hAnsi="Arial" w:cs="Arial"/>
          <w:sz w:val="22"/>
        </w:rPr>
        <w:t>Behavioural</w:t>
      </w:r>
      <w:proofErr w:type="spellEnd"/>
      <w:r w:rsidRPr="00F75649">
        <w:rPr>
          <w:rStyle w:val="Emphasis"/>
          <w:rFonts w:ascii="Arial" w:eastAsiaTheme="majorEastAsia" w:hAnsi="Arial" w:cs="Arial"/>
          <w:sz w:val="22"/>
        </w:rPr>
        <w:t xml:space="preserve"> or </w:t>
      </w:r>
      <w:proofErr w:type="spellStart"/>
      <w:r w:rsidRPr="00F75649">
        <w:rPr>
          <w:rStyle w:val="Emphasis"/>
          <w:rFonts w:ascii="Arial" w:eastAsiaTheme="majorEastAsia" w:hAnsi="Arial" w:cs="Arial"/>
          <w:sz w:val="22"/>
        </w:rPr>
        <w:t>Neurodevelopmental</w:t>
      </w:r>
      <w:proofErr w:type="spellEnd"/>
      <w:r w:rsidRPr="00F75649">
        <w:rPr>
          <w:rStyle w:val="Emphasis"/>
          <w:rFonts w:ascii="Arial" w:eastAsiaTheme="majorEastAsia" w:hAnsi="Arial" w:cs="Arial"/>
          <w:sz w:val="22"/>
        </w:rPr>
        <w:t xml:space="preserve"> Disorders</w:t>
      </w:r>
      <w:r w:rsidRPr="00F75649">
        <w:rPr>
          <w:rFonts w:ascii="Arial" w:hAnsi="Arial" w:cs="Arial"/>
          <w:sz w:val="22"/>
        </w:rPr>
        <w:t>. Geneva: World Health Organization.</w:t>
      </w:r>
    </w:p>
    <w:p w14:paraId="6BA4C759" w14:textId="77777777" w:rsidR="00F75649" w:rsidRDefault="00F75649"/>
    <w:sectPr w:rsidR="00F75649">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1A71A" w14:textId="77777777" w:rsidR="000C7B36" w:rsidRDefault="000C7B36" w:rsidP="0046037E">
      <w:pPr>
        <w:spacing w:after="0" w:line="240" w:lineRule="auto"/>
      </w:pPr>
      <w:r>
        <w:separator/>
      </w:r>
    </w:p>
  </w:endnote>
  <w:endnote w:type="continuationSeparator" w:id="0">
    <w:p w14:paraId="1DB71B9E" w14:textId="77777777" w:rsidR="000C7B36" w:rsidRDefault="000C7B36" w:rsidP="00460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43436"/>
      <w:docPartObj>
        <w:docPartGallery w:val="Page Numbers (Bottom of Page)"/>
        <w:docPartUnique/>
      </w:docPartObj>
    </w:sdtPr>
    <w:sdtEndPr>
      <w:rPr>
        <w:noProof/>
      </w:rPr>
    </w:sdtEndPr>
    <w:sdtContent>
      <w:p w14:paraId="77F9BAEF" w14:textId="77777777" w:rsidR="0046037E" w:rsidRDefault="0046037E">
        <w:pPr>
          <w:pStyle w:val="Footer"/>
          <w:jc w:val="center"/>
        </w:pPr>
        <w:r>
          <w:fldChar w:fldCharType="begin"/>
        </w:r>
        <w:r>
          <w:instrText xml:space="preserve"> PAGE   \* MERGEFORMAT </w:instrText>
        </w:r>
        <w:r>
          <w:fldChar w:fldCharType="separate"/>
        </w:r>
        <w:r w:rsidR="007F0C8F">
          <w:rPr>
            <w:noProof/>
          </w:rPr>
          <w:t>1</w:t>
        </w:r>
        <w:r>
          <w:rPr>
            <w:noProof/>
          </w:rPr>
          <w:fldChar w:fldCharType="end"/>
        </w:r>
      </w:p>
    </w:sdtContent>
  </w:sdt>
  <w:p w14:paraId="42856187" w14:textId="77777777" w:rsidR="0046037E" w:rsidRDefault="004603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2D45B" w14:textId="77777777" w:rsidR="000C7B36" w:rsidRDefault="000C7B36" w:rsidP="0046037E">
      <w:pPr>
        <w:spacing w:after="0" w:line="240" w:lineRule="auto"/>
      </w:pPr>
      <w:r>
        <w:separator/>
      </w:r>
    </w:p>
  </w:footnote>
  <w:footnote w:type="continuationSeparator" w:id="0">
    <w:p w14:paraId="5FF7F7C8" w14:textId="77777777" w:rsidR="000C7B36" w:rsidRDefault="000C7B36" w:rsidP="004603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4590"/>
    <w:rsid w:val="00010341"/>
    <w:rsid w:val="00023364"/>
    <w:rsid w:val="000C7B36"/>
    <w:rsid w:val="002D42DE"/>
    <w:rsid w:val="00366218"/>
    <w:rsid w:val="0046037E"/>
    <w:rsid w:val="00627EA6"/>
    <w:rsid w:val="007961F9"/>
    <w:rsid w:val="007F0C8F"/>
    <w:rsid w:val="009056FA"/>
    <w:rsid w:val="00A34590"/>
    <w:rsid w:val="00B30AC9"/>
    <w:rsid w:val="00C472CC"/>
    <w:rsid w:val="00D63D23"/>
    <w:rsid w:val="00E919D2"/>
    <w:rsid w:val="00F06E93"/>
    <w:rsid w:val="00F75649"/>
    <w:rsid w:val="00FF61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2ED82"/>
  <w15:docId w15:val="{8D8C8123-E00A-2449-A082-C2F876608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3D2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7564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06E9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F06E9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06E93"/>
    <w:rPr>
      <w:rFonts w:ascii="Times New Roman" w:eastAsia="Times New Roman" w:hAnsi="Times New Roman" w:cs="Times New Roman"/>
      <w:b/>
      <w:bCs/>
      <w:sz w:val="27"/>
      <w:szCs w:val="27"/>
    </w:rPr>
  </w:style>
  <w:style w:type="character" w:styleId="Strong">
    <w:name w:val="Strong"/>
    <w:basedOn w:val="DefaultParagraphFont"/>
    <w:uiPriority w:val="22"/>
    <w:qFormat/>
    <w:rsid w:val="00F06E93"/>
    <w:rPr>
      <w:b/>
      <w:bCs/>
    </w:rPr>
  </w:style>
  <w:style w:type="paragraph" w:styleId="NormalWeb">
    <w:name w:val="Normal (Web)"/>
    <w:basedOn w:val="Normal"/>
    <w:uiPriority w:val="99"/>
    <w:unhideWhenUsed/>
    <w:rsid w:val="00F06E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F06E93"/>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F06E93"/>
    <w:rPr>
      <w:i/>
      <w:iCs/>
    </w:rPr>
  </w:style>
  <w:style w:type="character" w:customStyle="1" w:styleId="Heading2Char">
    <w:name w:val="Heading 2 Char"/>
    <w:basedOn w:val="DefaultParagraphFont"/>
    <w:link w:val="Heading2"/>
    <w:uiPriority w:val="9"/>
    <w:rsid w:val="00F75649"/>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D63D23"/>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4603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37E"/>
  </w:style>
  <w:style w:type="paragraph" w:styleId="Footer">
    <w:name w:val="footer"/>
    <w:basedOn w:val="Normal"/>
    <w:link w:val="FooterChar"/>
    <w:uiPriority w:val="99"/>
    <w:unhideWhenUsed/>
    <w:rsid w:val="004603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15311">
      <w:bodyDiv w:val="1"/>
      <w:marLeft w:val="0"/>
      <w:marRight w:val="0"/>
      <w:marTop w:val="0"/>
      <w:marBottom w:val="0"/>
      <w:divBdr>
        <w:top w:val="none" w:sz="0" w:space="0" w:color="auto"/>
        <w:left w:val="none" w:sz="0" w:space="0" w:color="auto"/>
        <w:bottom w:val="none" w:sz="0" w:space="0" w:color="auto"/>
        <w:right w:val="none" w:sz="0" w:space="0" w:color="auto"/>
      </w:divBdr>
    </w:div>
    <w:div w:id="295910286">
      <w:bodyDiv w:val="1"/>
      <w:marLeft w:val="0"/>
      <w:marRight w:val="0"/>
      <w:marTop w:val="0"/>
      <w:marBottom w:val="0"/>
      <w:divBdr>
        <w:top w:val="none" w:sz="0" w:space="0" w:color="auto"/>
        <w:left w:val="none" w:sz="0" w:space="0" w:color="auto"/>
        <w:bottom w:val="none" w:sz="0" w:space="0" w:color="auto"/>
        <w:right w:val="none" w:sz="0" w:space="0" w:color="auto"/>
      </w:divBdr>
    </w:div>
    <w:div w:id="474681560">
      <w:bodyDiv w:val="1"/>
      <w:marLeft w:val="0"/>
      <w:marRight w:val="0"/>
      <w:marTop w:val="0"/>
      <w:marBottom w:val="0"/>
      <w:divBdr>
        <w:top w:val="none" w:sz="0" w:space="0" w:color="auto"/>
        <w:left w:val="none" w:sz="0" w:space="0" w:color="auto"/>
        <w:bottom w:val="none" w:sz="0" w:space="0" w:color="auto"/>
        <w:right w:val="none" w:sz="0" w:space="0" w:color="auto"/>
      </w:divBdr>
    </w:div>
    <w:div w:id="514424406">
      <w:bodyDiv w:val="1"/>
      <w:marLeft w:val="0"/>
      <w:marRight w:val="0"/>
      <w:marTop w:val="0"/>
      <w:marBottom w:val="0"/>
      <w:divBdr>
        <w:top w:val="none" w:sz="0" w:space="0" w:color="auto"/>
        <w:left w:val="none" w:sz="0" w:space="0" w:color="auto"/>
        <w:bottom w:val="none" w:sz="0" w:space="0" w:color="auto"/>
        <w:right w:val="none" w:sz="0" w:space="0" w:color="auto"/>
      </w:divBdr>
    </w:div>
    <w:div w:id="1036811203">
      <w:bodyDiv w:val="1"/>
      <w:marLeft w:val="0"/>
      <w:marRight w:val="0"/>
      <w:marTop w:val="0"/>
      <w:marBottom w:val="0"/>
      <w:divBdr>
        <w:top w:val="none" w:sz="0" w:space="0" w:color="auto"/>
        <w:left w:val="none" w:sz="0" w:space="0" w:color="auto"/>
        <w:bottom w:val="none" w:sz="0" w:space="0" w:color="auto"/>
        <w:right w:val="none" w:sz="0" w:space="0" w:color="auto"/>
      </w:divBdr>
    </w:div>
    <w:div w:id="1131442021">
      <w:bodyDiv w:val="1"/>
      <w:marLeft w:val="0"/>
      <w:marRight w:val="0"/>
      <w:marTop w:val="0"/>
      <w:marBottom w:val="0"/>
      <w:divBdr>
        <w:top w:val="none" w:sz="0" w:space="0" w:color="auto"/>
        <w:left w:val="none" w:sz="0" w:space="0" w:color="auto"/>
        <w:bottom w:val="none" w:sz="0" w:space="0" w:color="auto"/>
        <w:right w:val="none" w:sz="0" w:space="0" w:color="auto"/>
      </w:divBdr>
    </w:div>
    <w:div w:id="1267810259">
      <w:bodyDiv w:val="1"/>
      <w:marLeft w:val="0"/>
      <w:marRight w:val="0"/>
      <w:marTop w:val="0"/>
      <w:marBottom w:val="0"/>
      <w:divBdr>
        <w:top w:val="none" w:sz="0" w:space="0" w:color="auto"/>
        <w:left w:val="none" w:sz="0" w:space="0" w:color="auto"/>
        <w:bottom w:val="none" w:sz="0" w:space="0" w:color="auto"/>
        <w:right w:val="none" w:sz="0" w:space="0" w:color="auto"/>
      </w:divBdr>
    </w:div>
    <w:div w:id="1574854189">
      <w:bodyDiv w:val="1"/>
      <w:marLeft w:val="0"/>
      <w:marRight w:val="0"/>
      <w:marTop w:val="0"/>
      <w:marBottom w:val="0"/>
      <w:divBdr>
        <w:top w:val="none" w:sz="0" w:space="0" w:color="auto"/>
        <w:left w:val="none" w:sz="0" w:space="0" w:color="auto"/>
        <w:bottom w:val="none" w:sz="0" w:space="0" w:color="auto"/>
        <w:right w:val="none" w:sz="0" w:space="0" w:color="auto"/>
      </w:divBdr>
    </w:div>
    <w:div w:id="1587037686">
      <w:bodyDiv w:val="1"/>
      <w:marLeft w:val="0"/>
      <w:marRight w:val="0"/>
      <w:marTop w:val="0"/>
      <w:marBottom w:val="0"/>
      <w:divBdr>
        <w:top w:val="none" w:sz="0" w:space="0" w:color="auto"/>
        <w:left w:val="none" w:sz="0" w:space="0" w:color="auto"/>
        <w:bottom w:val="none" w:sz="0" w:space="0" w:color="auto"/>
        <w:right w:val="none" w:sz="0" w:space="0" w:color="auto"/>
      </w:divBdr>
    </w:div>
    <w:div w:id="1749232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3407</Words>
  <Characters>19424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John Imade Omorogbe (2310505)</cp:lastModifiedBy>
  <cp:revision>7</cp:revision>
  <dcterms:created xsi:type="dcterms:W3CDTF">2025-11-16T07:22:00Z</dcterms:created>
  <dcterms:modified xsi:type="dcterms:W3CDTF">2025-11-16T07:28:00Z</dcterms:modified>
</cp:coreProperties>
</file>