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7B8D50">
      <w:pPr>
        <w:pStyle w:val="2"/>
        <w:spacing w:before="0" w:beforeLines="0" w:after="0" w:afterLines="0" w:line="560" w:lineRule="exact"/>
        <w:jc w:val="center"/>
        <w:rPr>
          <w:rFonts w:hint="eastAsia" w:ascii="Times New Roman" w:hAnsi="Times New Roman"/>
          <w:b/>
          <w:sz w:val="32"/>
          <w:szCs w:val="32"/>
        </w:rPr>
      </w:pPr>
    </w:p>
    <w:p w14:paraId="3728D84F">
      <w:pPr>
        <w:pStyle w:val="2"/>
        <w:spacing w:before="0" w:beforeLines="0" w:after="0" w:afterLines="0" w:line="560" w:lineRule="exact"/>
        <w:jc w:val="center"/>
        <w:rPr>
          <w:rFonts w:hint="eastAsia" w:ascii="Times New Roman" w:hAnsi="Times New Roman"/>
          <w:b/>
          <w:sz w:val="32"/>
          <w:szCs w:val="32"/>
        </w:rPr>
      </w:pPr>
    </w:p>
    <w:p w14:paraId="015F51F8">
      <w:pPr>
        <w:pStyle w:val="2"/>
        <w:spacing w:before="0" w:beforeLines="0" w:after="0" w:afterLines="0" w:line="560" w:lineRule="exact"/>
        <w:jc w:val="center"/>
        <w:rPr>
          <w:rFonts w:hint="eastAsia" w:ascii="Times New Roman" w:hAnsi="Times New Roman"/>
          <w:b/>
          <w:sz w:val="32"/>
          <w:szCs w:val="32"/>
        </w:rPr>
      </w:pPr>
    </w:p>
    <w:p w14:paraId="04B3BBCD">
      <w:pPr>
        <w:pStyle w:val="2"/>
        <w:spacing w:before="0" w:beforeLines="0" w:after="0" w:afterLines="0" w:line="560" w:lineRule="exact"/>
        <w:jc w:val="center"/>
        <w:rPr>
          <w:rFonts w:hint="eastAsia" w:ascii="Times New Roman" w:hAnsi="Times New Roman"/>
          <w:b/>
          <w:sz w:val="32"/>
          <w:szCs w:val="32"/>
        </w:rPr>
      </w:pPr>
    </w:p>
    <w:p w14:paraId="48DED139">
      <w:pPr>
        <w:pStyle w:val="2"/>
        <w:spacing w:before="0" w:beforeLines="0" w:after="0" w:afterLines="0" w:line="560" w:lineRule="exact"/>
        <w:jc w:val="center"/>
        <w:rPr>
          <w:rFonts w:hint="default" w:ascii="Arial"/>
          <w:b/>
          <w:sz w:val="56"/>
          <w:szCs w:val="28"/>
        </w:rPr>
      </w:pPr>
      <w:r>
        <w:rPr>
          <w:rFonts w:hint="default" w:ascii="Arial"/>
          <w:b/>
          <w:sz w:val="56"/>
          <w:szCs w:val="28"/>
        </w:rPr>
        <w:drawing>
          <wp:anchor distT="0" distB="0" distL="0" distR="0" simplePos="0" relativeHeight="251659264" behindDoc="0" locked="0" layoutInCell="1" allowOverlap="1">
            <wp:simplePos x="0" y="0"/>
            <wp:positionH relativeFrom="column">
              <wp:posOffset>871855</wp:posOffset>
            </wp:positionH>
            <wp:positionV relativeFrom="paragraph">
              <wp:posOffset>-1125220</wp:posOffset>
            </wp:positionV>
            <wp:extent cx="3524250" cy="1404620"/>
            <wp:effectExtent l="0" t="0" r="6350" b="5080"/>
            <wp:wrapSquare wrapText="bothSides"/>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pic:cNvPicPr>
                      <a:picLocks noChangeAspect="1"/>
                    </pic:cNvPicPr>
                  </pic:nvPicPr>
                  <pic:blipFill>
                    <a:blip r:embed="rId4"/>
                    <a:stretch>
                      <a:fillRect/>
                    </a:stretch>
                  </pic:blipFill>
                  <pic:spPr>
                    <a:xfrm>
                      <a:off x="0" y="0"/>
                      <a:ext cx="3524250" cy="1404620"/>
                    </a:xfrm>
                    <a:prstGeom prst="rect">
                      <a:avLst/>
                    </a:prstGeom>
                    <a:noFill/>
                    <a:ln>
                      <a:noFill/>
                    </a:ln>
                  </pic:spPr>
                </pic:pic>
              </a:graphicData>
            </a:graphic>
          </wp:anchor>
        </w:drawing>
      </w:r>
    </w:p>
    <w:p w14:paraId="0D108D27">
      <w:pPr>
        <w:pStyle w:val="2"/>
        <w:spacing w:before="0" w:beforeLines="0" w:after="0" w:afterLines="0" w:line="560" w:lineRule="exact"/>
        <w:jc w:val="center"/>
        <w:rPr>
          <w:rFonts w:hint="default" w:ascii="Arial"/>
          <w:b/>
          <w:sz w:val="56"/>
          <w:szCs w:val="28"/>
        </w:rPr>
      </w:pPr>
    </w:p>
    <w:p w14:paraId="53F920B1">
      <w:pPr>
        <w:spacing w:beforeLines="0" w:afterLines="0"/>
        <w:rPr>
          <w:rFonts w:hint="default" w:ascii="Arial"/>
          <w:b/>
          <w:sz w:val="56"/>
          <w:szCs w:val="24"/>
        </w:rPr>
      </w:pPr>
    </w:p>
    <w:p w14:paraId="13FFCB65">
      <w:pPr>
        <w:spacing w:before="3" w:beforeLines="0" w:afterLines="0"/>
        <w:rPr>
          <w:rFonts w:hint="eastAsia" w:ascii="Arial"/>
          <w:b/>
          <w:sz w:val="48"/>
          <w:szCs w:val="48"/>
        </w:rPr>
      </w:pPr>
      <w:r>
        <w:rPr>
          <w:rFonts w:hint="eastAsia" w:ascii="Arial"/>
          <w:b/>
          <w:sz w:val="48"/>
          <w:szCs w:val="48"/>
        </w:rPr>
        <w:t xml:space="preserve">TITLE: </w:t>
      </w:r>
    </w:p>
    <w:p w14:paraId="7995D1A8">
      <w:pPr>
        <w:spacing w:before="3" w:beforeLines="0" w:afterLines="0"/>
        <w:rPr>
          <w:rFonts w:hint="eastAsia" w:ascii="Arial"/>
          <w:sz w:val="48"/>
          <w:szCs w:val="48"/>
        </w:rPr>
      </w:pPr>
      <w:r>
        <w:rPr>
          <w:rFonts w:hint="eastAsia" w:ascii="Arial"/>
          <w:sz w:val="48"/>
          <w:szCs w:val="48"/>
        </w:rPr>
        <w:t>From Natural Person to Democratic Citizen: A Critical Comparison of Pestalozzi</w:t>
      </w:r>
      <w:r>
        <w:rPr>
          <w:rFonts w:hint="default" w:ascii="Arial"/>
          <w:sz w:val="48"/>
          <w:szCs w:val="48"/>
          <w:lang w:val="en-US" w:eastAsia="zh-CN"/>
        </w:rPr>
        <w:t>’</w:t>
      </w:r>
      <w:r>
        <w:rPr>
          <w:rFonts w:hint="eastAsia" w:ascii="Arial"/>
          <w:sz w:val="48"/>
          <w:szCs w:val="48"/>
        </w:rPr>
        <w:t>s and Dewey</w:t>
      </w:r>
      <w:r>
        <w:rPr>
          <w:rFonts w:hint="default" w:ascii="Arial"/>
          <w:sz w:val="48"/>
          <w:szCs w:val="48"/>
          <w:lang w:val="en-US" w:eastAsia="zh-CN"/>
        </w:rPr>
        <w:t>’</w:t>
      </w:r>
      <w:r>
        <w:rPr>
          <w:rFonts w:hint="eastAsia" w:ascii="Arial"/>
          <w:sz w:val="48"/>
          <w:szCs w:val="48"/>
        </w:rPr>
        <w:t>s Educational Ideas</w:t>
      </w:r>
    </w:p>
    <w:p w14:paraId="41CBEC02">
      <w:pPr>
        <w:spacing w:before="3" w:beforeLines="0" w:afterLines="0"/>
        <w:rPr>
          <w:rFonts w:hint="eastAsia" w:ascii="Arial"/>
          <w:sz w:val="48"/>
          <w:szCs w:val="48"/>
        </w:rPr>
      </w:pPr>
    </w:p>
    <w:p w14:paraId="056A94A9">
      <w:pPr>
        <w:spacing w:before="3" w:beforeLines="0" w:afterLines="0"/>
        <w:rPr>
          <w:rFonts w:hint="eastAsia" w:ascii="Arial"/>
          <w:b/>
          <w:sz w:val="48"/>
          <w:szCs w:val="48"/>
        </w:rPr>
      </w:pPr>
      <w:r>
        <w:rPr>
          <w:rFonts w:hint="default" w:ascii="Arial"/>
          <w:b/>
          <w:sz w:val="48"/>
          <w:szCs w:val="48"/>
        </w:rPr>
        <w:t>MODULE CODE:</w:t>
      </w:r>
      <w:r>
        <w:rPr>
          <w:rFonts w:hint="eastAsia" w:ascii="Arial"/>
          <w:b/>
          <w:sz w:val="48"/>
          <w:szCs w:val="48"/>
        </w:rPr>
        <w:t xml:space="preserve"> </w:t>
      </w:r>
    </w:p>
    <w:p w14:paraId="7A085A03">
      <w:pPr>
        <w:spacing w:before="212" w:beforeLines="0" w:afterLines="0"/>
        <w:rPr>
          <w:rFonts w:hint="eastAsia" w:ascii="Arial" w:eastAsiaTheme="minorEastAsia"/>
          <w:sz w:val="48"/>
          <w:szCs w:val="48"/>
          <w:lang w:eastAsia="zh-CN"/>
        </w:rPr>
      </w:pPr>
      <w:r>
        <w:rPr>
          <w:rFonts w:hint="eastAsia" w:ascii="Arial"/>
          <w:sz w:val="48"/>
          <w:szCs w:val="48"/>
        </w:rPr>
        <w:t>ECE</w:t>
      </w:r>
      <w:r>
        <w:rPr>
          <w:rFonts w:hint="eastAsia" w:ascii="Arial"/>
          <w:sz w:val="48"/>
          <w:szCs w:val="48"/>
          <w:lang w:val="en-US" w:eastAsia="zh-CN"/>
        </w:rPr>
        <w:t>S</w:t>
      </w:r>
      <w:r>
        <w:rPr>
          <w:rFonts w:hint="eastAsia" w:ascii="Arial"/>
          <w:sz w:val="48"/>
          <w:szCs w:val="48"/>
        </w:rPr>
        <w:t>700</w:t>
      </w:r>
      <w:r>
        <w:rPr>
          <w:rFonts w:hint="eastAsia" w:ascii="Arial"/>
          <w:sz w:val="48"/>
          <w:szCs w:val="48"/>
          <w:lang w:val="en-US" w:eastAsia="zh-CN"/>
        </w:rPr>
        <w:t>4</w:t>
      </w:r>
    </w:p>
    <w:p w14:paraId="6B8BC145">
      <w:pPr>
        <w:spacing w:before="212" w:beforeLines="0" w:afterLines="0"/>
        <w:rPr>
          <w:rFonts w:hint="eastAsia" w:ascii="Arial"/>
          <w:sz w:val="48"/>
          <w:szCs w:val="48"/>
        </w:rPr>
      </w:pPr>
    </w:p>
    <w:p w14:paraId="55AB5267">
      <w:pPr>
        <w:spacing w:before="3" w:beforeLines="0" w:afterLines="0"/>
        <w:rPr>
          <w:rFonts w:hint="eastAsia" w:ascii="Arial"/>
          <w:b/>
          <w:sz w:val="48"/>
          <w:szCs w:val="48"/>
        </w:rPr>
      </w:pPr>
      <w:r>
        <w:rPr>
          <w:rFonts w:hint="default" w:ascii="Arial"/>
          <w:b/>
          <w:sz w:val="48"/>
          <w:szCs w:val="48"/>
        </w:rPr>
        <w:t>STUDENT NAME:</w:t>
      </w:r>
      <w:r>
        <w:rPr>
          <w:rFonts w:hint="eastAsia" w:ascii="Arial"/>
          <w:b/>
          <w:sz w:val="48"/>
          <w:szCs w:val="48"/>
        </w:rPr>
        <w:t xml:space="preserve"> </w:t>
      </w:r>
    </w:p>
    <w:p w14:paraId="6610C762">
      <w:pPr>
        <w:spacing w:before="3" w:beforeLines="0" w:afterLines="0"/>
        <w:rPr>
          <w:rFonts w:hint="eastAsia" w:ascii="Arial"/>
          <w:sz w:val="48"/>
          <w:szCs w:val="48"/>
        </w:rPr>
      </w:pPr>
      <w:r>
        <w:rPr>
          <w:rFonts w:hint="eastAsia" w:ascii="Arial"/>
          <w:sz w:val="48"/>
          <w:szCs w:val="48"/>
        </w:rPr>
        <w:t>JIAYU LIN</w:t>
      </w:r>
    </w:p>
    <w:p w14:paraId="2A52F1DA">
      <w:pPr>
        <w:spacing w:before="3" w:beforeLines="0" w:afterLines="0"/>
        <w:rPr>
          <w:rFonts w:hint="eastAsia" w:ascii="Arial"/>
          <w:sz w:val="48"/>
          <w:szCs w:val="48"/>
        </w:rPr>
      </w:pPr>
    </w:p>
    <w:p w14:paraId="1777EADC">
      <w:pPr>
        <w:spacing w:before="3" w:beforeLines="0" w:afterLines="0"/>
        <w:rPr>
          <w:rFonts w:hint="eastAsia" w:ascii="Arial"/>
          <w:b/>
          <w:sz w:val="48"/>
          <w:szCs w:val="48"/>
        </w:rPr>
      </w:pPr>
      <w:r>
        <w:rPr>
          <w:rFonts w:hint="default" w:ascii="Arial"/>
          <w:b/>
          <w:sz w:val="48"/>
          <w:szCs w:val="48"/>
        </w:rPr>
        <w:t>STUDENT NUMBER:</w:t>
      </w:r>
      <w:r>
        <w:rPr>
          <w:rFonts w:hint="eastAsia" w:ascii="Arial"/>
          <w:b/>
          <w:sz w:val="48"/>
          <w:szCs w:val="48"/>
        </w:rPr>
        <w:t xml:space="preserve"> </w:t>
      </w:r>
    </w:p>
    <w:p w14:paraId="6CCE09DB">
      <w:pPr>
        <w:spacing w:before="3" w:beforeLines="0" w:afterLines="0"/>
        <w:rPr>
          <w:rFonts w:hint="eastAsia" w:ascii="Arial"/>
          <w:sz w:val="48"/>
          <w:szCs w:val="48"/>
        </w:rPr>
      </w:pPr>
      <w:r>
        <w:rPr>
          <w:rFonts w:hint="eastAsia" w:ascii="Arial"/>
          <w:sz w:val="48"/>
          <w:szCs w:val="48"/>
        </w:rPr>
        <w:t>2502956</w:t>
      </w:r>
    </w:p>
    <w:p w14:paraId="486C4337">
      <w:pPr>
        <w:rPr>
          <w:rFonts w:hint="eastAsia" w:ascii="Arial"/>
          <w:sz w:val="48"/>
          <w:szCs w:val="48"/>
        </w:rPr>
      </w:pPr>
      <w:r>
        <w:rPr>
          <w:rFonts w:hint="eastAsia" w:ascii="Arial"/>
          <w:sz w:val="48"/>
          <w:szCs w:val="48"/>
        </w:rPr>
        <w:br w:type="page"/>
      </w:r>
    </w:p>
    <w:p w14:paraId="214E2021">
      <w:pPr>
        <w:spacing w:before="3" w:beforeLines="0" w:afterLines="0"/>
        <w:rPr>
          <w:rFonts w:hint="default" w:asciiTheme="minorAscii" w:hAnsiTheme="minorAscii" w:eastAsiaTheme="minorEastAsia"/>
          <w:b/>
          <w:bCs/>
          <w:sz w:val="28"/>
          <w:szCs w:val="36"/>
          <w:lang w:eastAsia="zh-CN"/>
        </w:rPr>
      </w:pPr>
      <w:r>
        <w:rPr>
          <w:rFonts w:hint="default" w:asciiTheme="minorAscii" w:hAnsiTheme="minorAscii"/>
          <w:b/>
          <w:bCs/>
          <w:sz w:val="28"/>
          <w:szCs w:val="36"/>
        </w:rPr>
        <w:t>Abstract</w:t>
      </w:r>
    </w:p>
    <w:p w14:paraId="3160FD38">
      <w:pPr>
        <w:rPr>
          <w:rFonts w:hint="default" w:asciiTheme="minorAscii" w:hAnsiTheme="minorAscii"/>
        </w:rPr>
      </w:pPr>
      <w:r>
        <w:rPr>
          <w:rFonts w:hint="default" w:asciiTheme="minorAscii" w:hAnsiTheme="minorAscii"/>
        </w:rPr>
        <w:t>Johann Heinrich Pestalozzi and John Dewey, towering figures within the progressive educational tradition, are frequently linked for their shared critique of rigid, teacher-centred schooling. However, a deeper examination reveals that their philosophical foundations, core objectives, and envisioned pathways for reform differ profoundly. This paper provides a systematic, critical comparison of these two educators, analysing their distinct historical contexts, theoretical frameworks, enduring global impacts, and their complex, often complementary, legacies. The central argument posits that Pestalozzi’s model, centred on emotional security and the unfolding of inner nature, seeks to cultivate a morally integrated individual. In stark contrast, Dewey’s model, built upon scientific inquiry and democratic social participation, aims to develop a critical, socially engaged citizen. This study contends that their differences stem not merely from their eras but from fundamentally opposing views on the relationship between the individual and society, and between feeling and thinking. Ultimately, the paper concludes that the contemporary significance of these thinkers lies not in choosing one over the other, but in recognising the necessary and creative tension between their visions. This dialectic—between Pestalozzi</w:t>
      </w:r>
      <w:r>
        <w:rPr>
          <w:rFonts w:hint="default" w:asciiTheme="minorAscii" w:hAnsiTheme="minorAscii"/>
          <w:lang w:val="en-US" w:eastAsia="zh-CN"/>
        </w:rPr>
        <w:t>’</w:t>
      </w:r>
      <w:r>
        <w:rPr>
          <w:rFonts w:hint="default" w:asciiTheme="minorAscii" w:hAnsiTheme="minorAscii"/>
        </w:rPr>
        <w:t>s humanistic concern for the inner self and Dewey's pragmatic focus on social reconstruction—offers a vital framework for addressing modern educational dilemmas between standardisation and personalisation, and between academic achievement and holistic well-being.</w:t>
      </w:r>
    </w:p>
    <w:p w14:paraId="109A93A9">
      <w:pPr>
        <w:rPr>
          <w:rFonts w:hint="default" w:asciiTheme="minorAscii" w:hAnsiTheme="minorAscii"/>
        </w:rPr>
      </w:pPr>
    </w:p>
    <w:p w14:paraId="5A4CA836">
      <w:pPr>
        <w:rPr>
          <w:rFonts w:hint="default" w:asciiTheme="minorAscii" w:hAnsiTheme="minorAscii"/>
        </w:rPr>
      </w:pPr>
      <w:r>
        <w:rPr>
          <w:rFonts w:hint="default" w:asciiTheme="minorAscii" w:hAnsiTheme="minorAscii"/>
        </w:rPr>
        <w:br w:type="page"/>
      </w:r>
    </w:p>
    <w:p w14:paraId="7DEA1FE3">
      <w:pPr>
        <w:rPr>
          <w:rFonts w:hint="default" w:asciiTheme="minorAscii" w:hAnsiTheme="minorAscii" w:eastAsiaTheme="minorEastAsia"/>
          <w:b/>
          <w:bCs/>
          <w:sz w:val="28"/>
          <w:szCs w:val="36"/>
          <w:lang w:eastAsia="zh-CN"/>
        </w:rPr>
      </w:pPr>
      <w:r>
        <w:rPr>
          <w:rFonts w:hint="default" w:asciiTheme="minorAscii" w:hAnsiTheme="minorAscii"/>
          <w:b/>
          <w:bCs/>
          <w:sz w:val="28"/>
          <w:szCs w:val="36"/>
        </w:rPr>
        <w:t>Introduction</w:t>
      </w:r>
    </w:p>
    <w:p w14:paraId="384DB9E5">
      <w:pPr>
        <w:rPr>
          <w:rFonts w:hint="default" w:asciiTheme="minorAscii" w:hAnsiTheme="minorAscii"/>
        </w:rPr>
      </w:pPr>
      <w:r>
        <w:rPr>
          <w:rFonts w:hint="default" w:asciiTheme="minorAscii" w:hAnsiTheme="minorAscii"/>
        </w:rPr>
        <w:t xml:space="preserve">The history of educational thought is marked by revolutionaries who challenged entrenched systems. Among them, Pestalozzi and Dewey hold pre-eminent places, often jointly celebrated as pioneers of child-centred, experiential learning. This common categorisation, while not inaccurate, risks obscuring the profound philosophical chasm that separates them. To label both simply as </w:t>
      </w:r>
      <w:r>
        <w:rPr>
          <w:rFonts w:hint="eastAsia" w:asciiTheme="minorAscii" w:hAnsiTheme="minorAscii"/>
          <w:lang w:val="en-US" w:eastAsia="zh-CN"/>
        </w:rPr>
        <w:t>"</w:t>
      </w:r>
      <w:r>
        <w:rPr>
          <w:rFonts w:hint="default" w:asciiTheme="minorAscii" w:hAnsiTheme="minorAscii"/>
        </w:rPr>
        <w:t>progressives" is to miss the unique character of their respective revolts. Pestalozzi’s work was a moral and emotional crusade born of late-18th century European Romanticism and a visceral response to poverty, emphasising love, intuition, and the harmonious development of human faculties. Dewey’s work, conversely, was a scientific and political project emerging from American Pragmatism, prioritising reason, problem-solving, and education as the engine of democratic renewal. This paper moves beyond superficial similarities to undertake a detailed comparative analysis. It will explore the specific historical conditions that shaped each man’s mission, dissect their core theoretical principles and pedagogical methods, trace their divergent yet pervasive influences on global educational practice, and engage in a critical reflection on their limitations and contemporary relevance. The driving question is this: Do these two theories represent a linear evolution of progressive thought, or do they offer distinct, potentially contradictory, answers to the perennial questions of what education is for and how it should proceed? By illuminating the tensions between the cultivation of the self and the reconstruction of society, this analysis aims to provide a more nuanced understanding of the philosophical choices that underpin modern educational practice.</w:t>
      </w:r>
    </w:p>
    <w:p w14:paraId="26DC39B2">
      <w:pPr>
        <w:rPr>
          <w:rFonts w:hint="default" w:asciiTheme="minorAscii" w:hAnsiTheme="minorAscii"/>
        </w:rPr>
      </w:pPr>
    </w:p>
    <w:p w14:paraId="06FB11FE">
      <w:pPr>
        <w:rPr>
          <w:rFonts w:hint="default" w:asciiTheme="minorAscii" w:hAnsiTheme="minorAscii"/>
        </w:rPr>
      </w:pPr>
      <w:r>
        <w:rPr>
          <w:rFonts w:hint="default" w:asciiTheme="minorAscii" w:hAnsiTheme="minorAscii"/>
        </w:rPr>
        <w:br w:type="page"/>
      </w:r>
    </w:p>
    <w:p w14:paraId="750E3196">
      <w:pPr>
        <w:rPr>
          <w:rFonts w:hint="default" w:asciiTheme="minorAscii" w:hAnsiTheme="minorAscii" w:eastAsiaTheme="minorEastAsia"/>
          <w:b/>
          <w:bCs/>
          <w:sz w:val="28"/>
          <w:szCs w:val="36"/>
          <w:lang w:eastAsia="zh-CN"/>
        </w:rPr>
      </w:pPr>
      <w:r>
        <w:rPr>
          <w:rFonts w:hint="default" w:asciiTheme="minorAscii" w:hAnsiTheme="minorAscii"/>
          <w:b/>
          <w:bCs/>
          <w:sz w:val="28"/>
          <w:szCs w:val="36"/>
        </w:rPr>
        <w:t>Part 1: Historical Context and Inte</w:t>
      </w:r>
      <w:bookmarkStart w:id="0" w:name="_GoBack"/>
      <w:bookmarkEnd w:id="0"/>
      <w:r>
        <w:rPr>
          <w:rFonts w:hint="default" w:asciiTheme="minorAscii" w:hAnsiTheme="minorAscii"/>
          <w:b/>
          <w:bCs/>
          <w:sz w:val="28"/>
          <w:szCs w:val="36"/>
        </w:rPr>
        <w:t>llectual Origins: Two Different Worlds of Crisis</w:t>
      </w:r>
    </w:p>
    <w:p w14:paraId="5CB06908">
      <w:pPr>
        <w:rPr>
          <w:rFonts w:hint="default" w:asciiTheme="minorAscii" w:hAnsiTheme="minorAscii"/>
        </w:rPr>
      </w:pPr>
    </w:p>
    <w:p w14:paraId="1DF32CD2">
      <w:pPr>
        <w:rPr>
          <w:rFonts w:hint="default" w:asciiTheme="minorAscii" w:hAnsiTheme="minorAscii" w:eastAsiaTheme="minorEastAsia"/>
          <w:b/>
          <w:bCs/>
          <w:lang w:eastAsia="zh-CN"/>
        </w:rPr>
      </w:pPr>
      <w:r>
        <w:rPr>
          <w:rFonts w:hint="default" w:asciiTheme="minorAscii" w:hAnsiTheme="minorAscii"/>
          <w:b/>
          <w:bCs/>
        </w:rPr>
        <w:t>1.1 Pestalozzi: The Saint of Stanze and the Romance of Nature</w:t>
      </w:r>
    </w:p>
    <w:p w14:paraId="393E4A95">
      <w:pPr>
        <w:rPr>
          <w:rFonts w:hint="default" w:asciiTheme="minorAscii" w:hAnsiTheme="minorAscii"/>
        </w:rPr>
      </w:pPr>
      <w:r>
        <w:rPr>
          <w:rFonts w:hint="default" w:asciiTheme="minorAscii" w:hAnsiTheme="minorAscii"/>
        </w:rPr>
        <w:t>Johann Heinrich Pestalozzi (1746–1827) operated in a context of profound social upheaval in the German-speaking cantons of Switzerland. The twilight of the 18th century saw the fading of feudal structures and the early, often brutal, dislocations of proto-industrialisation. Poverty was not an abstract concept for Pestalozzi; it was the defining reality of the children he took into his home at Neuhof and, later, in the orphanage at Stanze following the wars of the French Revolution. His was a practical, desperate humanitarianism. Unlike armchair philosophers, his theories were forged in the daily struggle to feed, comfort, and teach society's most vulnerable. This intimate engagement led him to a radical conclusion: that traditional schooling, with its focus on rote memorisation of classical texts, was irrelevant and cruel to the poor. True social reform, he believed, must start not with political systems but with the moral and intellectual redemption of the individual child from the ground up (Silva, 2012).</w:t>
      </w:r>
    </w:p>
    <w:p w14:paraId="5B69D530">
      <w:pPr>
        <w:rPr>
          <w:rFonts w:hint="default" w:asciiTheme="minorAscii" w:hAnsiTheme="minorAscii"/>
        </w:rPr>
      </w:pPr>
    </w:p>
    <w:p w14:paraId="73A125B4">
      <w:pPr>
        <w:rPr>
          <w:rFonts w:hint="default" w:asciiTheme="minorAscii" w:hAnsiTheme="minorAscii"/>
        </w:rPr>
      </w:pPr>
      <w:r>
        <w:rPr>
          <w:rFonts w:hint="default" w:asciiTheme="minorAscii" w:hAnsiTheme="minorAscii"/>
        </w:rPr>
        <w:t>Intellectually, he was a disciple of Jean-Jacques Rousseau, whose seminal work Emile (1762) championed the innate goodness of the child and learning through nature. However, Pestalozzi diverged critically from his mentor. Where Rousseau’s ideal education occurred in isolation from a corrupt society, Pestalozzi’s occurred in the heart of a simulated, purified family unit. He transformed Rousseau’s abstract "natural man" into a concrete pedagogical project, replacing solitude with a community bonded by "educational love." His driving force was a quasi-religious conviction that a mother’s love was the first and most powerful educator, and that this model of affectionate guidance should inform all teaching. His life’s work was an attempt to institutionalise this maternal principle to heal a broken social order.</w:t>
      </w:r>
    </w:p>
    <w:p w14:paraId="6D5F57D3">
      <w:pPr>
        <w:rPr>
          <w:rFonts w:hint="default" w:asciiTheme="minorAscii" w:hAnsiTheme="minorAscii"/>
        </w:rPr>
      </w:pPr>
    </w:p>
    <w:p w14:paraId="5F387B67">
      <w:pPr>
        <w:rPr>
          <w:rFonts w:hint="default" w:asciiTheme="minorAscii" w:hAnsiTheme="minorAscii" w:eastAsiaTheme="minorEastAsia"/>
          <w:b/>
          <w:bCs/>
          <w:lang w:eastAsia="zh-CN"/>
        </w:rPr>
      </w:pPr>
      <w:r>
        <w:rPr>
          <w:rFonts w:hint="default" w:asciiTheme="minorAscii" w:hAnsiTheme="minorAscii"/>
          <w:b/>
          <w:bCs/>
        </w:rPr>
        <w:t>1.2 Dewey: The Philosopher in the Laboratory and the Democratic Imperative</w:t>
      </w:r>
    </w:p>
    <w:p w14:paraId="1235B6B4">
      <w:pPr>
        <w:rPr>
          <w:rFonts w:hint="default" w:asciiTheme="minorAscii" w:hAnsiTheme="minorAscii"/>
        </w:rPr>
      </w:pPr>
      <w:r>
        <w:rPr>
          <w:rFonts w:hint="default" w:asciiTheme="minorAscii" w:hAnsiTheme="minorAscii"/>
        </w:rPr>
        <w:t>John Dewey (1859–1952) developed his ideas in a different world of crisis: the dynamic, turbulent America of the Gilded Age and Progressive Era. The United States was grappling with the consequences of rapid industrialisation, mass immigration, urban sprawl, and the deepening inequalities of capitalist expansion. The challenge was no longer feeding orphans in a rural village but integrating a diverse populace into a functioning industrial democracy. The old, rigid, academic curriculum seemed increasingly unfit for this purpose. Dewey, first and foremost a philosopher of the Pragmatist school, approached education as the central testing ground for his ideas. Pragmatism, developed by Charles Sanders Peirce and William James, rejected searching for absolute truths, arguing instead that ideas are tools for solving problems, and their validity is tested by their practical consequences.</w:t>
      </w:r>
    </w:p>
    <w:p w14:paraId="28F6DC86">
      <w:pPr>
        <w:rPr>
          <w:rFonts w:hint="default" w:asciiTheme="minorAscii" w:hAnsiTheme="minorAscii"/>
        </w:rPr>
      </w:pPr>
    </w:p>
    <w:p w14:paraId="2A33B489">
      <w:pPr>
        <w:rPr>
          <w:rFonts w:hint="default" w:asciiTheme="minorAscii" w:hAnsiTheme="minorAscii"/>
        </w:rPr>
      </w:pPr>
      <w:r>
        <w:rPr>
          <w:rFonts w:hint="default" w:asciiTheme="minorAscii" w:hAnsiTheme="minorAscii"/>
        </w:rPr>
        <w:t>For Dewey, the great problem of his age was how to make democracy work in a complex, modern society. He saw the traditional school—with its passive students, fixed curricula, and authoritarian teachers—as an anti-democratic institution that prepared citizens for subservience, not participation. In 1896, he founded the University of Chicago Laboratory School, not as a charity but as a scientific laboratory. Here, he could experimentally test his hypothesis that school should not prepare for life, but be a form of communal life itself. His guiding question was relentlessly social and political: How can education equip individuals with the habits of mind—critical inquiry, cooperation, flexibility—necessary to navigate and improve a constantly changing democratic society? (Dewey, 1916). His work was thus a direct response to the social and intellectual demands of modernisation.</w:t>
      </w:r>
    </w:p>
    <w:p w14:paraId="07A64270">
      <w:pPr>
        <w:rPr>
          <w:rFonts w:hint="default" w:asciiTheme="minorAscii" w:hAnsiTheme="minorAscii"/>
        </w:rPr>
      </w:pPr>
    </w:p>
    <w:p w14:paraId="226FD0A8">
      <w:pPr>
        <w:rPr>
          <w:rFonts w:hint="default" w:asciiTheme="minorAscii" w:hAnsiTheme="minorAscii"/>
        </w:rPr>
      </w:pPr>
      <w:r>
        <w:rPr>
          <w:rFonts w:hint="default" w:asciiTheme="minorAscii" w:hAnsiTheme="minorAscii"/>
        </w:rPr>
        <w:br w:type="page"/>
      </w:r>
    </w:p>
    <w:p w14:paraId="59E590CE">
      <w:pPr>
        <w:rPr>
          <w:rFonts w:hint="default" w:asciiTheme="minorAscii" w:hAnsiTheme="minorAscii" w:eastAsiaTheme="minorEastAsia"/>
          <w:b/>
          <w:bCs/>
          <w:sz w:val="28"/>
          <w:szCs w:val="36"/>
          <w:lang w:eastAsia="zh-CN"/>
        </w:rPr>
      </w:pPr>
      <w:r>
        <w:rPr>
          <w:rFonts w:hint="default" w:asciiTheme="minorAscii" w:hAnsiTheme="minorAscii"/>
          <w:b/>
          <w:bCs/>
          <w:sz w:val="28"/>
          <w:szCs w:val="36"/>
        </w:rPr>
        <w:t>Part 2: Core Theories and Educational Practices: From Intuitive Perception to Scientific Experiment</w:t>
      </w:r>
    </w:p>
    <w:p w14:paraId="3A0D3A65">
      <w:pPr>
        <w:rPr>
          <w:rFonts w:hint="default" w:asciiTheme="minorAscii" w:hAnsiTheme="minorAscii"/>
          <w:b/>
          <w:bCs/>
        </w:rPr>
      </w:pPr>
    </w:p>
    <w:p w14:paraId="0251E898">
      <w:pPr>
        <w:rPr>
          <w:rFonts w:hint="default" w:asciiTheme="minorAscii" w:hAnsiTheme="minorAscii" w:eastAsiaTheme="minorEastAsia"/>
          <w:b/>
          <w:bCs/>
          <w:lang w:eastAsia="zh-CN"/>
        </w:rPr>
      </w:pPr>
      <w:r>
        <w:rPr>
          <w:rFonts w:hint="default" w:asciiTheme="minorAscii" w:hAnsiTheme="minorAscii"/>
          <w:b/>
          <w:bCs/>
        </w:rPr>
        <w:t>2.1 Pestalozzi: A Methodology of Harmony and Moral Feeling</w:t>
      </w:r>
    </w:p>
    <w:p w14:paraId="5DD4084C">
      <w:pPr>
        <w:rPr>
          <w:rFonts w:hint="default" w:asciiTheme="minorAscii" w:hAnsiTheme="minorAscii"/>
        </w:rPr>
      </w:pPr>
      <w:r>
        <w:rPr>
          <w:rFonts w:hint="default" w:asciiTheme="minorAscii" w:hAnsiTheme="minorAscii"/>
        </w:rPr>
        <w:t>Pestalozzi’s educational goal was elegantly summarised in his triad of "head, heart, and hand" (Kopf, Herz, und Hand). This was not a checklist of skills but a vision of organic, integrated human development. The "head" represented intellectual clarity, the "heart" moral sensibility and love, and the "hand" practical skill and industriousness. An imbalance led to a distorted person: a scholar without morality, a sentimentalist without intellect, or a labourer without understanding.</w:t>
      </w:r>
    </w:p>
    <w:p w14:paraId="3BDE4C30">
      <w:pPr>
        <w:rPr>
          <w:rFonts w:hint="default" w:asciiTheme="minorAscii" w:hAnsiTheme="minorAscii"/>
        </w:rPr>
      </w:pPr>
    </w:p>
    <w:p w14:paraId="0D9ACDED">
      <w:pPr>
        <w:rPr>
          <w:rFonts w:hint="default" w:asciiTheme="minorAscii" w:hAnsiTheme="minorAscii"/>
        </w:rPr>
      </w:pPr>
      <w:r>
        <w:rPr>
          <w:rFonts w:hint="default" w:asciiTheme="minorAscii" w:hAnsiTheme="minorAscii"/>
        </w:rPr>
        <w:t>To cultivate this balance, he developed a revolutionary, if sometimes rigid, methodology:</w:t>
      </w:r>
    </w:p>
    <w:p w14:paraId="26F7668B">
      <w:pPr>
        <w:rPr>
          <w:rFonts w:hint="default" w:asciiTheme="minorAscii" w:hAnsiTheme="minorAscii"/>
        </w:rPr>
      </w:pPr>
      <w:r>
        <w:rPr>
          <w:rFonts w:hint="default" w:asciiTheme="minorAscii" w:hAnsiTheme="minorAscii"/>
        </w:rPr>
        <w:t>1.  Anschauung (Intuitive Perception): This is the non-negotiable foundation. Pestalozzi argued that all knowledge, even of abstract concepts, must originate in the child’s direct, sensory experience of concrete objects. "The world is the book of the child," he claimed. Before a child learns the word "round," they must handle a ball and an apple. This principle militated against the verbosity of traditional teaching, demanding that instruction begin with observation, not description.</w:t>
      </w:r>
    </w:p>
    <w:p w14:paraId="0766F6D9">
      <w:pPr>
        <w:rPr>
          <w:rFonts w:hint="default" w:asciiTheme="minorAscii" w:hAnsiTheme="minorAscii"/>
        </w:rPr>
      </w:pPr>
      <w:r>
        <w:rPr>
          <w:rFonts w:hint="default" w:asciiTheme="minorAscii" w:hAnsiTheme="minorAscii"/>
        </w:rPr>
        <w:t>2.  The Elemental Method: Building on Anschauung, Pestalozzi believed every subject had fundamental, simple "elements." Education was the process of mastering these elements and gradually combining them into complex wholes. In number, the element was "one"; in form, the straight line; in sound, the basic phoneme. Teachers were to design exercises that allowed children to discover these elements for themselves, ensuring knowledge was actively constructed, not passively received (Pestalozzi, 1801).</w:t>
      </w:r>
    </w:p>
    <w:p w14:paraId="47905102">
      <w:pPr>
        <w:rPr>
          <w:rFonts w:hint="default" w:asciiTheme="minorAscii" w:hAnsiTheme="minorAscii"/>
        </w:rPr>
      </w:pPr>
      <w:r>
        <w:rPr>
          <w:rFonts w:hint="default" w:asciiTheme="minorAscii" w:hAnsiTheme="minorAscii"/>
        </w:rPr>
        <w:t>3.  The Primacy of Educational Love (Liebe): This was the atmosphere in which all else flourished. Pestalozzi believed intellectual instruction was futile, even harmful, without a prior bond of trust and affection. The teacher’s role was fundamentally maternal (or paternal); their authority derived from care, not fear. Moral education flowed naturally from this secure emotional base, as the child’s innate love for the caregiver extended to the family, the community, and ultimately to humanity.</w:t>
      </w:r>
    </w:p>
    <w:p w14:paraId="5702B543">
      <w:pPr>
        <w:rPr>
          <w:rFonts w:hint="default" w:asciiTheme="minorAscii" w:hAnsiTheme="minorAscii"/>
          <w:b/>
          <w:bCs/>
        </w:rPr>
      </w:pPr>
    </w:p>
    <w:p w14:paraId="755A7DDA">
      <w:pPr>
        <w:rPr>
          <w:rFonts w:hint="default" w:asciiTheme="minorAscii" w:hAnsiTheme="minorAscii" w:eastAsiaTheme="minorEastAsia"/>
          <w:b/>
          <w:bCs/>
          <w:lang w:eastAsia="zh-CN"/>
        </w:rPr>
      </w:pPr>
      <w:r>
        <w:rPr>
          <w:rFonts w:hint="default" w:asciiTheme="minorAscii" w:hAnsiTheme="minorAscii"/>
          <w:b/>
          <w:bCs/>
        </w:rPr>
        <w:t>2.2 Dewey: A Methodology of Experience and Democratic Problem-Solving</w:t>
      </w:r>
    </w:p>
    <w:p w14:paraId="1FD000FB">
      <w:pPr>
        <w:rPr>
          <w:rFonts w:hint="default" w:asciiTheme="minorAscii" w:hAnsiTheme="minorAscii"/>
        </w:rPr>
      </w:pPr>
      <w:r>
        <w:rPr>
          <w:rFonts w:hint="default" w:asciiTheme="minorAscii" w:hAnsiTheme="minorAscii"/>
        </w:rPr>
        <w:t>Dewey’s philosophy led him to define education in active, process-oriented terms: "Education is not preparation for life; education is life itself." He saw life as a series of problem-solving situations, and thus defined education as the "continual reconstruction of experience." From this, his most famous dictum followed: the school must be "an embryonic community life," a microcosm of society where children learn democracy by living it.</w:t>
      </w:r>
    </w:p>
    <w:p w14:paraId="2149F559">
      <w:pPr>
        <w:rPr>
          <w:rFonts w:hint="default" w:asciiTheme="minorAscii" w:hAnsiTheme="minorAscii"/>
        </w:rPr>
      </w:pPr>
    </w:p>
    <w:p w14:paraId="206BEA2A">
      <w:pPr>
        <w:rPr>
          <w:rFonts w:hint="default" w:asciiTheme="minorAscii" w:hAnsiTheme="minorAscii"/>
        </w:rPr>
      </w:pPr>
      <w:r>
        <w:rPr>
          <w:rFonts w:hint="default" w:asciiTheme="minorAscii" w:hAnsiTheme="minorAscii"/>
        </w:rPr>
        <w:t>His corresponding pedagogical methods were designed to enact this philosophy:</w:t>
      </w:r>
    </w:p>
    <w:p w14:paraId="1DD09B30">
      <w:pPr>
        <w:rPr>
          <w:rFonts w:hint="default" w:asciiTheme="minorAscii" w:hAnsiTheme="minorAscii"/>
        </w:rPr>
      </w:pPr>
      <w:r>
        <w:rPr>
          <w:rFonts w:hint="default" w:asciiTheme="minorAscii" w:hAnsiTheme="minorAscii"/>
        </w:rPr>
        <w:t>1.  Learning by Doing (The Experiential Continuum): For Dewey, "doing" was not merely manual activity but purposeful, reflective engagement with a problematic situation. Students might run a class store to learn arithmetic, cultivate a garden to study biology, or stage a play to understand history and literature. The key was that the activity was intrinsically interesting and generated genuine problems that demanded research, planning, and collaboration. Knowledge emerged as a tool to accomplish a desired end.</w:t>
      </w:r>
    </w:p>
    <w:p w14:paraId="6D73225B">
      <w:pPr>
        <w:rPr>
          <w:rFonts w:hint="default" w:asciiTheme="minorAscii" w:hAnsiTheme="minorAscii"/>
        </w:rPr>
      </w:pPr>
      <w:r>
        <w:rPr>
          <w:rFonts w:hint="default" w:asciiTheme="minorAscii" w:hAnsiTheme="minorAscii"/>
        </w:rPr>
        <w:t>2.  The Reflective Thinking Process: Dewey systematised learning into a scientific model, often called the "five steps of thought" or the "complete act of thinking": (i) a felt difficulty, (ii) its definition as a problem, (iii) generation of possible solutions (hypotheses), (iv) reasoning through the implications of each, and (v) testing through action. The teacher’s art lay in orchestrating the environment to present fruitful problems and guiding students through this cycle of inquiry.</w:t>
      </w:r>
    </w:p>
    <w:p w14:paraId="58FC95C0">
      <w:pPr>
        <w:rPr>
          <w:rFonts w:hint="default" w:asciiTheme="minorAscii" w:hAnsiTheme="minorAscii"/>
        </w:rPr>
      </w:pPr>
      <w:r>
        <w:rPr>
          <w:rFonts w:hint="default" w:asciiTheme="minorAscii" w:hAnsiTheme="minorAscii"/>
        </w:rPr>
        <w:t>3.  The Child and the Curriculum as Interactive: Dewey rejected the false choice between "child-centred" and "subject-centred" education. The child’s present experiences and interests were the starting point, but the organised knowledge of the curriculum (the "race’s accumulated wisdom") was the necessary destination. The teacher’s role was to serve as the mediator, skillfully connecting the child’s spontaneous activities to the systematic structures of human knowledge (Dewey, 1938). This required immense pedagogical skill, far beyond that of a lecturer or a mere facilitator.</w:t>
      </w:r>
    </w:p>
    <w:p w14:paraId="21F9CCE1">
      <w:pPr>
        <w:rPr>
          <w:rFonts w:hint="default" w:asciiTheme="minorAscii" w:hAnsiTheme="minorAscii"/>
        </w:rPr>
      </w:pPr>
    </w:p>
    <w:p w14:paraId="4FFBB07C">
      <w:pPr>
        <w:rPr>
          <w:rFonts w:hint="default" w:asciiTheme="minorAscii" w:hAnsiTheme="minorAscii"/>
        </w:rPr>
      </w:pPr>
      <w:r>
        <w:rPr>
          <w:rFonts w:hint="default" w:asciiTheme="minorAscii" w:hAnsiTheme="minorAscii"/>
        </w:rPr>
        <w:br w:type="page"/>
      </w:r>
    </w:p>
    <w:p w14:paraId="1B16F7ED">
      <w:pPr>
        <w:rPr>
          <w:rFonts w:hint="default" w:asciiTheme="minorAscii" w:hAnsiTheme="minorAscii" w:eastAsiaTheme="minorEastAsia"/>
          <w:b/>
          <w:bCs/>
          <w:sz w:val="28"/>
          <w:szCs w:val="36"/>
          <w:lang w:eastAsia="zh-CN"/>
        </w:rPr>
      </w:pPr>
      <w:r>
        <w:rPr>
          <w:rFonts w:hint="default" w:asciiTheme="minorAscii" w:hAnsiTheme="minorAscii"/>
          <w:b/>
          <w:bCs/>
          <w:sz w:val="28"/>
          <w:szCs w:val="36"/>
        </w:rPr>
        <w:t>Part 3: Historical Impact and Global Echoes: Diverging Legacies</w:t>
      </w:r>
    </w:p>
    <w:p w14:paraId="0520C331">
      <w:pPr>
        <w:rPr>
          <w:rFonts w:hint="default" w:asciiTheme="minorAscii" w:hAnsiTheme="minorAscii"/>
        </w:rPr>
      </w:pPr>
    </w:p>
    <w:p w14:paraId="3FD4F257">
      <w:pPr>
        <w:rPr>
          <w:rFonts w:hint="default" w:asciiTheme="minorAscii" w:hAnsiTheme="minorAscii" w:eastAsiaTheme="minorEastAsia"/>
          <w:b/>
          <w:bCs/>
          <w:lang w:eastAsia="zh-CN"/>
        </w:rPr>
      </w:pPr>
      <w:r>
        <w:rPr>
          <w:rFonts w:hint="default" w:asciiTheme="minorAscii" w:hAnsiTheme="minorAscii"/>
          <w:b/>
          <w:bCs/>
        </w:rPr>
        <w:t>3.1 Pestalozzi’s Legacy: The Humanising Impulse</w:t>
      </w:r>
    </w:p>
    <w:p w14:paraId="49B2ACAA">
      <w:pPr>
        <w:rPr>
          <w:rFonts w:hint="default" w:asciiTheme="minorAscii" w:hAnsiTheme="minorAscii"/>
        </w:rPr>
      </w:pPr>
      <w:r>
        <w:rPr>
          <w:rFonts w:hint="default" w:asciiTheme="minorAscii" w:hAnsiTheme="minorAscii"/>
        </w:rPr>
        <w:t>Pestalozzi’s influence was profound and diffuse, shaping the very soul of modern elementary education. He is rightly considered a founder of "popular education" and a key force in the "psychologisation of pedagogy," insisting that teaching methods must align with the child’s natural development. His most direct disciple, Friedrich Fröbel, adapted his ideas to create the kindergarten, a world of symbolic play and gifts based on Pestalozzi’s "elements." His emphasis on object-based learning, moral atmosphere, and teacher affection became standard fare in teacher training colleges across Europe and North America in the 19th century.</w:t>
      </w:r>
    </w:p>
    <w:p w14:paraId="38F2C2F4">
      <w:pPr>
        <w:rPr>
          <w:rFonts w:hint="default" w:asciiTheme="minorAscii" w:hAnsiTheme="minorAscii"/>
        </w:rPr>
      </w:pPr>
    </w:p>
    <w:p w14:paraId="24E3872B">
      <w:pPr>
        <w:rPr>
          <w:rFonts w:hint="default" w:asciiTheme="minorAscii" w:hAnsiTheme="minorAscii"/>
        </w:rPr>
      </w:pPr>
      <w:r>
        <w:rPr>
          <w:rFonts w:hint="default" w:asciiTheme="minorAscii" w:hAnsiTheme="minorAscii"/>
        </w:rPr>
        <w:t>In the 20th and 21st centuries, his spirit lives on wherever education seeks to address the "whole child." Movements advocating for social-emotional learning (SEL), which explicitly teach skills like empathy, self-regulation, and relationship-building, are direct descendants of Pestalozzi’s focus on the "heart." Similarly, holistic education models and critiques of overly cognitive, high-stakes testing environments often invoke his ideal of balanced, humane development. He remains the patron saint of educators who believe that caring for the child’s inner world is the precondition for all effective learning.</w:t>
      </w:r>
    </w:p>
    <w:p w14:paraId="6D218FC0">
      <w:pPr>
        <w:rPr>
          <w:rFonts w:hint="default" w:asciiTheme="minorAscii" w:hAnsiTheme="minorAscii"/>
        </w:rPr>
      </w:pPr>
    </w:p>
    <w:p w14:paraId="078032E5">
      <w:pPr>
        <w:rPr>
          <w:rFonts w:hint="default" w:asciiTheme="minorAscii" w:hAnsiTheme="minorAscii" w:eastAsiaTheme="minorEastAsia"/>
          <w:b/>
          <w:bCs/>
          <w:lang w:eastAsia="zh-CN"/>
        </w:rPr>
      </w:pPr>
      <w:r>
        <w:rPr>
          <w:rFonts w:hint="default" w:asciiTheme="minorAscii" w:hAnsiTheme="minorAscii"/>
          <w:b/>
          <w:bCs/>
        </w:rPr>
        <w:t>3.2 Dewey’s Legacy: The Engine of Reform and Its Ambiguities</w:t>
      </w:r>
    </w:p>
    <w:p w14:paraId="64E30F7A">
      <w:pPr>
        <w:rPr>
          <w:rFonts w:hint="default" w:asciiTheme="minorAscii" w:hAnsiTheme="minorAscii"/>
        </w:rPr>
      </w:pPr>
      <w:r>
        <w:rPr>
          <w:rFonts w:hint="default" w:asciiTheme="minorAscii" w:hAnsiTheme="minorAscii"/>
        </w:rPr>
        <w:t>Dewey’s impact has been more systemic and politically charged. He was the intellectual architect of the Progressive Education Association in America, and his ideas inspired radical school reforms worldwide. While the formal movement waned, its core principles became embedded in mainstream educational discourse. The ubiquity of terms like "inquiry-based learning," "problem-based learning," "student-centred learning," and "collaborative learning" is a testament to his victory. Modern pedagogical stars like project-based learning are pure Deweyan applications.</w:t>
      </w:r>
    </w:p>
    <w:p w14:paraId="7EE7B29B">
      <w:pPr>
        <w:rPr>
          <w:rFonts w:hint="default" w:asciiTheme="minorAscii" w:hAnsiTheme="minorAscii"/>
        </w:rPr>
      </w:pPr>
    </w:p>
    <w:p w14:paraId="6BC9FD78">
      <w:pPr>
        <w:rPr>
          <w:rFonts w:hint="default" w:asciiTheme="minorAscii" w:hAnsiTheme="minorAscii"/>
        </w:rPr>
      </w:pPr>
      <w:r>
        <w:rPr>
          <w:rFonts w:hint="default" w:asciiTheme="minorAscii" w:hAnsiTheme="minorAscii"/>
        </w:rPr>
        <w:t>His global influence is particularly striking. In the early 20th century, his ideas were eagerly adopted and adapted by reformers in China, Japan, and Turkey, who saw in them a blueprint for modernising their nations and cultivating active citizens. In China, Dewey’s disciple Tao Xingzhi famously inverted his master’s phrase to "life is education, society is school," adapting it to the context of rural mass education (Wang, 2010). However, Dewey’s legacy is also one of controversy and misinterpretation. He was often blamed (sometimes unfairly) for the perceived excesses of progressive schools that neglected basic skills. His complex philosophy was frequently reduced to a simplistic slogan of "learning by doing," severed from its rigorous framework of reflective thinking. Consequently, his name has been invoked to justify both profoundly thoughtful pedagogy and unstructured permissiveness.</w:t>
      </w:r>
    </w:p>
    <w:p w14:paraId="1EBE5E3A">
      <w:pPr>
        <w:rPr>
          <w:rFonts w:hint="default" w:asciiTheme="minorAscii" w:hAnsiTheme="minorAscii"/>
        </w:rPr>
      </w:pPr>
    </w:p>
    <w:p w14:paraId="408553ED">
      <w:pPr>
        <w:rPr>
          <w:rFonts w:hint="default" w:asciiTheme="minorAscii" w:hAnsiTheme="minorAscii"/>
        </w:rPr>
      </w:pPr>
      <w:r>
        <w:rPr>
          <w:rFonts w:hint="default" w:asciiTheme="minorAscii" w:hAnsiTheme="minorAscii"/>
        </w:rPr>
        <w:br w:type="page"/>
      </w:r>
    </w:p>
    <w:p w14:paraId="434D59EA">
      <w:pPr>
        <w:rPr>
          <w:rFonts w:hint="default" w:asciiTheme="minorAscii" w:hAnsiTheme="minorAscii" w:eastAsiaTheme="minorEastAsia"/>
          <w:b/>
          <w:bCs/>
          <w:sz w:val="28"/>
          <w:szCs w:val="36"/>
          <w:lang w:eastAsia="zh-CN"/>
        </w:rPr>
      </w:pPr>
      <w:r>
        <w:rPr>
          <w:rFonts w:hint="default" w:asciiTheme="minorAscii" w:hAnsiTheme="minorAscii"/>
          <w:b/>
          <w:bCs/>
          <w:sz w:val="28"/>
          <w:szCs w:val="36"/>
        </w:rPr>
        <w:t>Part 4: Critical Comparison and Synthetic Reflection: Bridging the Dialectic</w:t>
      </w:r>
    </w:p>
    <w:p w14:paraId="38B3C872">
      <w:pPr>
        <w:rPr>
          <w:rFonts w:hint="default" w:asciiTheme="minorAscii" w:hAnsiTheme="minorAscii"/>
        </w:rPr>
      </w:pPr>
    </w:p>
    <w:p w14:paraId="4A69AAC7">
      <w:pPr>
        <w:rPr>
          <w:rFonts w:hint="default" w:asciiTheme="minorAscii" w:hAnsiTheme="minorAscii" w:eastAsiaTheme="minorEastAsia"/>
          <w:b/>
          <w:bCs/>
          <w:lang w:eastAsia="zh-CN"/>
        </w:rPr>
      </w:pPr>
      <w:r>
        <w:rPr>
          <w:rFonts w:hint="default" w:asciiTheme="minorAscii" w:hAnsiTheme="minorAscii"/>
          <w:b/>
          <w:bCs/>
        </w:rPr>
        <w:t>4.1 Foundational Tensions: Unfolding vs. Reconstructing</w:t>
      </w:r>
    </w:p>
    <w:p w14:paraId="04CA1750">
      <w:pPr>
        <w:rPr>
          <w:rFonts w:hint="default" w:asciiTheme="minorAscii" w:hAnsiTheme="minorAscii"/>
        </w:rPr>
      </w:pPr>
      <w:r>
        <w:rPr>
          <w:rFonts w:hint="default" w:asciiTheme="minorAscii" w:hAnsiTheme="minorAscii"/>
        </w:rPr>
        <w:t>The comparison exposes a fundamental philosophical rift. Pestalozzi’s worldview was teleological and essentialist. He believed in a pre-existing, benevolent human essence that education should gently "unfold" according to a natural, divine plan. The child’s nature contains the perfect blueprint; the educator is a careful gardener. Dewey’s worldview was instrumentalist and experimental. He rejected fixed ends or essences. For him, human nature is plastic, and intelligence is a set of tools for adapting to an ever-changing environment. Education is the process of endlessly "reconstructing" experience; its only goal is more growth, leading to further growth (Dewey, 1916). Where Pestalozzi looked to uncover an inner truth, Dewey looked to solve an external problem.</w:t>
      </w:r>
    </w:p>
    <w:p w14:paraId="5D5D068D">
      <w:pPr>
        <w:rPr>
          <w:rFonts w:hint="default" w:asciiTheme="minorAscii" w:hAnsiTheme="minorAscii"/>
        </w:rPr>
      </w:pPr>
    </w:p>
    <w:p w14:paraId="58083F96">
      <w:pPr>
        <w:rPr>
          <w:rFonts w:hint="default" w:asciiTheme="minorAscii" w:hAnsiTheme="minorAscii" w:eastAsiaTheme="minorEastAsia"/>
          <w:b/>
          <w:bCs/>
          <w:lang w:eastAsia="zh-CN"/>
        </w:rPr>
      </w:pPr>
      <w:r>
        <w:rPr>
          <w:rFonts w:hint="default" w:asciiTheme="minorAscii" w:hAnsiTheme="minorAscii"/>
          <w:b/>
          <w:bCs/>
        </w:rPr>
        <w:t>4.2 The Individual-Society Nexus: Two Directions of Influence</w:t>
      </w:r>
    </w:p>
    <w:p w14:paraId="3A329ABE">
      <w:pPr>
        <w:rPr>
          <w:rFonts w:hint="default" w:asciiTheme="minorAscii" w:hAnsiTheme="minorAscii"/>
        </w:rPr>
      </w:pPr>
      <w:r>
        <w:rPr>
          <w:rFonts w:hint="default" w:asciiTheme="minorAscii" w:hAnsiTheme="minorAscii"/>
        </w:rPr>
        <w:t>This rift creates opposite visions of the individual-society relationship. Pestalozzi’s model is fundamentally inside-out. Social reform begins with the moral purification of the individual heart. A good society is a collection of good, harmoniously developed individuals whose love radiates outward from family to community. The school’s purpose is to create this good individual in a protected environment. Dewey’s model is emphatically outside-in. The individual is constituted through social participation. One becomes a democratic citizen not by first perfecting one’s inner virtues in isolation, but by practicing the habits of democracy—discussion, cooperation, collective problem-solving—within the school as a social institution. The individual and society are co-created in the process of shared experience.</w:t>
      </w:r>
    </w:p>
    <w:p w14:paraId="1FF20B21">
      <w:pPr>
        <w:rPr>
          <w:rFonts w:hint="default" w:asciiTheme="minorAscii" w:hAnsiTheme="minorAscii"/>
        </w:rPr>
      </w:pPr>
    </w:p>
    <w:p w14:paraId="554F704B">
      <w:pPr>
        <w:rPr>
          <w:rFonts w:hint="default" w:asciiTheme="minorAscii" w:hAnsiTheme="minorAscii" w:eastAsiaTheme="minorEastAsia"/>
          <w:b/>
          <w:bCs/>
          <w:lang w:eastAsia="zh-CN"/>
        </w:rPr>
      </w:pPr>
      <w:r>
        <w:rPr>
          <w:rFonts w:hint="default" w:asciiTheme="minorAscii" w:hAnsiTheme="minorAscii"/>
          <w:b/>
          <w:bCs/>
        </w:rPr>
        <w:t>4.3 Pedagogical Priorities: Feeling vs. Thinking</w:t>
      </w:r>
    </w:p>
    <w:p w14:paraId="0CB1B10F">
      <w:pPr>
        <w:rPr>
          <w:rFonts w:hint="default" w:asciiTheme="minorAscii" w:hAnsiTheme="minorAscii"/>
        </w:rPr>
      </w:pPr>
      <w:r>
        <w:rPr>
          <w:rFonts w:hint="default" w:asciiTheme="minorAscii" w:hAnsiTheme="minorAscii"/>
        </w:rPr>
        <w:t>Their methodological emphases differ accordingly. Pestalozzi prioritises feeling and perception. The foundational act is Anschauung—receiving a clear sensory impression. Love is the primary motivator. Thinking develops organically from this secure, perceptually rich, and emotionally warm base. Dewey prioritises thinking and action. The foundational act is encountering a problem. Motivation comes from the desire to resolve the difficulty. Feeling and perception are involved, but they are in the service of the intellectual work of inquiry. For Pestalozzi, the ideal classroom is a loving home; for Dewey, it is a busy laboratory or workshop.</w:t>
      </w:r>
    </w:p>
    <w:p w14:paraId="70407100">
      <w:pPr>
        <w:rPr>
          <w:rFonts w:hint="default" w:asciiTheme="minorAscii" w:hAnsiTheme="minorAscii"/>
        </w:rPr>
      </w:pPr>
    </w:p>
    <w:p w14:paraId="7858F2F7">
      <w:pPr>
        <w:rPr>
          <w:rFonts w:hint="default" w:asciiTheme="minorAscii" w:hAnsiTheme="minorAscii" w:eastAsiaTheme="minorEastAsia"/>
          <w:b/>
          <w:bCs/>
          <w:lang w:eastAsia="zh-CN"/>
        </w:rPr>
      </w:pPr>
      <w:r>
        <w:rPr>
          <w:rFonts w:hint="default" w:asciiTheme="minorAscii" w:hAnsiTheme="minorAscii"/>
          <w:b/>
          <w:bCs/>
        </w:rPr>
        <w:t>4.4 Complementary Strengths and Modern Resonances: A Necessary Synthesis</w:t>
      </w:r>
    </w:p>
    <w:p w14:paraId="776C3C1B">
      <w:pPr>
        <w:rPr>
          <w:rFonts w:hint="default" w:asciiTheme="minorAscii" w:hAnsiTheme="minorAscii"/>
        </w:rPr>
      </w:pPr>
      <w:r>
        <w:rPr>
          <w:rFonts w:hint="default" w:asciiTheme="minorAscii" w:hAnsiTheme="minorAscii"/>
        </w:rPr>
        <w:t>Rather than seeing them as opposites to be rejected, their tension can be viewed as a necessary dialectic for a complete education. Each corrects the blind spots of the other. Pestalozzi’s enduring warning is that an education focused solely on problem-solving, skills, and social efficiency can become cold, technocratic, and neglectful of the child’s inner emotional and moral life. In an age of anxiety and alienation, his call for educational love and holistic care is urgently relevant. Dewey’s enduring warning is that an education focused solely on inner harmony and feeling can become socially quietist, failing to equip individuals with the critical faculties needed to analyse and challenge injustice. In an era of complex global problems and democratic fragility, his call for inquiry and democratic habit-forming is equally vital.</w:t>
      </w:r>
    </w:p>
    <w:p w14:paraId="15233B9C">
      <w:pPr>
        <w:rPr>
          <w:rFonts w:hint="default" w:asciiTheme="minorAscii" w:hAnsiTheme="minorAscii"/>
        </w:rPr>
      </w:pPr>
    </w:p>
    <w:p w14:paraId="5653207B">
      <w:pPr>
        <w:rPr>
          <w:rFonts w:hint="default" w:asciiTheme="minorAscii" w:hAnsiTheme="minorAscii"/>
        </w:rPr>
      </w:pPr>
      <w:r>
        <w:rPr>
          <w:rFonts w:hint="default" w:asciiTheme="minorAscii" w:hAnsiTheme="minorAscii"/>
        </w:rPr>
        <w:t>A truly robust modern pedagogy might, therefore, seek a synthesis. It would aim to create a Pestalozzian environment—a secure, supportive, and emotionally responsive community—within which Deweyan activities—collaborative, inquiry-driven projects addressing meaningful problems—can thrive. The "heart" provides the safe harbour from which the "head" can embark on daring voyages of discovery. For instance, a project on environmental justice (Dewey) would be conducted in a classroom climate that explicitly cultivates empathy, respect, and mutual care (Pestalozzi). One framework provides the how of learning (inquiry, collaboration), while the other provides the why and the spirit (moral purpose, holistic development).</w:t>
      </w:r>
    </w:p>
    <w:p w14:paraId="539CA0AB">
      <w:pPr>
        <w:rPr>
          <w:rFonts w:hint="default" w:asciiTheme="minorAscii" w:hAnsiTheme="minorAscii"/>
        </w:rPr>
      </w:pPr>
      <w:r>
        <w:rPr>
          <w:rFonts w:hint="default" w:asciiTheme="minorAscii" w:hAnsiTheme="minorAscii"/>
        </w:rPr>
        <w:br w:type="page"/>
      </w:r>
    </w:p>
    <w:p w14:paraId="2849A667">
      <w:pPr>
        <w:rPr>
          <w:rFonts w:hint="default" w:asciiTheme="minorAscii" w:hAnsiTheme="minorAscii" w:eastAsiaTheme="minorEastAsia"/>
          <w:b/>
          <w:bCs/>
          <w:sz w:val="28"/>
          <w:szCs w:val="36"/>
          <w:lang w:eastAsia="zh-CN"/>
        </w:rPr>
      </w:pPr>
      <w:r>
        <w:rPr>
          <w:rFonts w:hint="default" w:asciiTheme="minorAscii" w:hAnsiTheme="minorAscii"/>
          <w:b/>
          <w:bCs/>
          <w:sz w:val="28"/>
          <w:szCs w:val="36"/>
        </w:rPr>
        <w:t xml:space="preserve">Part </w:t>
      </w:r>
      <w:r>
        <w:rPr>
          <w:rFonts w:hint="default" w:asciiTheme="minorAscii" w:hAnsiTheme="minorAscii"/>
          <w:b/>
          <w:bCs/>
          <w:sz w:val="28"/>
          <w:szCs w:val="36"/>
          <w:lang w:val="en-US" w:eastAsia="zh-CN"/>
        </w:rPr>
        <w:t>5</w:t>
      </w:r>
      <w:r>
        <w:rPr>
          <w:rFonts w:hint="default" w:asciiTheme="minorAscii" w:hAnsiTheme="minorAscii"/>
          <w:b/>
          <w:bCs/>
          <w:sz w:val="28"/>
          <w:szCs w:val="36"/>
        </w:rPr>
        <w:t>:</w:t>
      </w:r>
      <w:r>
        <w:rPr>
          <w:rFonts w:hint="default" w:asciiTheme="minorAscii" w:hAnsiTheme="minorAscii"/>
          <w:b/>
          <w:bCs/>
          <w:sz w:val="28"/>
          <w:szCs w:val="36"/>
          <w:lang w:val="en-US" w:eastAsia="zh-CN"/>
        </w:rPr>
        <w:t xml:space="preserve"> </w:t>
      </w:r>
      <w:r>
        <w:rPr>
          <w:rFonts w:hint="default" w:asciiTheme="minorAscii" w:hAnsiTheme="minorAscii"/>
          <w:b/>
          <w:bCs/>
          <w:sz w:val="28"/>
          <w:szCs w:val="36"/>
        </w:rPr>
        <w:t>Critical Reflection: Theory Travel, Fusion, and Tension in the Chinese Context</w:t>
      </w:r>
    </w:p>
    <w:p w14:paraId="28B9FDCF">
      <w:pPr>
        <w:rPr>
          <w:rFonts w:hint="default" w:asciiTheme="minorAscii" w:hAnsiTheme="minorAscii"/>
        </w:rPr>
      </w:pPr>
    </w:p>
    <w:p w14:paraId="05A1B560">
      <w:pPr>
        <w:rPr>
          <w:rFonts w:hint="default" w:asciiTheme="minorAscii" w:hAnsiTheme="minorAscii"/>
        </w:rPr>
      </w:pPr>
      <w:r>
        <w:rPr>
          <w:rFonts w:hint="default" w:asciiTheme="minorAscii" w:hAnsiTheme="minorAscii"/>
        </w:rPr>
        <w:t>The reception of Pestalozzi and Dewey in China offers a powerful lens to examine how educational theories are translated, adapted, and transformed across cultural boundaries. This process, termed ‘theory travel,’ involves selective adoption, creative reinterpretation, and often, formalistic distortion to fit local imperatives (Wang, 2001). An analysis of their ideas within China’s “Suzhi Education” (Quality Education) and “New Curriculum Reform” reveals a complex landscape of fusion and persistent tension.</w:t>
      </w:r>
    </w:p>
    <w:p w14:paraId="30ADDAFB">
      <w:pPr>
        <w:rPr>
          <w:rFonts w:hint="default" w:asciiTheme="minorAscii" w:hAnsiTheme="minorAscii"/>
        </w:rPr>
      </w:pPr>
    </w:p>
    <w:p w14:paraId="57F4790C">
      <w:pPr>
        <w:rPr>
          <w:rFonts w:hint="default" w:asciiTheme="minorAscii" w:hAnsiTheme="minorAscii" w:eastAsiaTheme="minorEastAsia"/>
          <w:b/>
          <w:bCs/>
          <w:lang w:eastAsia="zh-CN"/>
        </w:rPr>
      </w:pPr>
      <w:r>
        <w:rPr>
          <w:rFonts w:hint="default" w:asciiTheme="minorAscii" w:hAnsiTheme="minorAscii"/>
          <w:b/>
          <w:bCs/>
        </w:rPr>
        <w:t>5.1 Selective Alignment and Substantive Shifts</w:t>
      </w:r>
    </w:p>
    <w:p w14:paraId="359C354F">
      <w:pPr>
        <w:rPr>
          <w:rFonts w:hint="default" w:asciiTheme="minorAscii" w:hAnsiTheme="minorAscii"/>
        </w:rPr>
      </w:pPr>
      <w:r>
        <w:rPr>
          <w:rFonts w:hint="default" w:asciiTheme="minorAscii" w:hAnsiTheme="minorAscii"/>
        </w:rPr>
        <w:t>China’s “Suzhi Education” policy, which advocates for all-around student development to counter “Exam-Oriented Education,” explicitly aligns with Pestalozzi’s triad of “head, heart, and hand.” The promotion of innovation (‘head’), moral education (‘heart’), and practical skills/labour (‘hand’) creates a direct conceptual parallel. However, substantive shifts occur. Pestalozzi’s “educational love,” rooted in intimate, family-like settings, struggles to scale within China’s vast, bureaucratic school system, often becoming an abstract ethical directive rather than a daily practice. More critically, the Pestalozzian ideal of an organic, indivisible whole is fractured by the enduring dominance of examination culture. The development of the ‘head’ is frequently narrowed to exam performance, while the ‘heart’ and ‘hand’ are marginalised to peripheral activities, leading to the noted paradox where “Suzhi Education is promoted vigorously, but Exam-Oriented Education is practiced diligently” (Zhong, 2005). This represents a hollowing out of Pestalozzi’s humanistic core.</w:t>
      </w:r>
    </w:p>
    <w:p w14:paraId="096F91A4">
      <w:pPr>
        <w:rPr>
          <w:rFonts w:hint="default" w:asciiTheme="minorAscii" w:hAnsiTheme="minorAscii"/>
        </w:rPr>
      </w:pPr>
    </w:p>
    <w:p w14:paraId="2FB05DBF">
      <w:pPr>
        <w:rPr>
          <w:rFonts w:hint="default" w:asciiTheme="minorAscii" w:hAnsiTheme="minorAscii"/>
        </w:rPr>
      </w:pPr>
      <w:r>
        <w:rPr>
          <w:rFonts w:hint="default" w:asciiTheme="minorAscii" w:hAnsiTheme="minorAscii"/>
        </w:rPr>
        <w:t>Dewey’s influence on the “New Curriculum Reform” is even more pronounced, with its official endorsement of “independent, collaborative, and inquiry-based learning.” Yet, Deweyan ‘inquiry’ often undergoes formalistic distortion. When divorced from a culture of genuine intellectual freedom and critical discourse, and constrained by high-stakes standardized testing, ‘inquiry-based learning’ can degenerate into a ritualised procedure aimed at discovering a pre-determined answer. The activity (‘doing’) becomes an end in itself rather than a means for genuine ‘reconstruction of experience.’ As scholars note, without a fundamental shift in assessment paradigms and teacher readiness, progressive methods risk being co-opted by the very system they seek to change.</w:t>
      </w:r>
    </w:p>
    <w:p w14:paraId="7B586F32">
      <w:pPr>
        <w:rPr>
          <w:rFonts w:hint="default" w:asciiTheme="minorAscii" w:hAnsiTheme="minorAscii"/>
        </w:rPr>
      </w:pPr>
    </w:p>
    <w:p w14:paraId="550C01B7">
      <w:pPr>
        <w:rPr>
          <w:rFonts w:hint="default" w:asciiTheme="minorAscii" w:hAnsiTheme="minorAscii" w:eastAsiaTheme="minorEastAsia"/>
          <w:b/>
          <w:bCs/>
          <w:lang w:eastAsia="zh-CN"/>
        </w:rPr>
      </w:pPr>
      <w:r>
        <w:rPr>
          <w:rFonts w:hint="default" w:asciiTheme="minorAscii" w:hAnsiTheme="minorAscii"/>
          <w:b/>
          <w:bCs/>
        </w:rPr>
        <w:t>5.2 Functional Fusion and Theoretical Tension</w:t>
      </w:r>
    </w:p>
    <w:p w14:paraId="53AE3FC2">
      <w:pPr>
        <w:rPr>
          <w:rFonts w:hint="default" w:asciiTheme="minorAscii" w:hAnsiTheme="minorAscii"/>
        </w:rPr>
      </w:pPr>
      <w:r>
        <w:rPr>
          <w:rFonts w:hint="default" w:asciiTheme="minorAscii" w:hAnsiTheme="minorAscii"/>
        </w:rPr>
        <w:t>In practice, a functional fusion of both theorists’ ideas is observable in attempts to construct a distinctly Chinese progressive model. Pestalozzi’s emphasis on the ‘heart’ (moral/emotional foundation) is deployed to address student motivation and social stability, while Dewey’s emphasis on the ‘head’ (inquiry, problem-solving) is harnessed to drive innovation and economic competitiveness. ‘Hands-on’ activities serve as the unifying field. This creates a synthetic practice where, for example, a project on community history (Deweyan inquiry) is conducted within a framework emphasising collective spirit and patriotism (Pestalozzian moral sentiment).</w:t>
      </w:r>
    </w:p>
    <w:p w14:paraId="6C0DAC9A">
      <w:pPr>
        <w:rPr>
          <w:rFonts w:hint="default" w:asciiTheme="minorAscii" w:hAnsiTheme="minorAscii"/>
        </w:rPr>
      </w:pPr>
    </w:p>
    <w:p w14:paraId="24D14E63">
      <w:pPr>
        <w:rPr>
          <w:rFonts w:hint="default" w:asciiTheme="minorAscii" w:hAnsiTheme="minorAscii"/>
        </w:rPr>
      </w:pPr>
      <w:r>
        <w:rPr>
          <w:rFonts w:hint="default" w:asciiTheme="minorAscii" w:hAnsiTheme="minorAscii"/>
        </w:rPr>
        <w:t>However, this practical fusion does not reconcile the underlying philosophical tension. Pestalozzi’s vision is ultimately one of inner harmony and completion aligned with a defined moral order. Dewey’s vision is one of open-ended growth and reconstruction for an uncertain democratic future. In the Chinese context, the former aligns more readily with state-led socialisation goals, while the latter is strategically instrumentalised for human capital development. The radical democratic and individualistic potentials in both thinkers are necessarily subdued in favour of collective social and economic objectives. This illustrates how global theories are locally ‘re-contextualised,’ their edges smoothed to fit national priorities (Wang, 2001).</w:t>
      </w:r>
    </w:p>
    <w:p w14:paraId="032979E8">
      <w:pPr>
        <w:rPr>
          <w:rFonts w:hint="default" w:asciiTheme="minorAscii" w:hAnsiTheme="minorAscii"/>
        </w:rPr>
      </w:pPr>
    </w:p>
    <w:p w14:paraId="52204BBE">
      <w:pPr>
        <w:rPr>
          <w:rFonts w:hint="default" w:asciiTheme="minorAscii" w:hAnsiTheme="minorAscii" w:eastAsiaTheme="minorEastAsia"/>
          <w:b/>
          <w:bCs/>
          <w:lang w:eastAsia="zh-CN"/>
        </w:rPr>
      </w:pPr>
      <w:r>
        <w:rPr>
          <w:rFonts w:hint="default" w:asciiTheme="minorAscii" w:hAnsiTheme="minorAscii"/>
          <w:b/>
          <w:bCs/>
        </w:rPr>
        <w:t>5.3 Conclusion: The Value of the Dialogue</w:t>
      </w:r>
    </w:p>
    <w:p w14:paraId="6FBC0CE8">
      <w:pPr>
        <w:rPr>
          <w:rFonts w:hint="default" w:asciiTheme="minorAscii" w:hAnsiTheme="minorAscii"/>
        </w:rPr>
      </w:pPr>
      <w:r>
        <w:rPr>
          <w:rFonts w:hint="default" w:asciiTheme="minorAscii" w:hAnsiTheme="minorAscii"/>
        </w:rPr>
        <w:t>The Chinese case study demonstrates that the application of Pestalozzi and Dewey is never neutral. It is a process of selective borrowing and creative adaptation, where theories are pressure-tested by local realities and reshaped by dominant cultural-political logics. The ‘travel’ of their ideas to China highlights both the universal appeal of their critiques of rigid schooling and the inevitable particularity of their implementation. For global educators, this reflection underscores that meaningful reform cannot rely on importing blueprints. It requires a deep, critical engagement with foundational theories, a clear-eyed analysis of local constraints and possibilities, and the courage to forge syntheses that, while perhaps imperfect, are contextually responsive. The dialogue between Pestalozzi’s call for inner harmony and Dewey’s demand for social engagement remains vital, not as a prescription, but as a perpetual source of questions to guide our own educational experiments.</w:t>
      </w:r>
    </w:p>
    <w:p w14:paraId="518EEF56">
      <w:pPr>
        <w:rPr>
          <w:rFonts w:hint="default" w:asciiTheme="minorAscii" w:hAnsiTheme="minorAscii"/>
        </w:rPr>
      </w:pPr>
    </w:p>
    <w:p w14:paraId="10C7DA42">
      <w:pPr>
        <w:rPr>
          <w:rFonts w:hint="default" w:asciiTheme="minorAscii" w:hAnsiTheme="minorAscii"/>
        </w:rPr>
      </w:pPr>
      <w:r>
        <w:rPr>
          <w:rFonts w:hint="default" w:asciiTheme="minorAscii" w:hAnsiTheme="minorAscii"/>
        </w:rPr>
        <w:br w:type="page"/>
      </w:r>
    </w:p>
    <w:p w14:paraId="12ECCF11">
      <w:pPr>
        <w:rPr>
          <w:rFonts w:hint="default" w:asciiTheme="minorAscii" w:hAnsiTheme="minorAscii" w:eastAsiaTheme="minorEastAsia"/>
          <w:b/>
          <w:bCs/>
          <w:sz w:val="28"/>
          <w:szCs w:val="36"/>
          <w:lang w:eastAsia="zh-CN"/>
        </w:rPr>
      </w:pPr>
      <w:r>
        <w:rPr>
          <w:rFonts w:hint="default" w:asciiTheme="minorAscii" w:hAnsiTheme="minorAscii"/>
          <w:b/>
          <w:bCs/>
          <w:sz w:val="28"/>
          <w:szCs w:val="36"/>
        </w:rPr>
        <w:t>Conclusion</w:t>
      </w:r>
    </w:p>
    <w:p w14:paraId="0BC4FE9C">
      <w:pPr>
        <w:rPr>
          <w:rFonts w:hint="default" w:asciiTheme="minorAscii" w:hAnsiTheme="minorAscii"/>
        </w:rPr>
      </w:pPr>
      <w:r>
        <w:rPr>
          <w:rFonts w:hint="default" w:asciiTheme="minorAscii" w:hAnsiTheme="minorAscii"/>
        </w:rPr>
        <w:t>Pestalozzi and Dewey represent two powerful, distinct strands of progressive thought. Pestalozzi gifted education a moral compass and a heart, prioritising the affective foundation of learning and the integrated self. Dewey gifted it a scientific method and a social purpose, prioritising intellectual inquiry for democratic life. Their differences—between unfolding and reconstructing, inner cultivation and civic participation—reflect deep philosophical choices about human nature and the good society. The Chinese example further shows that these theories are not static artefacts but living ideas that transform and are transformed by their contexts. The contemporary task is not to choose one master but to engage with the productive tension between them. The most robust educational practice may well be that which strives to create Pestalozzian communities of care that empower Deweyan communities of inquiry, recognising that nurturing persons and engaged citizens are two sides of the same coin.</w:t>
      </w:r>
    </w:p>
    <w:p w14:paraId="7527FD82">
      <w:pPr>
        <w:rPr>
          <w:rFonts w:hint="default" w:asciiTheme="minorAscii" w:hAnsiTheme="minorAscii"/>
        </w:rPr>
      </w:pPr>
    </w:p>
    <w:p w14:paraId="5D6DAF5D">
      <w:pPr>
        <w:rPr>
          <w:rFonts w:hint="default" w:asciiTheme="minorAscii" w:hAnsiTheme="minorAscii"/>
        </w:rPr>
      </w:pPr>
      <w:r>
        <w:rPr>
          <w:rFonts w:hint="default" w:asciiTheme="minorAscii" w:hAnsiTheme="minorAscii"/>
        </w:rPr>
        <w:br w:type="page"/>
      </w:r>
    </w:p>
    <w:p w14:paraId="6C0B42DA">
      <w:pPr>
        <w:rPr>
          <w:rFonts w:hint="default" w:asciiTheme="minorAscii" w:hAnsiTheme="minorAscii" w:eastAsiaTheme="minorEastAsia"/>
          <w:b/>
          <w:bCs/>
          <w:sz w:val="28"/>
          <w:szCs w:val="36"/>
          <w:lang w:eastAsia="zh-CN"/>
        </w:rPr>
      </w:pPr>
      <w:r>
        <w:rPr>
          <w:rFonts w:hint="default" w:asciiTheme="minorAscii" w:hAnsiTheme="minorAscii"/>
          <w:b/>
          <w:bCs/>
          <w:sz w:val="28"/>
          <w:szCs w:val="36"/>
        </w:rPr>
        <w:t>References</w:t>
      </w:r>
    </w:p>
    <w:p w14:paraId="6F6F4C67">
      <w:pPr>
        <w:numPr>
          <w:ilvl w:val="0"/>
          <w:numId w:val="1"/>
        </w:numPr>
        <w:jc w:val="left"/>
        <w:rPr>
          <w:rFonts w:hint="default" w:asciiTheme="minorAscii" w:hAnsiTheme="minorAscii"/>
        </w:rPr>
      </w:pPr>
      <w:r>
        <w:rPr>
          <w:rFonts w:hint="default" w:asciiTheme="minorAscii" w:hAnsiTheme="minorAscii"/>
        </w:rPr>
        <w:t xml:space="preserve">Dewey, J. (1916) </w:t>
      </w:r>
      <w:r>
        <w:rPr>
          <w:rFonts w:hint="default" w:asciiTheme="minorAscii" w:hAnsiTheme="minorAscii"/>
          <w:i/>
          <w:iCs/>
        </w:rPr>
        <w:t>Democracy and Education: An Introduction to the Philosophy of Education</w:t>
      </w:r>
      <w:r>
        <w:rPr>
          <w:rFonts w:hint="default" w:asciiTheme="minorAscii" w:hAnsiTheme="minorAscii"/>
          <w:i w:val="0"/>
          <w:iCs w:val="0"/>
        </w:rPr>
        <w:t xml:space="preserve">. </w:t>
      </w:r>
      <w:r>
        <w:rPr>
          <w:rFonts w:hint="default" w:asciiTheme="minorAscii" w:hAnsiTheme="minorAscii"/>
        </w:rPr>
        <w:t>The Macmillan Company.</w:t>
      </w:r>
    </w:p>
    <w:p w14:paraId="725B7A1F">
      <w:pPr>
        <w:numPr>
          <w:ilvl w:val="0"/>
          <w:numId w:val="1"/>
        </w:numPr>
        <w:jc w:val="left"/>
        <w:rPr>
          <w:rFonts w:hint="default" w:asciiTheme="minorAscii" w:hAnsiTheme="minorAscii"/>
        </w:rPr>
      </w:pPr>
      <w:r>
        <w:rPr>
          <w:rFonts w:hint="default" w:asciiTheme="minorAscii" w:hAnsiTheme="minorAscii"/>
        </w:rPr>
        <w:t xml:space="preserve">Dewey, J. (1938) </w:t>
      </w:r>
      <w:r>
        <w:rPr>
          <w:rFonts w:hint="default" w:asciiTheme="minorAscii" w:hAnsiTheme="minorAscii"/>
          <w:i/>
          <w:iCs/>
        </w:rPr>
        <w:t>Experience and Education</w:t>
      </w:r>
      <w:r>
        <w:rPr>
          <w:rFonts w:hint="default" w:asciiTheme="minorAscii" w:hAnsiTheme="minorAscii"/>
        </w:rPr>
        <w:t>. Kappa Delta Pi.</w:t>
      </w:r>
    </w:p>
    <w:p w14:paraId="29B972DD">
      <w:pPr>
        <w:numPr>
          <w:ilvl w:val="0"/>
          <w:numId w:val="1"/>
        </w:numPr>
        <w:jc w:val="left"/>
        <w:rPr>
          <w:rFonts w:hint="default" w:asciiTheme="minorAscii" w:hAnsiTheme="minorAscii"/>
        </w:rPr>
      </w:pPr>
      <w:r>
        <w:rPr>
          <w:rFonts w:hint="default" w:asciiTheme="minorAscii" w:hAnsiTheme="minorAscii"/>
        </w:rPr>
        <w:t xml:space="preserve">Pestalozzi, J.H. (1801) </w:t>
      </w:r>
      <w:r>
        <w:rPr>
          <w:rFonts w:hint="default" w:asciiTheme="minorAscii" w:hAnsiTheme="minorAscii"/>
          <w:i/>
          <w:iCs/>
        </w:rPr>
        <w:t>How Gertrude Teaches Her Children (L.E. Holland &amp; F.C. Turner, Trans.)</w:t>
      </w:r>
      <w:r>
        <w:rPr>
          <w:rFonts w:hint="default" w:asciiTheme="minorAscii" w:hAnsiTheme="minorAscii"/>
        </w:rPr>
        <w:t>. Swan Sonnenschein &amp; Co.</w:t>
      </w:r>
    </w:p>
    <w:p w14:paraId="39D07AB1">
      <w:pPr>
        <w:numPr>
          <w:ilvl w:val="0"/>
          <w:numId w:val="1"/>
        </w:numPr>
        <w:jc w:val="left"/>
        <w:rPr>
          <w:rFonts w:hint="default" w:asciiTheme="minorAscii" w:hAnsiTheme="minorAscii"/>
        </w:rPr>
      </w:pPr>
      <w:r>
        <w:rPr>
          <w:rFonts w:hint="default" w:asciiTheme="minorAscii" w:hAnsiTheme="minorAscii"/>
        </w:rPr>
        <w:t>Silva, M. A. (2012)</w:t>
      </w:r>
      <w:r>
        <w:rPr>
          <w:rFonts w:hint="eastAsia" w:asciiTheme="minorAscii" w:hAnsiTheme="minorAscii"/>
          <w:lang w:val="en-US" w:eastAsia="zh-CN"/>
        </w:rPr>
        <w:t xml:space="preserve"> </w:t>
      </w:r>
      <w:r>
        <w:rPr>
          <w:rFonts w:hint="default" w:asciiTheme="minorAscii" w:hAnsiTheme="minorAscii"/>
          <w:lang w:val="en-US" w:eastAsia="zh-CN"/>
        </w:rPr>
        <w:t>‘</w:t>
      </w:r>
      <w:r>
        <w:rPr>
          <w:rFonts w:hint="default" w:asciiTheme="minorAscii" w:hAnsiTheme="minorAscii"/>
        </w:rPr>
        <w:t>The legacy of Pestalozzi, Herbart and Dewey for school pedagogical practices</w:t>
      </w:r>
      <w:r>
        <w:rPr>
          <w:rFonts w:hint="default" w:asciiTheme="minorAscii" w:hAnsiTheme="minorAscii"/>
          <w:lang w:val="en-US" w:eastAsia="zh-CN"/>
        </w:rPr>
        <w:t>’</w:t>
      </w:r>
      <w:r>
        <w:rPr>
          <w:rFonts w:hint="eastAsia" w:asciiTheme="minorAscii" w:hAnsiTheme="minorAscii"/>
          <w:lang w:val="en-US" w:eastAsia="zh-CN"/>
        </w:rPr>
        <w:t>,</w:t>
      </w:r>
      <w:r>
        <w:rPr>
          <w:rFonts w:hint="default" w:asciiTheme="minorAscii" w:hAnsiTheme="minorAscii"/>
        </w:rPr>
        <w:t xml:space="preserve"> </w:t>
      </w:r>
      <w:r>
        <w:rPr>
          <w:rFonts w:hint="default" w:asciiTheme="minorAscii" w:hAnsiTheme="minorAscii"/>
          <w:i/>
          <w:iCs/>
        </w:rPr>
        <w:t>Teoria e Prática da Educação</w:t>
      </w:r>
      <w:r>
        <w:rPr>
          <w:rFonts w:hint="default" w:asciiTheme="minorAscii" w:hAnsiTheme="minorAscii"/>
        </w:rPr>
        <w:t>, 15(1), 105–112.</w:t>
      </w:r>
      <w:r>
        <w:rPr>
          <w:rFonts w:hint="eastAsia" w:asciiTheme="minorAscii" w:hAnsiTheme="minorAscii"/>
          <w:lang w:val="en-US" w:eastAsia="zh-CN"/>
        </w:rPr>
        <w:t xml:space="preserve"> </w:t>
      </w:r>
      <w:r>
        <w:rPr>
          <w:rFonts w:hint="default" w:asciiTheme="minorAscii" w:hAnsiTheme="minorAscii"/>
        </w:rPr>
        <w:t>Available at:</w:t>
      </w:r>
      <w:r>
        <w:rPr>
          <w:rFonts w:hint="eastAsia" w:asciiTheme="minorAscii" w:hAnsiTheme="minorAscii"/>
          <w:lang w:val="en-US" w:eastAsia="zh-CN"/>
        </w:rPr>
        <w:t xml:space="preserve"> </w:t>
      </w:r>
      <w:r>
        <w:rPr>
          <w:rFonts w:hint="default" w:asciiTheme="minorAscii" w:hAnsiTheme="minorAscii"/>
        </w:rPr>
        <w:fldChar w:fldCharType="begin"/>
      </w:r>
      <w:r>
        <w:rPr>
          <w:rFonts w:hint="default" w:asciiTheme="minorAscii" w:hAnsiTheme="minorAscii"/>
        </w:rPr>
        <w:instrText xml:space="preserve"> HYPERLINK "https://periodicos.uem.br/ojs/index.php/TeorPratEduc/article/view/18569" </w:instrText>
      </w:r>
      <w:r>
        <w:rPr>
          <w:rFonts w:hint="default" w:asciiTheme="minorAscii" w:hAnsiTheme="minorAscii"/>
        </w:rPr>
        <w:fldChar w:fldCharType="separate"/>
      </w:r>
      <w:r>
        <w:rPr>
          <w:rStyle w:val="7"/>
          <w:rFonts w:hint="default" w:asciiTheme="minorAscii" w:hAnsiTheme="minorAscii"/>
        </w:rPr>
        <w:t>https://periodicos.uem.br/ojs/index.php/TeorPratEduc/article/view/18569</w:t>
      </w:r>
      <w:r>
        <w:rPr>
          <w:rFonts w:hint="default" w:asciiTheme="minorAscii" w:hAnsiTheme="minorAscii"/>
        </w:rPr>
        <w:fldChar w:fldCharType="end"/>
      </w:r>
    </w:p>
    <w:p w14:paraId="4FF801FD">
      <w:pPr>
        <w:numPr>
          <w:ilvl w:val="0"/>
          <w:numId w:val="1"/>
        </w:numPr>
        <w:jc w:val="left"/>
        <w:rPr>
          <w:rFonts w:hint="default" w:asciiTheme="minorAscii" w:hAnsiTheme="minorAscii"/>
        </w:rPr>
      </w:pPr>
      <w:r>
        <w:rPr>
          <w:rFonts w:hint="default" w:asciiTheme="minorAscii" w:hAnsiTheme="minorAscii"/>
        </w:rPr>
        <w:t>Wang, B. X. (2010)</w:t>
      </w:r>
      <w:r>
        <w:rPr>
          <w:rFonts w:hint="eastAsia" w:asciiTheme="minorAscii" w:hAnsiTheme="minorAscii"/>
          <w:lang w:val="en-US" w:eastAsia="zh-CN"/>
        </w:rPr>
        <w:t xml:space="preserve"> </w:t>
      </w:r>
      <w:r>
        <w:rPr>
          <w:rFonts w:hint="default" w:asciiTheme="minorAscii" w:hAnsiTheme="minorAscii"/>
          <w:lang w:val="en-US" w:eastAsia="zh-CN"/>
        </w:rPr>
        <w:t>‘</w:t>
      </w:r>
      <w:r>
        <w:rPr>
          <w:rFonts w:hint="default" w:asciiTheme="minorAscii" w:hAnsiTheme="minorAscii"/>
        </w:rPr>
        <w:t>Simplifying education process: An analysis of Pestalozzi’s educational wisdom</w:t>
      </w:r>
      <w:r>
        <w:rPr>
          <w:rFonts w:hint="default" w:asciiTheme="minorAscii" w:hAnsiTheme="minorAscii"/>
          <w:lang w:val="en-US" w:eastAsia="zh-CN"/>
        </w:rPr>
        <w:t>’</w:t>
      </w:r>
      <w:r>
        <w:rPr>
          <w:rFonts w:hint="eastAsia" w:asciiTheme="minorAscii" w:hAnsiTheme="minorAscii"/>
          <w:lang w:val="en-US" w:eastAsia="zh-CN"/>
        </w:rPr>
        <w:t>,</w:t>
      </w:r>
      <w:r>
        <w:rPr>
          <w:rFonts w:hint="default" w:asciiTheme="minorAscii" w:hAnsiTheme="minorAscii"/>
        </w:rPr>
        <w:t xml:space="preserve"> </w:t>
      </w:r>
      <w:r>
        <w:rPr>
          <w:rFonts w:hint="default" w:asciiTheme="minorAscii" w:hAnsiTheme="minorAscii"/>
          <w:i/>
          <w:iCs/>
        </w:rPr>
        <w:t>Journal of East China Normal University (Educational Sciences)</w:t>
      </w:r>
      <w:r>
        <w:rPr>
          <w:rFonts w:hint="default" w:asciiTheme="minorAscii" w:hAnsiTheme="minorAscii"/>
        </w:rPr>
        <w:t>, 28(4), 82–87.</w:t>
      </w:r>
      <w:r>
        <w:rPr>
          <w:rFonts w:hint="eastAsia" w:asciiTheme="minorAscii" w:hAnsiTheme="minorAscii"/>
          <w:lang w:val="en-US" w:eastAsia="zh-CN"/>
        </w:rPr>
        <w:t xml:space="preserve"> </w:t>
      </w:r>
      <w:r>
        <w:rPr>
          <w:rFonts w:hint="default" w:asciiTheme="minorAscii" w:hAnsiTheme="minorAscii"/>
        </w:rPr>
        <w:t>Available at:</w:t>
      </w:r>
      <w:r>
        <w:rPr>
          <w:rFonts w:hint="eastAsia" w:asciiTheme="minorAscii" w:hAnsiTheme="minorAscii"/>
          <w:lang w:val="en-US" w:eastAsia="zh-CN"/>
        </w:rPr>
        <w:t xml:space="preserve"> </w:t>
      </w:r>
      <w:r>
        <w:rPr>
          <w:rFonts w:hint="default" w:asciiTheme="minorAscii" w:hAnsiTheme="minorAscii"/>
        </w:rPr>
        <w:fldChar w:fldCharType="begin"/>
      </w:r>
      <w:r>
        <w:rPr>
          <w:rFonts w:hint="default" w:asciiTheme="minorAscii" w:hAnsiTheme="minorAscii"/>
        </w:rPr>
        <w:instrText xml:space="preserve"> HYPERLINK "https://xbjk.ecnu.edu.cn/EN/volumn/volumn_1343.shtml" </w:instrText>
      </w:r>
      <w:r>
        <w:rPr>
          <w:rFonts w:hint="default" w:asciiTheme="minorAscii" w:hAnsiTheme="minorAscii"/>
        </w:rPr>
        <w:fldChar w:fldCharType="separate"/>
      </w:r>
      <w:r>
        <w:rPr>
          <w:rStyle w:val="7"/>
          <w:rFonts w:hint="default" w:asciiTheme="minorAscii" w:hAnsiTheme="minorAscii"/>
        </w:rPr>
        <w:t>https://xbjk.ecnu.edu.cn/EN/volumn/volumn_1343.shtml</w:t>
      </w:r>
      <w:r>
        <w:rPr>
          <w:rFonts w:hint="default" w:asciiTheme="minorAscii" w:hAnsiTheme="minorAscii"/>
        </w:rPr>
        <w:fldChar w:fldCharType="end"/>
      </w:r>
    </w:p>
    <w:p w14:paraId="302CF9D8">
      <w:pPr>
        <w:numPr>
          <w:ilvl w:val="0"/>
          <w:numId w:val="1"/>
        </w:numPr>
        <w:jc w:val="left"/>
        <w:rPr>
          <w:rFonts w:hint="default" w:asciiTheme="minorAscii" w:hAnsiTheme="minorAscii"/>
          <w:i w:val="0"/>
          <w:iCs w:val="0"/>
        </w:rPr>
      </w:pPr>
      <w:r>
        <w:rPr>
          <w:rFonts w:hint="default" w:asciiTheme="minorAscii" w:hAnsiTheme="minorAscii"/>
        </w:rPr>
        <w:t xml:space="preserve">Wang, C.S. (2001) ‘The introduction and influence of Dewey’s educational thought in China’, in </w:t>
      </w:r>
      <w:r>
        <w:rPr>
          <w:rFonts w:hint="default" w:asciiTheme="minorAscii" w:hAnsiTheme="minorAscii"/>
          <w:i/>
          <w:iCs/>
        </w:rPr>
        <w:t>The revival of Deweyan thought in China</w:t>
      </w:r>
      <w:r>
        <w:rPr>
          <w:rFonts w:hint="default" w:asciiTheme="minorAscii" w:hAnsiTheme="minorAscii"/>
        </w:rPr>
        <w:t>. People’s Education Press, pp. 45–67.</w:t>
      </w:r>
    </w:p>
    <w:p w14:paraId="02D21FDB">
      <w:pPr>
        <w:numPr>
          <w:ilvl w:val="0"/>
          <w:numId w:val="1"/>
        </w:numPr>
        <w:jc w:val="left"/>
        <w:rPr>
          <w:rFonts w:hint="default" w:asciiTheme="minorAscii" w:hAnsiTheme="minorAscii"/>
          <w:i w:val="0"/>
          <w:iCs w:val="0"/>
        </w:rPr>
      </w:pPr>
      <w:r>
        <w:rPr>
          <w:rFonts w:hint="default" w:asciiTheme="minorAscii" w:hAnsiTheme="minorAscii"/>
        </w:rPr>
        <w:t xml:space="preserve">Zhong, Q.Q. (2005) </w:t>
      </w:r>
      <w:r>
        <w:rPr>
          <w:rFonts w:hint="default" w:asciiTheme="minorAscii" w:hAnsiTheme="minorAscii"/>
          <w:i/>
          <w:iCs/>
        </w:rPr>
        <w:t>Conceptual Transformation and Curriculum Innovation</w:t>
      </w:r>
      <w:r>
        <w:rPr>
          <w:rFonts w:hint="default" w:asciiTheme="minorAscii" w:hAnsiTheme="minorAscii"/>
        </w:rPr>
        <w:t xml:space="preserve">. </w:t>
      </w:r>
      <w:r>
        <w:rPr>
          <w:rFonts w:hint="default" w:asciiTheme="minorAscii" w:hAnsiTheme="minorAscii"/>
          <w:i w:val="0"/>
          <w:iCs w:val="0"/>
        </w:rPr>
        <w:t>Educational Science Publishing House.</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KSOF7FC4CF2A">
    <w:panose1 w:val="020B0604020202020204"/>
    <w:charset w:val="00"/>
    <w:family w:val="auto"/>
    <w:pitch w:val="default"/>
    <w:sig w:usb0="00000001" w:usb1="00000000" w:usb2="00000000" w:usb3="00000000" w:csb0="00000001" w:csb1="00000000"/>
  </w:font>
  <w:font w:name="KSOFE99145AC">
    <w:panose1 w:val="020B0604020202090204"/>
    <w:charset w:val="00"/>
    <w:family w:val="auto"/>
    <w:pitch w:val="default"/>
    <w:sig w:usb0="00000001" w:usb1="00000000" w:usb2="00000000" w:usb3="00000000" w:csb0="00000001" w:csb1="00000000"/>
  </w:font>
  <w:font w:name="Arial Black">
    <w:panose1 w:val="020B0A04020102020204"/>
    <w:charset w:val="00"/>
    <w:family w:val="swiss"/>
    <w:pitch w:val="default"/>
    <w:sig w:usb0="A00002AF" w:usb1="400078FB" w:usb2="00000000" w:usb3="00000000" w:csb0="6000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B61A0C3"/>
    <w:multiLevelType w:val="singleLevel"/>
    <w:tmpl w:val="5B61A0C3"/>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14913A22"/>
    <w:rsid w:val="1525798D"/>
    <w:rsid w:val="38C42E95"/>
    <w:rsid w:val="51E63A25"/>
    <w:rsid w:val="537137C2"/>
    <w:rsid w:val="62DA4EE0"/>
    <w:rsid w:val="63185A08"/>
    <w:rsid w:val="6A4610AD"/>
    <w:rsid w:val="6B8C6F93"/>
    <w:rsid w:val="6C27115F"/>
    <w:rsid w:val="70C3128F"/>
    <w:rsid w:val="71AC3EEB"/>
    <w:rsid w:val="78112C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unhideWhenUsed/>
    <w:qFormat/>
    <w:uiPriority w:val="0"/>
    <w:pPr>
      <w:keepNext/>
      <w:keepLines/>
      <w:spacing w:before="340" w:beforeLines="0" w:after="330" w:afterLines="0" w:line="578" w:lineRule="auto"/>
      <w:jc w:val="left"/>
      <w:outlineLvl w:val="0"/>
    </w:pPr>
    <w:rPr>
      <w:rFonts w:hint="default" w:ascii="Arial Black" w:hAnsi="Arial Black" w:eastAsia="黑体"/>
      <w:kern w:val="44"/>
      <w:sz w:val="28"/>
      <w:szCs w:val="28"/>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footer"/>
    <w:basedOn w:val="1"/>
    <w:unhideWhenUsed/>
    <w:qFormat/>
    <w:uiPriority w:val="99"/>
    <w:pPr>
      <w:tabs>
        <w:tab w:val="center" w:pos="4153"/>
        <w:tab w:val="right" w:pos="8306"/>
      </w:tabs>
      <w:snapToGrid w:val="0"/>
      <w:spacing w:beforeLines="0" w:afterLines="0"/>
      <w:jc w:val="left"/>
    </w:pPr>
    <w:rPr>
      <w:rFonts w:hint="default"/>
      <w:sz w:val="18"/>
      <w:szCs w:val="18"/>
    </w:rPr>
  </w:style>
  <w:style w:type="paragraph" w:styleId="4">
    <w:name w:val="header"/>
    <w:basedOn w:val="1"/>
    <w:unhideWhenUsed/>
    <w:qFormat/>
    <w:uiPriority w:val="0"/>
    <w:pPr>
      <w:tabs>
        <w:tab w:val="center" w:pos="4153"/>
        <w:tab w:val="right" w:pos="8306"/>
      </w:tabs>
      <w:snapToGrid w:val="0"/>
      <w:spacing w:beforeLines="0" w:afterLines="0"/>
    </w:pPr>
    <w:rPr>
      <w:rFonts w:hint="default"/>
      <w:sz w:val="18"/>
      <w:szCs w:val="24"/>
    </w:rPr>
  </w:style>
  <w:style w:type="character" w:styleId="7">
    <w:name w:val="Hyperlink"/>
    <w:basedOn w:val="6"/>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0</Words>
  <Characters>0</Characters>
  <Lines>0</Lines>
  <Paragraphs>0</Paragraphs>
  <TotalTime>28</TotalTime>
  <ScaleCrop>false</ScaleCrop>
  <LinksUpToDate>false</LinksUpToDate>
  <CharactersWithSpaces>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2026-01-08T16:05:00Z</dcterms:created>
  <dc:creator>fish in the pool</dc:creator>
  <cp:lastModifiedBy>fish in the pool</cp:lastModifiedBy>
  <dcterms:modified xsi:type="dcterms:W3CDTF">2026-01-14T11:21:35Z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D33EAB5F26074A88A15B94ADEE6CFBFD_11</vt:lpwstr>
  </property>
  <property fmtid="{D5CDD505-2E9C-101B-9397-08002B2CF9AE}" pid="4" name="KSOTemplateDocerSaveRecord">
    <vt:lpwstr>eyJoZGlkIjoiZTZhZDUyNTQyNTQxNTM5ZWRmNGQwMDgyYmU3YjIxOTMiLCJ1c2VySWQiOiI4MjI4OTYwOTkifQ==</vt:lpwstr>
  </property>
</Properties>
</file>