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665647" w14:textId="77777777" w:rsidR="008768E7" w:rsidRPr="0089260D" w:rsidRDefault="008768E7" w:rsidP="008768E7">
      <w:pPr>
        <w:pStyle w:val="Heading1"/>
        <w:spacing w:before="150" w:beforeAutospacing="0" w:after="150" w:afterAutospacing="0"/>
        <w:rPr>
          <w:rFonts w:asciiTheme="minorHAnsi" w:hAnsiTheme="minorHAnsi" w:cstheme="minorHAnsi"/>
          <w:b w:val="0"/>
          <w:bCs w:val="0"/>
          <w:sz w:val="28"/>
          <w:szCs w:val="28"/>
        </w:rPr>
      </w:pPr>
      <w:r w:rsidRPr="0089260D">
        <w:rPr>
          <w:rFonts w:asciiTheme="minorHAnsi" w:hAnsiTheme="minorHAnsi" w:cstheme="minorHAnsi"/>
          <w:b w:val="0"/>
          <w:bCs w:val="0"/>
          <w:sz w:val="28"/>
          <w:szCs w:val="28"/>
        </w:rPr>
        <w:t>Sarah Blackburn:</w:t>
      </w:r>
      <w:r w:rsidRPr="0089260D">
        <w:rPr>
          <w:rFonts w:asciiTheme="minorHAnsi" w:hAnsiTheme="minorHAnsi" w:cstheme="minorHAnsi"/>
          <w:b w:val="0"/>
          <w:bCs w:val="0"/>
          <w:sz w:val="28"/>
          <w:szCs w:val="28"/>
        </w:rPr>
        <w:tab/>
        <w:t>2111668</w:t>
      </w:r>
    </w:p>
    <w:p w14:paraId="2108D6AF" w14:textId="77777777" w:rsidR="008768E7" w:rsidRPr="0089260D" w:rsidRDefault="008768E7" w:rsidP="008768E7">
      <w:pPr>
        <w:pStyle w:val="Heading1"/>
        <w:spacing w:before="150" w:beforeAutospacing="0" w:after="150" w:afterAutospacing="0"/>
        <w:rPr>
          <w:rFonts w:asciiTheme="minorHAnsi" w:hAnsiTheme="minorHAnsi" w:cstheme="minorHAnsi"/>
          <w:b w:val="0"/>
          <w:bCs w:val="0"/>
          <w:sz w:val="28"/>
          <w:szCs w:val="28"/>
        </w:rPr>
      </w:pPr>
    </w:p>
    <w:p w14:paraId="6B20B8D6" w14:textId="77777777" w:rsidR="008768E7" w:rsidRPr="0089260D" w:rsidRDefault="008768E7" w:rsidP="008768E7">
      <w:pPr>
        <w:rPr>
          <w:rFonts w:cstheme="minorHAnsi"/>
          <w:sz w:val="28"/>
          <w:szCs w:val="28"/>
        </w:rPr>
      </w:pPr>
      <w:r w:rsidRPr="0089260D">
        <w:rPr>
          <w:rFonts w:cstheme="minorHAnsi"/>
          <w:sz w:val="28"/>
          <w:szCs w:val="28"/>
        </w:rPr>
        <w:t xml:space="preserve">Module: </w:t>
      </w:r>
      <w:r w:rsidRPr="0089260D">
        <w:rPr>
          <w:rFonts w:cstheme="minorHAnsi"/>
          <w:sz w:val="28"/>
          <w:szCs w:val="28"/>
        </w:rPr>
        <w:tab/>
      </w:r>
      <w:r w:rsidRPr="0089260D">
        <w:rPr>
          <w:rFonts w:cstheme="minorHAnsi"/>
          <w:sz w:val="28"/>
          <w:szCs w:val="28"/>
        </w:rPr>
        <w:tab/>
        <w:t>HPCS7004</w:t>
      </w:r>
    </w:p>
    <w:p w14:paraId="615FCB99" w14:textId="77777777" w:rsidR="008768E7" w:rsidRPr="0089260D" w:rsidRDefault="008768E7" w:rsidP="008768E7">
      <w:pPr>
        <w:pStyle w:val="Heading1"/>
        <w:spacing w:before="150" w:beforeAutospacing="0" w:after="150" w:afterAutospacing="0"/>
        <w:rPr>
          <w:rFonts w:asciiTheme="minorHAnsi" w:hAnsiTheme="minorHAnsi" w:cstheme="minorHAnsi"/>
          <w:b w:val="0"/>
          <w:bCs w:val="0"/>
          <w:sz w:val="28"/>
          <w:szCs w:val="28"/>
        </w:rPr>
      </w:pPr>
    </w:p>
    <w:p w14:paraId="33128F1D" w14:textId="77777777" w:rsidR="008768E7" w:rsidRPr="0089260D" w:rsidRDefault="008768E7" w:rsidP="008768E7">
      <w:pPr>
        <w:ind w:left="2160" w:hanging="2160"/>
        <w:rPr>
          <w:rFonts w:cstheme="minorHAnsi"/>
          <w:sz w:val="28"/>
          <w:szCs w:val="28"/>
        </w:rPr>
      </w:pPr>
      <w:r w:rsidRPr="0089260D">
        <w:rPr>
          <w:rFonts w:cstheme="minorHAnsi"/>
          <w:sz w:val="28"/>
          <w:szCs w:val="28"/>
        </w:rPr>
        <w:t>Assessment:</w:t>
      </w:r>
      <w:r w:rsidRPr="0089260D">
        <w:rPr>
          <w:rFonts w:cstheme="minorHAnsi"/>
          <w:sz w:val="28"/>
          <w:szCs w:val="28"/>
        </w:rPr>
        <w:tab/>
      </w:r>
      <w:r w:rsidRPr="0089260D">
        <w:rPr>
          <w:rFonts w:cstheme="minorHAnsi"/>
          <w:color w:val="373A3C"/>
          <w:sz w:val="28"/>
          <w:szCs w:val="28"/>
        </w:rPr>
        <w:t>Women in the Middle Ages: Sources from the Celtic Regions</w:t>
      </w:r>
      <w:r w:rsidRPr="0089260D">
        <w:rPr>
          <w:rFonts w:cstheme="minorHAnsi"/>
          <w:sz w:val="28"/>
          <w:szCs w:val="28"/>
        </w:rPr>
        <w:t xml:space="preserve"> </w:t>
      </w:r>
    </w:p>
    <w:p w14:paraId="6A091FE7" w14:textId="77777777" w:rsidR="008768E7" w:rsidRPr="0089260D" w:rsidRDefault="008768E7" w:rsidP="008768E7">
      <w:pPr>
        <w:ind w:left="2160" w:hanging="2160"/>
        <w:rPr>
          <w:rFonts w:cstheme="minorHAnsi"/>
          <w:sz w:val="28"/>
          <w:szCs w:val="28"/>
        </w:rPr>
      </w:pPr>
    </w:p>
    <w:p w14:paraId="7B19CEFC" w14:textId="73466698" w:rsidR="008768E7" w:rsidRPr="00B71300" w:rsidRDefault="008768E7" w:rsidP="008768E7">
      <w:pPr>
        <w:ind w:left="2160" w:hanging="2160"/>
        <w:rPr>
          <w:rFonts w:cstheme="minorHAnsi"/>
          <w:sz w:val="28"/>
          <w:szCs w:val="28"/>
        </w:rPr>
      </w:pPr>
      <w:r w:rsidRPr="0089260D">
        <w:rPr>
          <w:rFonts w:cstheme="minorHAnsi"/>
          <w:sz w:val="28"/>
          <w:szCs w:val="28"/>
        </w:rPr>
        <w:t xml:space="preserve">Task </w:t>
      </w:r>
      <w:r w:rsidR="00C20FEC">
        <w:rPr>
          <w:rFonts w:cstheme="minorHAnsi"/>
          <w:sz w:val="28"/>
          <w:szCs w:val="28"/>
        </w:rPr>
        <w:t>2</w:t>
      </w:r>
      <w:r w:rsidRPr="0089260D">
        <w:rPr>
          <w:rFonts w:cstheme="minorHAnsi"/>
          <w:sz w:val="28"/>
          <w:szCs w:val="28"/>
        </w:rPr>
        <w:t xml:space="preserve"> (</w:t>
      </w:r>
      <w:r>
        <w:rPr>
          <w:rFonts w:cstheme="minorHAnsi"/>
          <w:sz w:val="28"/>
          <w:szCs w:val="28"/>
        </w:rPr>
        <w:t>1</w:t>
      </w:r>
      <w:r w:rsidRPr="0089260D">
        <w:rPr>
          <w:rFonts w:cstheme="minorHAnsi"/>
          <w:sz w:val="28"/>
          <w:szCs w:val="28"/>
        </w:rPr>
        <w:t>)</w:t>
      </w:r>
      <w:r w:rsidRPr="0089260D">
        <w:rPr>
          <w:rFonts w:cstheme="minorHAnsi"/>
          <w:sz w:val="28"/>
          <w:szCs w:val="28"/>
        </w:rPr>
        <w:tab/>
      </w:r>
      <w:r w:rsidRPr="00B71300">
        <w:rPr>
          <w:rFonts w:cstheme="minorHAnsi"/>
          <w:color w:val="373A3C"/>
          <w:sz w:val="28"/>
          <w:szCs w:val="28"/>
          <w:shd w:val="clear" w:color="auto" w:fill="FFFFFF"/>
        </w:rPr>
        <w:t xml:space="preserve">How was virginity perceived in the Middle Ages and what light do the Welsh </w:t>
      </w:r>
      <w:proofErr w:type="spellStart"/>
      <w:r w:rsidRPr="00B71300">
        <w:rPr>
          <w:rFonts w:cstheme="minorHAnsi"/>
          <w:color w:val="373A3C"/>
          <w:sz w:val="28"/>
          <w:szCs w:val="28"/>
          <w:shd w:val="clear" w:color="auto" w:fill="FFFFFF"/>
        </w:rPr>
        <w:t>lawcodes</w:t>
      </w:r>
      <w:proofErr w:type="spellEnd"/>
      <w:r w:rsidRPr="00B71300">
        <w:rPr>
          <w:rFonts w:cstheme="minorHAnsi"/>
          <w:color w:val="373A3C"/>
          <w:sz w:val="28"/>
          <w:szCs w:val="28"/>
          <w:shd w:val="clear" w:color="auto" w:fill="FFFFFF"/>
        </w:rPr>
        <w:t xml:space="preserve"> shed on attitudes towards virginity in medieval Wales?</w:t>
      </w:r>
    </w:p>
    <w:p w14:paraId="2826933B" w14:textId="77777777" w:rsidR="008768E7" w:rsidRPr="0089260D" w:rsidRDefault="008768E7" w:rsidP="008768E7">
      <w:pPr>
        <w:rPr>
          <w:rFonts w:cstheme="minorHAnsi"/>
        </w:rPr>
      </w:pPr>
    </w:p>
    <w:p w14:paraId="6AEB17AC" w14:textId="77777777" w:rsidR="008768E7" w:rsidRPr="0089260D" w:rsidRDefault="008768E7" w:rsidP="008768E7">
      <w:pPr>
        <w:ind w:left="2160" w:hanging="2160"/>
        <w:rPr>
          <w:rFonts w:cstheme="minorHAnsi"/>
          <w:sz w:val="28"/>
          <w:szCs w:val="28"/>
        </w:rPr>
      </w:pPr>
      <w:r w:rsidRPr="0089260D">
        <w:rPr>
          <w:rFonts w:cstheme="minorHAnsi"/>
          <w:sz w:val="28"/>
          <w:szCs w:val="28"/>
        </w:rPr>
        <w:tab/>
      </w:r>
    </w:p>
    <w:p w14:paraId="57F80823" w14:textId="77777777" w:rsidR="008768E7" w:rsidRPr="0089260D" w:rsidRDefault="008768E7" w:rsidP="008768E7">
      <w:pPr>
        <w:rPr>
          <w:rFonts w:cstheme="minorHAnsi"/>
          <w:b/>
          <w:bCs/>
          <w:sz w:val="28"/>
          <w:szCs w:val="28"/>
        </w:rPr>
      </w:pPr>
    </w:p>
    <w:p w14:paraId="615CFADC" w14:textId="15AFB32A" w:rsidR="008768E7" w:rsidRPr="0089260D" w:rsidRDefault="008768E7" w:rsidP="008768E7">
      <w:pPr>
        <w:pStyle w:val="Heading1"/>
        <w:spacing w:before="150" w:beforeAutospacing="0" w:after="150" w:afterAutospacing="0"/>
        <w:rPr>
          <w:rFonts w:asciiTheme="minorHAnsi" w:hAnsiTheme="minorHAnsi" w:cstheme="minorHAnsi"/>
          <w:sz w:val="28"/>
          <w:szCs w:val="28"/>
        </w:rPr>
      </w:pPr>
      <w:r w:rsidRPr="0089260D">
        <w:rPr>
          <w:rFonts w:asciiTheme="minorHAnsi" w:hAnsiTheme="minorHAnsi" w:cstheme="minorHAnsi"/>
          <w:b w:val="0"/>
          <w:bCs w:val="0"/>
          <w:sz w:val="28"/>
          <w:szCs w:val="28"/>
        </w:rPr>
        <w:t>Word Count:</w:t>
      </w:r>
      <w:r w:rsidRPr="0089260D">
        <w:rPr>
          <w:rFonts w:asciiTheme="minorHAnsi" w:hAnsiTheme="minorHAnsi" w:cstheme="minorHAnsi"/>
          <w:b w:val="0"/>
          <w:bCs w:val="0"/>
          <w:sz w:val="28"/>
          <w:szCs w:val="28"/>
        </w:rPr>
        <w:tab/>
        <w:t>c.</w:t>
      </w:r>
      <w:r>
        <w:rPr>
          <w:rFonts w:asciiTheme="minorHAnsi" w:hAnsiTheme="minorHAnsi" w:cstheme="minorHAnsi"/>
          <w:b w:val="0"/>
          <w:bCs w:val="0"/>
          <w:sz w:val="28"/>
          <w:szCs w:val="28"/>
        </w:rPr>
        <w:t>40</w:t>
      </w:r>
      <w:r w:rsidR="006D2566">
        <w:rPr>
          <w:rFonts w:asciiTheme="minorHAnsi" w:hAnsiTheme="minorHAnsi" w:cstheme="minorHAnsi"/>
          <w:b w:val="0"/>
          <w:bCs w:val="0"/>
          <w:sz w:val="28"/>
          <w:szCs w:val="28"/>
        </w:rPr>
        <w:t>4</w:t>
      </w:r>
      <w:r w:rsidR="00C94A1D">
        <w:rPr>
          <w:rFonts w:asciiTheme="minorHAnsi" w:hAnsiTheme="minorHAnsi" w:cstheme="minorHAnsi"/>
          <w:b w:val="0"/>
          <w:bCs w:val="0"/>
          <w:sz w:val="28"/>
          <w:szCs w:val="28"/>
        </w:rPr>
        <w:t>2</w:t>
      </w:r>
    </w:p>
    <w:p w14:paraId="4710A316" w14:textId="77777777" w:rsidR="008768E7" w:rsidRPr="0089260D" w:rsidRDefault="008768E7" w:rsidP="008768E7">
      <w:pPr>
        <w:pStyle w:val="Heading1"/>
        <w:spacing w:before="150" w:beforeAutospacing="0" w:after="150" w:afterAutospacing="0"/>
        <w:rPr>
          <w:rFonts w:asciiTheme="minorHAnsi" w:hAnsiTheme="minorHAnsi" w:cstheme="minorHAnsi"/>
          <w:sz w:val="28"/>
          <w:szCs w:val="28"/>
        </w:rPr>
      </w:pPr>
    </w:p>
    <w:p w14:paraId="644D62AC" w14:textId="77777777" w:rsidR="008768E7" w:rsidRDefault="008768E7" w:rsidP="008768E7">
      <w:pPr>
        <w:pStyle w:val="Heading1"/>
        <w:spacing w:before="150" w:beforeAutospacing="0" w:after="150" w:afterAutospacing="0"/>
        <w:rPr>
          <w:rFonts w:asciiTheme="minorHAnsi" w:hAnsiTheme="minorHAnsi" w:cstheme="minorHAnsi"/>
          <w:color w:val="373A3C"/>
          <w:sz w:val="23"/>
          <w:szCs w:val="23"/>
        </w:rPr>
      </w:pPr>
      <w:r w:rsidRPr="0089260D">
        <w:rPr>
          <w:rFonts w:asciiTheme="minorHAnsi" w:hAnsiTheme="minorHAnsi" w:cstheme="minorHAnsi"/>
          <w:b w:val="0"/>
          <w:bCs w:val="0"/>
          <w:sz w:val="28"/>
          <w:szCs w:val="28"/>
        </w:rPr>
        <w:t>Submission date:</w:t>
      </w:r>
      <w:r w:rsidRPr="0089260D">
        <w:rPr>
          <w:rFonts w:asciiTheme="minorHAnsi" w:hAnsiTheme="minorHAnsi" w:cstheme="minorHAnsi"/>
          <w:b w:val="0"/>
          <w:bCs w:val="0"/>
          <w:sz w:val="28"/>
          <w:szCs w:val="28"/>
        </w:rPr>
        <w:tab/>
        <w:t>30/0</w:t>
      </w:r>
      <w:r>
        <w:rPr>
          <w:rFonts w:asciiTheme="minorHAnsi" w:hAnsiTheme="minorHAnsi" w:cstheme="minorHAnsi"/>
          <w:b w:val="0"/>
          <w:bCs w:val="0"/>
          <w:sz w:val="28"/>
          <w:szCs w:val="28"/>
        </w:rPr>
        <w:t>5</w:t>
      </w:r>
      <w:r w:rsidRPr="0089260D">
        <w:rPr>
          <w:rFonts w:asciiTheme="minorHAnsi" w:hAnsiTheme="minorHAnsi" w:cstheme="minorHAnsi"/>
          <w:b w:val="0"/>
          <w:bCs w:val="0"/>
          <w:sz w:val="28"/>
          <w:szCs w:val="28"/>
        </w:rPr>
        <w:t>/2022</w:t>
      </w:r>
      <w:r w:rsidRPr="0089260D">
        <w:rPr>
          <w:rFonts w:asciiTheme="minorHAnsi" w:hAnsiTheme="minorHAnsi" w:cstheme="minorHAnsi"/>
          <w:color w:val="373A3C"/>
          <w:sz w:val="23"/>
          <w:szCs w:val="23"/>
        </w:rPr>
        <w:t> </w:t>
      </w:r>
    </w:p>
    <w:p w14:paraId="07CF5EF8" w14:textId="77777777" w:rsidR="008768E7" w:rsidRDefault="008768E7" w:rsidP="008768E7">
      <w:pPr>
        <w:rPr>
          <w:rFonts w:cstheme="minorHAnsi"/>
          <w:b/>
          <w:bCs/>
          <w:color w:val="373A3C"/>
          <w:kern w:val="36"/>
          <w:sz w:val="23"/>
          <w:szCs w:val="23"/>
        </w:rPr>
      </w:pPr>
      <w:r>
        <w:rPr>
          <w:rFonts w:cstheme="minorHAnsi"/>
          <w:color w:val="373A3C"/>
          <w:sz w:val="23"/>
          <w:szCs w:val="23"/>
        </w:rPr>
        <w:br w:type="page"/>
      </w:r>
    </w:p>
    <w:p w14:paraId="58A9191E" w14:textId="6A356DCF" w:rsidR="008768E7" w:rsidRPr="008768E7" w:rsidRDefault="008768E7" w:rsidP="008768E7">
      <w:pPr>
        <w:ind w:left="2160" w:hanging="2160"/>
        <w:jc w:val="center"/>
        <w:rPr>
          <w:rFonts w:cstheme="minorHAnsi"/>
          <w:b/>
          <w:bCs/>
          <w:color w:val="373A3C"/>
          <w:sz w:val="28"/>
          <w:szCs w:val="28"/>
          <w:shd w:val="clear" w:color="auto" w:fill="FFFFFF"/>
        </w:rPr>
      </w:pPr>
      <w:r w:rsidRPr="008768E7">
        <w:rPr>
          <w:rFonts w:cstheme="minorHAnsi"/>
          <w:b/>
          <w:bCs/>
          <w:color w:val="373A3C"/>
          <w:sz w:val="28"/>
          <w:szCs w:val="28"/>
          <w:shd w:val="clear" w:color="auto" w:fill="FFFFFF"/>
        </w:rPr>
        <w:lastRenderedPageBreak/>
        <w:t xml:space="preserve">How was virginity perceived in the Middle Ages and what light do the </w:t>
      </w:r>
      <w:proofErr w:type="gramStart"/>
      <w:r w:rsidRPr="008768E7">
        <w:rPr>
          <w:rFonts w:cstheme="minorHAnsi"/>
          <w:b/>
          <w:bCs/>
          <w:color w:val="373A3C"/>
          <w:sz w:val="28"/>
          <w:szCs w:val="28"/>
          <w:shd w:val="clear" w:color="auto" w:fill="FFFFFF"/>
        </w:rPr>
        <w:t>Welsh</w:t>
      </w:r>
      <w:proofErr w:type="gramEnd"/>
    </w:p>
    <w:p w14:paraId="5A3535E1" w14:textId="179560A3" w:rsidR="008768E7" w:rsidRPr="008768E7" w:rsidRDefault="008768E7" w:rsidP="008768E7">
      <w:pPr>
        <w:ind w:left="2160" w:hanging="2160"/>
        <w:jc w:val="center"/>
        <w:rPr>
          <w:rFonts w:cstheme="minorHAnsi"/>
          <w:b/>
          <w:bCs/>
          <w:sz w:val="28"/>
          <w:szCs w:val="28"/>
        </w:rPr>
      </w:pPr>
      <w:proofErr w:type="spellStart"/>
      <w:r w:rsidRPr="008768E7">
        <w:rPr>
          <w:rFonts w:cstheme="minorHAnsi"/>
          <w:b/>
          <w:bCs/>
          <w:color w:val="373A3C"/>
          <w:sz w:val="28"/>
          <w:szCs w:val="28"/>
          <w:shd w:val="clear" w:color="auto" w:fill="FFFFFF"/>
        </w:rPr>
        <w:t>lawcodes</w:t>
      </w:r>
      <w:proofErr w:type="spellEnd"/>
      <w:r w:rsidRPr="008768E7">
        <w:rPr>
          <w:rFonts w:cstheme="minorHAnsi"/>
          <w:b/>
          <w:bCs/>
          <w:color w:val="373A3C"/>
          <w:sz w:val="28"/>
          <w:szCs w:val="28"/>
          <w:shd w:val="clear" w:color="auto" w:fill="FFFFFF"/>
        </w:rPr>
        <w:t xml:space="preserve"> shed on attitudes towards virginity in medieval Wales?</w:t>
      </w:r>
    </w:p>
    <w:p w14:paraId="2C811DF0" w14:textId="77777777" w:rsidR="008768E7" w:rsidRDefault="008768E7" w:rsidP="008768E7">
      <w:pPr>
        <w:jc w:val="center"/>
      </w:pPr>
    </w:p>
    <w:p w14:paraId="09B049A1" w14:textId="49CFF61D" w:rsidR="00685C86" w:rsidRPr="00B959AB" w:rsidRDefault="00246663" w:rsidP="00995B3F">
      <w:pPr>
        <w:spacing w:line="480" w:lineRule="auto"/>
        <w:rPr>
          <w:color w:val="000000" w:themeColor="text1"/>
        </w:rPr>
      </w:pPr>
      <w:r>
        <w:t xml:space="preserve">This essay will begin by establishing what </w:t>
      </w:r>
      <w:proofErr w:type="gramStart"/>
      <w:r>
        <w:t>time period</w:t>
      </w:r>
      <w:proofErr w:type="gramEnd"/>
      <w:r>
        <w:t xml:space="preserve"> is covered by the Middle Ages in order to e</w:t>
      </w:r>
      <w:r w:rsidR="00EF37E1">
        <w:t>xplore who and what influenced how virginity was perceived in this period</w:t>
      </w:r>
      <w:r w:rsidR="00685C86">
        <w:t xml:space="preserve">. </w:t>
      </w:r>
      <w:r w:rsidR="00563187">
        <w:t>The</w:t>
      </w:r>
      <w:r w:rsidR="00685C86">
        <w:t xml:space="preserve"> </w:t>
      </w:r>
      <w:r w:rsidR="003A6827">
        <w:t>essay</w:t>
      </w:r>
      <w:r w:rsidR="00685C86">
        <w:t xml:space="preserve"> will briefly look </w:t>
      </w:r>
      <w:r w:rsidR="0071523E">
        <w:t>at</w:t>
      </w:r>
      <w:r w:rsidR="00685C86">
        <w:t xml:space="preserve"> how the Catholic Church viewed virgins, particularly the Virgin Mary</w:t>
      </w:r>
      <w:r w:rsidR="00563187">
        <w:t>,</w:t>
      </w:r>
      <w:r w:rsidR="00685C86">
        <w:t xml:space="preserve"> before </w:t>
      </w:r>
      <w:r w:rsidR="00E27D5D">
        <w:t>exploring</w:t>
      </w:r>
      <w:r w:rsidR="0071523E">
        <w:t xml:space="preserve"> the contrasting opinions of secular society</w:t>
      </w:r>
      <w:r w:rsidR="00563187">
        <w:t>,</w:t>
      </w:r>
      <w:r w:rsidR="0071523E">
        <w:t xml:space="preserve"> </w:t>
      </w:r>
      <w:r w:rsidR="00D7416A">
        <w:t>which</w:t>
      </w:r>
      <w:r w:rsidR="0071523E">
        <w:t xml:space="preserve"> required women to produce heirs within a patriarchal society.</w:t>
      </w:r>
      <w:r w:rsidR="005C3570">
        <w:t xml:space="preserve"> </w:t>
      </w:r>
      <w:r w:rsidR="00D7416A">
        <w:t>This leads</w:t>
      </w:r>
      <w:r w:rsidR="005C3570">
        <w:t xml:space="preserve"> to the first law to be analysed</w:t>
      </w:r>
      <w:r w:rsidR="00563187">
        <w:t>,</w:t>
      </w:r>
      <w:r w:rsidR="005C3570">
        <w:t xml:space="preserve"> </w:t>
      </w:r>
      <w:r w:rsidR="00E27D5D">
        <w:t xml:space="preserve">the gift of kin </w:t>
      </w:r>
      <w:r w:rsidR="005C3570">
        <w:t xml:space="preserve">which relates to </w:t>
      </w:r>
      <w:r w:rsidR="00D7416A">
        <w:t xml:space="preserve">the requirements for a </w:t>
      </w:r>
      <w:r w:rsidR="005C3570">
        <w:t>desirable marriage</w:t>
      </w:r>
      <w:r w:rsidR="00E27D5D">
        <w:t>. This then</w:t>
      </w:r>
      <w:r w:rsidR="003B150A">
        <w:t xml:space="preserve"> required </w:t>
      </w:r>
      <w:r w:rsidR="00CB0A54">
        <w:t>the bride and</w:t>
      </w:r>
      <w:r w:rsidR="003B150A">
        <w:t xml:space="preserve"> her family </w:t>
      </w:r>
      <w:r w:rsidR="00563187">
        <w:t>to</w:t>
      </w:r>
      <w:r w:rsidR="003B150A">
        <w:t xml:space="preserve"> secure their status within society. After e</w:t>
      </w:r>
      <w:r w:rsidR="00E27D5D">
        <w:t>xamining</w:t>
      </w:r>
      <w:r w:rsidR="003B150A">
        <w:t xml:space="preserve"> </w:t>
      </w:r>
      <w:r w:rsidR="00CB0A54">
        <w:t>the most desirable union</w:t>
      </w:r>
      <w:r w:rsidR="003B150A">
        <w:t>, the essay will next move on to the sections of the law texts that deal with virgin</w:t>
      </w:r>
      <w:r w:rsidR="00E27D5D">
        <w:t>ity</w:t>
      </w:r>
      <w:r w:rsidR="003B150A">
        <w:t xml:space="preserve"> lost outside of a gift of kin union, beginning with false virgins</w:t>
      </w:r>
      <w:r w:rsidR="00D7416A">
        <w:t>. This term</w:t>
      </w:r>
      <w:r w:rsidR="003B150A">
        <w:t xml:space="preserve"> </w:t>
      </w:r>
      <w:r w:rsidR="00B116BF">
        <w:t>refers</w:t>
      </w:r>
      <w:r w:rsidR="003B150A">
        <w:t xml:space="preserve"> to </w:t>
      </w:r>
      <w:r w:rsidR="00B116BF">
        <w:t xml:space="preserve">a </w:t>
      </w:r>
      <w:r w:rsidR="003B150A">
        <w:t>wom</w:t>
      </w:r>
      <w:r w:rsidR="00B116BF">
        <w:t>a</w:t>
      </w:r>
      <w:r w:rsidR="003B150A">
        <w:t>n who</w:t>
      </w:r>
      <w:r w:rsidR="003843FE">
        <w:t xml:space="preserve"> was discovered by the groom and wedding guests not to be a virgin upon marriage despite assurances from the girl and her family</w:t>
      </w:r>
      <w:r w:rsidR="00B116BF">
        <w:t>.</w:t>
      </w:r>
      <w:r w:rsidR="00B959AB" w:rsidRPr="00B959AB">
        <w:rPr>
          <w:color w:val="FF0000"/>
        </w:rPr>
        <w:t xml:space="preserve"> </w:t>
      </w:r>
      <w:r w:rsidR="00B959AB">
        <w:rPr>
          <w:color w:val="000000" w:themeColor="text1"/>
        </w:rPr>
        <w:t>Follow</w:t>
      </w:r>
      <w:r w:rsidR="00B116BF">
        <w:rPr>
          <w:color w:val="000000" w:themeColor="text1"/>
        </w:rPr>
        <w:t>ing false virgins, the essay will then look at how</w:t>
      </w:r>
      <w:r w:rsidR="00B959AB">
        <w:rPr>
          <w:color w:val="000000" w:themeColor="text1"/>
        </w:rPr>
        <w:t xml:space="preserve"> the law texts deal with the rape of a virgin in </w:t>
      </w:r>
      <w:r w:rsidR="00B116BF">
        <w:rPr>
          <w:color w:val="000000" w:themeColor="text1"/>
        </w:rPr>
        <w:t xml:space="preserve">financial </w:t>
      </w:r>
      <w:r w:rsidR="00B959AB">
        <w:rPr>
          <w:color w:val="000000" w:themeColor="text1"/>
        </w:rPr>
        <w:t xml:space="preserve">terms </w:t>
      </w:r>
      <w:r w:rsidR="00B116BF">
        <w:rPr>
          <w:color w:val="000000" w:themeColor="text1"/>
        </w:rPr>
        <w:t>and the</w:t>
      </w:r>
      <w:r w:rsidR="00B959AB">
        <w:rPr>
          <w:color w:val="000000" w:themeColor="text1"/>
        </w:rPr>
        <w:t xml:space="preserve"> payments expected by the women and from the man upon any union</w:t>
      </w:r>
      <w:r w:rsidR="003843FE">
        <w:rPr>
          <w:color w:val="000000" w:themeColor="text1"/>
        </w:rPr>
        <w:t>,</w:t>
      </w:r>
      <w:r w:rsidR="00B116BF">
        <w:rPr>
          <w:color w:val="000000" w:themeColor="text1"/>
        </w:rPr>
        <w:t xml:space="preserve"> </w:t>
      </w:r>
      <w:r w:rsidR="00B959AB">
        <w:rPr>
          <w:color w:val="000000" w:themeColor="text1"/>
        </w:rPr>
        <w:t>exploring how these obligations differed and what that says about perceptions of virgins. Finally</w:t>
      </w:r>
      <w:r w:rsidR="00563187">
        <w:rPr>
          <w:color w:val="000000" w:themeColor="text1"/>
        </w:rPr>
        <w:t>,</w:t>
      </w:r>
      <w:r w:rsidR="00B959AB">
        <w:rPr>
          <w:color w:val="000000" w:themeColor="text1"/>
        </w:rPr>
        <w:t xml:space="preserve"> the essay will </w:t>
      </w:r>
      <w:r w:rsidR="00563187">
        <w:rPr>
          <w:color w:val="000000" w:themeColor="text1"/>
        </w:rPr>
        <w:t>look at the texts relating to the abduction and elopement of virgins</w:t>
      </w:r>
      <w:r w:rsidR="00B116BF">
        <w:rPr>
          <w:color w:val="000000" w:themeColor="text1"/>
        </w:rPr>
        <w:t xml:space="preserve"> and how it is o</w:t>
      </w:r>
      <w:r w:rsidR="00D7416A">
        <w:rPr>
          <w:color w:val="000000" w:themeColor="text1"/>
        </w:rPr>
        <w:t xml:space="preserve">nly through these unions </w:t>
      </w:r>
      <w:r w:rsidR="00B116BF">
        <w:rPr>
          <w:color w:val="000000" w:themeColor="text1"/>
        </w:rPr>
        <w:t>that</w:t>
      </w:r>
      <w:r w:rsidR="00563187">
        <w:rPr>
          <w:color w:val="000000" w:themeColor="text1"/>
        </w:rPr>
        <w:t xml:space="preserve"> virgins appear to have any control over whom they married</w:t>
      </w:r>
      <w:r w:rsidR="00D7416A">
        <w:rPr>
          <w:color w:val="000000" w:themeColor="text1"/>
        </w:rPr>
        <w:t>,</w:t>
      </w:r>
      <w:r w:rsidR="00563187">
        <w:rPr>
          <w:color w:val="000000" w:themeColor="text1"/>
        </w:rPr>
        <w:t xml:space="preserve"> </w:t>
      </w:r>
      <w:r w:rsidR="00B116BF">
        <w:rPr>
          <w:color w:val="000000" w:themeColor="text1"/>
        </w:rPr>
        <w:t xml:space="preserve">thus </w:t>
      </w:r>
      <w:proofErr w:type="gramStart"/>
      <w:r w:rsidR="00C178B5">
        <w:rPr>
          <w:color w:val="000000" w:themeColor="text1"/>
        </w:rPr>
        <w:t>being in charge of</w:t>
      </w:r>
      <w:proofErr w:type="gramEnd"/>
      <w:r w:rsidR="00C178B5">
        <w:rPr>
          <w:color w:val="000000" w:themeColor="text1"/>
        </w:rPr>
        <w:t xml:space="preserve"> her own virginity.</w:t>
      </w:r>
    </w:p>
    <w:p w14:paraId="2680956C" w14:textId="10E367DC" w:rsidR="00685C86" w:rsidRDefault="00685C86" w:rsidP="00995B3F">
      <w:pPr>
        <w:spacing w:line="480" w:lineRule="auto"/>
      </w:pPr>
    </w:p>
    <w:p w14:paraId="35424947" w14:textId="28F6449B" w:rsidR="00525382" w:rsidRDefault="003147D7" w:rsidP="00995B3F">
      <w:pPr>
        <w:spacing w:line="480" w:lineRule="auto"/>
      </w:pPr>
      <w:r>
        <w:t>The term Middle Ages encompasses roughly 1000 years</w:t>
      </w:r>
      <w:r w:rsidR="00E074D6">
        <w:t>,</w:t>
      </w:r>
      <w:r>
        <w:t xml:space="preserve"> beginning </w:t>
      </w:r>
      <w:r w:rsidR="003C74E5">
        <w:t>around</w:t>
      </w:r>
      <w:r>
        <w:t xml:space="preserve"> the 5</w:t>
      </w:r>
      <w:r w:rsidRPr="003147D7">
        <w:rPr>
          <w:vertAlign w:val="superscript"/>
        </w:rPr>
        <w:t>th</w:t>
      </w:r>
      <w:r>
        <w:t xml:space="preserve"> Century and ending before the 15</w:t>
      </w:r>
      <w:r w:rsidRPr="003147D7">
        <w:rPr>
          <w:vertAlign w:val="superscript"/>
        </w:rPr>
        <w:t>th</w:t>
      </w:r>
      <w:r>
        <w:t xml:space="preserve"> Century.</w:t>
      </w:r>
      <w:r w:rsidR="00522D95">
        <w:rPr>
          <w:rStyle w:val="FootnoteReference"/>
        </w:rPr>
        <w:footnoteReference w:id="1"/>
      </w:r>
      <w:r>
        <w:t xml:space="preserve"> As expected</w:t>
      </w:r>
      <w:r w:rsidR="00E074D6">
        <w:t>,</w:t>
      </w:r>
      <w:r>
        <w:t xml:space="preserve"> this </w:t>
      </w:r>
      <w:r w:rsidR="00CB0A54">
        <w:t>period</w:t>
      </w:r>
      <w:r>
        <w:t xml:space="preserve"> saw significant social and </w:t>
      </w:r>
      <w:r>
        <w:lastRenderedPageBreak/>
        <w:t>political changes throughout Europe and Wales. In the early Middle Ages</w:t>
      </w:r>
      <w:r w:rsidR="00E074D6">
        <w:t>,</w:t>
      </w:r>
      <w:r>
        <w:t xml:space="preserve"> what passed for </w:t>
      </w:r>
      <w:r w:rsidRPr="003147D7">
        <w:t xml:space="preserve">contemporary </w:t>
      </w:r>
      <w:r>
        <w:t xml:space="preserve">opinion came from two sources, the </w:t>
      </w:r>
      <w:r w:rsidR="000F3AA8" w:rsidRPr="000F3AA8">
        <w:t>aristocracy</w:t>
      </w:r>
      <w:r w:rsidR="000F3AA8">
        <w:t xml:space="preserve"> </w:t>
      </w:r>
      <w:r>
        <w:t>and the Catholic Church.</w:t>
      </w:r>
      <w:r w:rsidR="00852FFF">
        <w:rPr>
          <w:rStyle w:val="FootnoteReference"/>
        </w:rPr>
        <w:footnoteReference w:id="2"/>
      </w:r>
      <w:r w:rsidR="000F3AA8">
        <w:t xml:space="preserve"> </w:t>
      </w:r>
      <w:r w:rsidR="00750339">
        <w:t>Overall</w:t>
      </w:r>
      <w:r w:rsidR="00E074D6">
        <w:t>,</w:t>
      </w:r>
      <w:r w:rsidR="000F3AA8">
        <w:t xml:space="preserve"> throughout the Middle Ages</w:t>
      </w:r>
      <w:r w:rsidR="00E074D6">
        <w:t>,</w:t>
      </w:r>
      <w:r w:rsidR="000F3AA8">
        <w:t xml:space="preserve"> society continued to be influenced by these two</w:t>
      </w:r>
      <w:r w:rsidR="00523BA8">
        <w:t xml:space="preserve"> groups</w:t>
      </w:r>
      <w:r w:rsidR="00902234">
        <w:t>,</w:t>
      </w:r>
      <w:r w:rsidR="000F3AA8">
        <w:t xml:space="preserve"> meaning that the medieval view of women was shaped by a powerful minority who in one instance were able to view their women as financial assets and in the other were pledged to celibacy and who were influenced by their interpretation of the Bible. </w:t>
      </w:r>
      <w:r w:rsidR="00750339">
        <w:t>Within the church, there was a conflict between two opposing views of women; the first was Eve, who was seen as responsible for The Fall of Man.</w:t>
      </w:r>
      <w:r w:rsidR="00995B37">
        <w:rPr>
          <w:rStyle w:val="FootnoteReference"/>
        </w:rPr>
        <w:footnoteReference w:id="3"/>
      </w:r>
      <w:r w:rsidR="00750339">
        <w:t xml:space="preserve"> The antithesis of Eve was the Virgin Mary, who</w:t>
      </w:r>
      <w:r w:rsidR="00CB0A54">
        <w:t xml:space="preserve"> lived according to Catholic Doctrine</w:t>
      </w:r>
      <w:r w:rsidR="00F57430">
        <w:t xml:space="preserve"> and died a virgin</w:t>
      </w:r>
      <w:r w:rsidR="00750339">
        <w:t>. Unlike Eve who tainted all womenkind by her actions, through Mary, everyone was saved, and all women should seek to emulate Mary.</w:t>
      </w:r>
      <w:r w:rsidR="003C74E5">
        <w:t xml:space="preserve"> </w:t>
      </w:r>
      <w:r w:rsidR="00750339">
        <w:t xml:space="preserve">Many ecclesiastical writers such as Jerome, Augustine of </w:t>
      </w:r>
      <w:proofErr w:type="gramStart"/>
      <w:r w:rsidR="00750339">
        <w:t>Hippo</w:t>
      </w:r>
      <w:proofErr w:type="gramEnd"/>
      <w:r w:rsidR="00750339">
        <w:t xml:space="preserve"> and Ambrose place virginity above wedlock </w:t>
      </w:r>
      <w:r w:rsidR="009D1540">
        <w:t xml:space="preserve">with </w:t>
      </w:r>
      <w:proofErr w:type="spellStart"/>
      <w:r w:rsidR="009D1540">
        <w:t>Meidenhad</w:t>
      </w:r>
      <w:proofErr w:type="spellEnd"/>
      <w:r w:rsidR="009D1540">
        <w:t xml:space="preserve"> (qtd in Lucas) saying</w:t>
      </w:r>
      <w:r w:rsidR="00CB0A54">
        <w:t>,</w:t>
      </w:r>
      <w:r w:rsidR="009D1540">
        <w:t xml:space="preserve"> </w:t>
      </w:r>
      <w:r w:rsidR="00750339">
        <w:t>‘wedlock has its fruit thirtyfold in heaven; widowhood sixtyfold, maidenhood with a hundredfold, overpasses both’</w:t>
      </w:r>
      <w:r w:rsidR="0031272E">
        <w:t>.</w:t>
      </w:r>
      <w:r w:rsidR="00750339">
        <w:rPr>
          <w:rStyle w:val="FootnoteReference"/>
        </w:rPr>
        <w:footnoteReference w:id="4"/>
      </w:r>
      <w:r w:rsidR="00750339">
        <w:t xml:space="preserve"> This is fine from an ecclesiastical point of view but not very practical for how society works</w:t>
      </w:r>
      <w:r w:rsidR="00725A7A">
        <w:t>. In secular society</w:t>
      </w:r>
      <w:r w:rsidR="00E074D6">
        <w:t>,</w:t>
      </w:r>
      <w:r w:rsidR="00725A7A">
        <w:t xml:space="preserve"> virginity was still viewed as a virtue that needed guarding, but only until the right time, when a woman was given in marriage by her kin. </w:t>
      </w:r>
      <w:r w:rsidR="00525382">
        <w:t xml:space="preserve">Virginity was an </w:t>
      </w:r>
      <w:r w:rsidR="00E074D6">
        <w:t>essential</w:t>
      </w:r>
      <w:r w:rsidR="00525382">
        <w:t xml:space="preserve"> commodity in the Medieval marriage market but not a personal treasure to be withdrawn and safeguarded from society</w:t>
      </w:r>
      <w:r w:rsidR="00DA48B9">
        <w:t>.</w:t>
      </w:r>
    </w:p>
    <w:p w14:paraId="721AEF83" w14:textId="194CBC64" w:rsidR="00750339" w:rsidRDefault="00750339" w:rsidP="00995B3F">
      <w:pPr>
        <w:spacing w:line="480" w:lineRule="auto"/>
      </w:pPr>
    </w:p>
    <w:p w14:paraId="2CB3D8A9" w14:textId="3586287C" w:rsidR="001D09A2" w:rsidRPr="00481D8A" w:rsidRDefault="00E63EBD" w:rsidP="00995B3F">
      <w:pPr>
        <w:spacing w:line="480" w:lineRule="auto"/>
      </w:pPr>
      <w:r>
        <w:t>Virginity was an even more important commodity in Medieval Wales</w:t>
      </w:r>
      <w:r w:rsidR="0031272E">
        <w:t>,</w:t>
      </w:r>
      <w:r>
        <w:t xml:space="preserve"> where </w:t>
      </w:r>
      <w:r w:rsidR="00D34445">
        <w:t>women were not allowed to own land unless under exceptional circumstances</w:t>
      </w:r>
      <w:r>
        <w:t xml:space="preserve">. As a result, a woman’s </w:t>
      </w:r>
      <w:r>
        <w:lastRenderedPageBreak/>
        <w:t>dowry could only contain movable goods</w:t>
      </w:r>
      <w:r w:rsidR="00D34445">
        <w:t>,</w:t>
      </w:r>
      <w:r>
        <w:t xml:space="preserve"> of which a woman and her body </w:t>
      </w:r>
      <w:r w:rsidR="00BD2850">
        <w:t>and</w:t>
      </w:r>
      <w:r w:rsidR="00D34445">
        <w:t>,</w:t>
      </w:r>
      <w:r w:rsidR="00BD2850">
        <w:t xml:space="preserve"> by extension</w:t>
      </w:r>
      <w:r w:rsidR="00D34445">
        <w:t>,</w:t>
      </w:r>
      <w:r w:rsidR="00BD2850">
        <w:t xml:space="preserve"> her virginity </w:t>
      </w:r>
      <w:proofErr w:type="gramStart"/>
      <w:r w:rsidR="00CB0A54">
        <w:t>were</w:t>
      </w:r>
      <w:proofErr w:type="gramEnd"/>
      <w:r>
        <w:t xml:space="preserve"> the </w:t>
      </w:r>
      <w:r w:rsidR="00D34445">
        <w:t>most significant</w:t>
      </w:r>
      <w:r>
        <w:t xml:space="preserve"> part. If a woman was no longer a virgin, she became essentially worthless. </w:t>
      </w:r>
      <w:r w:rsidR="00BE513C">
        <w:t>A woman needed to be a virgin on her wedding night because</w:t>
      </w:r>
      <w:r w:rsidR="00D34445">
        <w:t xml:space="preserve"> </w:t>
      </w:r>
      <w:r>
        <w:t xml:space="preserve">it was the only way for her husband to ensure that any </w:t>
      </w:r>
      <w:r w:rsidR="00CB0A54">
        <w:t>children,</w:t>
      </w:r>
      <w:r>
        <w:t xml:space="preserve"> she </w:t>
      </w:r>
      <w:r w:rsidR="00CB0A54">
        <w:t>bore</w:t>
      </w:r>
      <w:r>
        <w:t xml:space="preserve"> </w:t>
      </w:r>
      <w:r w:rsidR="00CB0A54">
        <w:t xml:space="preserve">were </w:t>
      </w:r>
      <w:r>
        <w:t>his.</w:t>
      </w:r>
      <w:r w:rsidR="003C74E5">
        <w:rPr>
          <w:color w:val="FF0000"/>
        </w:rPr>
        <w:t xml:space="preserve"> </w:t>
      </w:r>
      <w:r>
        <w:t xml:space="preserve">As a result, </w:t>
      </w:r>
      <w:r w:rsidR="00D34445">
        <w:t>a woman needed to remain</w:t>
      </w:r>
      <w:r>
        <w:t xml:space="preserve"> a virgin </w:t>
      </w:r>
      <w:r w:rsidR="00CB0A54">
        <w:t>to</w:t>
      </w:r>
      <w:r>
        <w:t xml:space="preserve"> ensure this</w:t>
      </w:r>
      <w:r w:rsidR="00D34445">
        <w:t>; girls</w:t>
      </w:r>
      <w:r>
        <w:t xml:space="preserve"> were married as young as 12</w:t>
      </w:r>
      <w:r w:rsidR="00DA4CBA">
        <w:t>-</w:t>
      </w:r>
      <w:r>
        <w:t>14</w:t>
      </w:r>
      <w:r w:rsidR="00C655F2">
        <w:t xml:space="preserve"> before puberty</w:t>
      </w:r>
      <w:r w:rsidR="00D863BC">
        <w:t>.</w:t>
      </w:r>
      <w:r w:rsidR="009D1540">
        <w:rPr>
          <w:rStyle w:val="FootnoteReference"/>
        </w:rPr>
        <w:footnoteReference w:id="5"/>
      </w:r>
      <w:r w:rsidR="00D863BC">
        <w:rPr>
          <w:color w:val="FF0000"/>
        </w:rPr>
        <w:t xml:space="preserve"> </w:t>
      </w:r>
      <w:r>
        <w:t xml:space="preserve">If a marriage took place later than this, then </w:t>
      </w:r>
      <w:r w:rsidR="00DC5798">
        <w:t>a bride's</w:t>
      </w:r>
      <w:r>
        <w:t xml:space="preserve"> family </w:t>
      </w:r>
      <w:r w:rsidR="0031272E">
        <w:t>w</w:t>
      </w:r>
      <w:r w:rsidR="00A95C17">
        <w:t>ere</w:t>
      </w:r>
      <w:r w:rsidR="0031272E">
        <w:t xml:space="preserve"> required to provide surety for her virginity until</w:t>
      </w:r>
      <w:r>
        <w:t xml:space="preserve"> she went to bed with </w:t>
      </w:r>
      <w:r w:rsidR="00DC5798">
        <w:t>the groom</w:t>
      </w:r>
      <w:r>
        <w:t>. The girls' immediate relations</w:t>
      </w:r>
      <w:r w:rsidR="0031272E">
        <w:t>,</w:t>
      </w:r>
      <w:r>
        <w:t xml:space="preserve"> her father, mother</w:t>
      </w:r>
      <w:r w:rsidR="0031272E">
        <w:t>,</w:t>
      </w:r>
      <w:r>
        <w:t xml:space="preserve"> </w:t>
      </w:r>
      <w:r w:rsidR="00BE513C">
        <w:t>brothers,</w:t>
      </w:r>
      <w:r>
        <w:t xml:space="preserve"> and sisters</w:t>
      </w:r>
      <w:r w:rsidR="0031272E">
        <w:t>,</w:t>
      </w:r>
      <w:r>
        <w:t xml:space="preserve"> could all act as witnesses</w:t>
      </w:r>
      <w:r w:rsidR="0031272E">
        <w:t>.</w:t>
      </w:r>
      <w:r w:rsidR="000807D2">
        <w:rPr>
          <w:rStyle w:val="FootnoteReference"/>
        </w:rPr>
        <w:footnoteReference w:id="6"/>
      </w:r>
      <w:r w:rsidR="0031272E">
        <w:t xml:space="preserve"> The</w:t>
      </w:r>
      <w:r>
        <w:t xml:space="preserve"> number of witnesses required </w:t>
      </w:r>
      <w:r w:rsidR="00624A2E">
        <w:t>changes</w:t>
      </w:r>
      <w:r>
        <w:t xml:space="preserve"> slightly depending on the law code</w:t>
      </w:r>
      <w:r w:rsidR="00BE513C">
        <w:t>,</w:t>
      </w:r>
      <w:r>
        <w:t xml:space="preserve"> </w:t>
      </w:r>
      <w:r w:rsidR="00030746">
        <w:t xml:space="preserve">with </w:t>
      </w:r>
      <w:r w:rsidR="005E25CE">
        <w:t xml:space="preserve">the </w:t>
      </w:r>
      <w:proofErr w:type="spellStart"/>
      <w:r w:rsidR="00030746">
        <w:t>C</w:t>
      </w:r>
      <w:r w:rsidR="005E25CE">
        <w:t>yfnerth</w:t>
      </w:r>
      <w:proofErr w:type="spellEnd"/>
      <w:r w:rsidR="005E25CE">
        <w:t xml:space="preserve"> Text</w:t>
      </w:r>
      <w:r w:rsidR="00030746">
        <w:t xml:space="preserve"> asking for five, one of which could be the bride herself</w:t>
      </w:r>
      <w:r w:rsidR="00BE513C">
        <w:t>.</w:t>
      </w:r>
      <w:r w:rsidR="0011308D">
        <w:rPr>
          <w:rStyle w:val="FootnoteReference"/>
        </w:rPr>
        <w:footnoteReference w:id="7"/>
      </w:r>
      <w:r w:rsidR="00BE513C">
        <w:t xml:space="preserve"> In contrast, </w:t>
      </w:r>
      <w:r w:rsidR="00C15848">
        <w:t xml:space="preserve">the </w:t>
      </w:r>
      <w:proofErr w:type="spellStart"/>
      <w:r w:rsidR="00BE513C">
        <w:t>Ior</w:t>
      </w:r>
      <w:r w:rsidR="0011308D">
        <w:t>werth</w:t>
      </w:r>
      <w:proofErr w:type="spellEnd"/>
      <w:r w:rsidR="0011308D">
        <w:t xml:space="preserve"> </w:t>
      </w:r>
      <w:r w:rsidR="00BE513C">
        <w:t>and Latin Redaction A required seven</w:t>
      </w:r>
      <w:r w:rsidR="00C15848">
        <w:t xml:space="preserve"> witnesses</w:t>
      </w:r>
      <w:r w:rsidR="00BE513C">
        <w:t>, excluding the bride</w:t>
      </w:r>
      <w:r w:rsidR="00133AF5">
        <w:t xml:space="preserve"> and in the  Latin Redaction A, both her parents</w:t>
      </w:r>
      <w:r w:rsidR="00CB0A54">
        <w:rPr>
          <w:rStyle w:val="FootnoteReference"/>
        </w:rPr>
        <w:t xml:space="preserve"> </w:t>
      </w:r>
      <w:r w:rsidR="00E16264">
        <w:t>could</w:t>
      </w:r>
      <w:r w:rsidR="00133AF5">
        <w:t xml:space="preserve"> vouchsafe for her.</w:t>
      </w:r>
      <w:r w:rsidR="003068FE">
        <w:rPr>
          <w:rStyle w:val="FootnoteReference"/>
        </w:rPr>
        <w:footnoteReference w:id="8"/>
      </w:r>
      <w:r w:rsidR="00BE513C">
        <w:t xml:space="preserve"> </w:t>
      </w:r>
      <w:r w:rsidR="00133AF5">
        <w:t>I</w:t>
      </w:r>
      <w:r w:rsidR="00BE513C">
        <w:t>t was important that the girl’s family closely observed</w:t>
      </w:r>
      <w:r>
        <w:t xml:space="preserve"> her and her behaviour</w:t>
      </w:r>
      <w:r w:rsidR="00133AF5">
        <w:t>,</w:t>
      </w:r>
      <w:r>
        <w:t xml:space="preserve"> </w:t>
      </w:r>
      <w:r w:rsidR="00133AF5">
        <w:t>a</w:t>
      </w:r>
      <w:r>
        <w:t>s a result, from the age of seven, up until her marriage, a girl would remain at her ‘father’s knee’.</w:t>
      </w:r>
      <w:r>
        <w:rPr>
          <w:rStyle w:val="FootnoteReference"/>
        </w:rPr>
        <w:footnoteReference w:id="9"/>
      </w:r>
      <w:r w:rsidR="0011308D">
        <w:t xml:space="preserve"> </w:t>
      </w:r>
      <w:r w:rsidR="00030746" w:rsidRPr="00A95C17">
        <w:rPr>
          <w:color w:val="000000" w:themeColor="text1"/>
        </w:rPr>
        <w:t xml:space="preserve">As the family would have a vested interest in the </w:t>
      </w:r>
      <w:r w:rsidR="00CB0A54">
        <w:rPr>
          <w:color w:val="000000" w:themeColor="text1"/>
        </w:rPr>
        <w:t>union</w:t>
      </w:r>
      <w:r w:rsidR="003843FE">
        <w:rPr>
          <w:color w:val="000000" w:themeColor="text1"/>
        </w:rPr>
        <w:t>,</w:t>
      </w:r>
      <w:r w:rsidR="00CB0A54">
        <w:rPr>
          <w:color w:val="000000" w:themeColor="text1"/>
        </w:rPr>
        <w:t xml:space="preserve"> they</w:t>
      </w:r>
      <w:r w:rsidR="00030746">
        <w:t xml:space="preserve"> were not the only people called upon to </w:t>
      </w:r>
      <w:r w:rsidR="003843FE">
        <w:t xml:space="preserve">testify to the bride’s virginity; so </w:t>
      </w:r>
      <w:r w:rsidR="00030746">
        <w:t>were the wedding guests (</w:t>
      </w:r>
      <w:proofErr w:type="spellStart"/>
      <w:r w:rsidR="00030746" w:rsidRPr="009C3A56">
        <w:rPr>
          <w:i/>
          <w:iCs/>
        </w:rPr>
        <w:t>neithiorwyr</w:t>
      </w:r>
      <w:proofErr w:type="spellEnd"/>
      <w:r w:rsidR="00030746">
        <w:t>)</w:t>
      </w:r>
      <w:r w:rsidR="0011308D">
        <w:t>.</w:t>
      </w:r>
      <w:r w:rsidR="003068FE">
        <w:rPr>
          <w:rStyle w:val="FootnoteReference"/>
        </w:rPr>
        <w:footnoteReference w:id="10"/>
      </w:r>
      <w:r w:rsidR="0011308D">
        <w:t xml:space="preserve"> </w:t>
      </w:r>
      <w:r w:rsidR="001D09A2">
        <w:t>The need for so many witnesses to testify suggests that virginity was not a private matter between husband and wife but concerned the whole community.</w:t>
      </w:r>
      <w:r w:rsidR="00DA1D3A">
        <w:t xml:space="preserve"> </w:t>
      </w:r>
      <w:r w:rsidR="00FB74BB" w:rsidRPr="00B65A8C">
        <w:rPr>
          <w:color w:val="000000" w:themeColor="text1"/>
        </w:rPr>
        <w:t>Th</w:t>
      </w:r>
      <w:r w:rsidR="00B65A8C" w:rsidRPr="00B65A8C">
        <w:rPr>
          <w:color w:val="000000" w:themeColor="text1"/>
        </w:rPr>
        <w:t>is indicates</w:t>
      </w:r>
      <w:r w:rsidR="00FB74BB" w:rsidRPr="00B65A8C">
        <w:rPr>
          <w:color w:val="000000" w:themeColor="text1"/>
        </w:rPr>
        <w:t xml:space="preserve"> that although virginity was desirable only in </w:t>
      </w:r>
      <w:r w:rsidR="00B65A8C" w:rsidRPr="00B65A8C">
        <w:rPr>
          <w:color w:val="000000" w:themeColor="text1"/>
        </w:rPr>
        <w:t>pre-pubescent</w:t>
      </w:r>
      <w:r w:rsidR="00FB74BB" w:rsidRPr="00B65A8C">
        <w:rPr>
          <w:color w:val="000000" w:themeColor="text1"/>
        </w:rPr>
        <w:t xml:space="preserve"> girls</w:t>
      </w:r>
      <w:r w:rsidR="00B65A8C" w:rsidRPr="00B65A8C">
        <w:rPr>
          <w:color w:val="000000" w:themeColor="text1"/>
        </w:rPr>
        <w:t>,</w:t>
      </w:r>
      <w:r w:rsidR="00FB74BB" w:rsidRPr="00B65A8C">
        <w:rPr>
          <w:color w:val="000000" w:themeColor="text1"/>
        </w:rPr>
        <w:t xml:space="preserve"> many were married later than this</w:t>
      </w:r>
      <w:r w:rsidR="00B65A8C" w:rsidRPr="00B65A8C">
        <w:rPr>
          <w:color w:val="000000" w:themeColor="text1"/>
        </w:rPr>
        <w:t>,</w:t>
      </w:r>
      <w:r w:rsidR="00FB74BB" w:rsidRPr="00B65A8C">
        <w:rPr>
          <w:color w:val="000000" w:themeColor="text1"/>
        </w:rPr>
        <w:t xml:space="preserve"> so allowances had to be made to recognise the reality.</w:t>
      </w:r>
    </w:p>
    <w:p w14:paraId="1601CD03" w14:textId="5E22B84A" w:rsidR="001D09A2" w:rsidRDefault="001D09A2" w:rsidP="00995B3F">
      <w:pPr>
        <w:spacing w:line="480" w:lineRule="auto"/>
      </w:pPr>
    </w:p>
    <w:p w14:paraId="53A97458" w14:textId="174E8701" w:rsidR="006E7323" w:rsidRDefault="001D09A2" w:rsidP="00995B3F">
      <w:pPr>
        <w:spacing w:line="480" w:lineRule="auto"/>
        <w:rPr>
          <w:color w:val="000000" w:themeColor="text1"/>
        </w:rPr>
      </w:pPr>
      <w:r>
        <w:t>There also appears to have been a fear of deception surrounding a woman’s claim to be a virgin</w:t>
      </w:r>
      <w:r w:rsidR="009C3A56">
        <w:t>,</w:t>
      </w:r>
      <w:r>
        <w:t xml:space="preserve"> and although a virgin was seen as a pure state</w:t>
      </w:r>
      <w:r w:rsidR="009C3A56">
        <w:t>,</w:t>
      </w:r>
      <w:r>
        <w:t xml:space="preserve"> their word counted for nothing</w:t>
      </w:r>
      <w:r w:rsidR="009C3A56">
        <w:t>; they</w:t>
      </w:r>
      <w:r>
        <w:t xml:space="preserve"> were untrustworthy like Eve. </w:t>
      </w:r>
      <w:r w:rsidR="00312308">
        <w:rPr>
          <w:color w:val="000000" w:themeColor="text1"/>
        </w:rPr>
        <w:t xml:space="preserve">None of the law texts states precisely how the wedding guests were supposed to witness a </w:t>
      </w:r>
      <w:r w:rsidR="004C138F">
        <w:rPr>
          <w:color w:val="000000" w:themeColor="text1"/>
        </w:rPr>
        <w:t>bride's</w:t>
      </w:r>
      <w:r w:rsidR="00312308">
        <w:rPr>
          <w:color w:val="000000" w:themeColor="text1"/>
        </w:rPr>
        <w:t xml:space="preserve"> virgin</w:t>
      </w:r>
      <w:r w:rsidR="00481D8A">
        <w:rPr>
          <w:color w:val="000000" w:themeColor="text1"/>
        </w:rPr>
        <w:t>ity</w:t>
      </w:r>
      <w:r w:rsidR="00B65A8C">
        <w:rPr>
          <w:color w:val="000000" w:themeColor="text1"/>
        </w:rPr>
        <w:t>; it</w:t>
      </w:r>
      <w:r w:rsidR="00312308">
        <w:rPr>
          <w:color w:val="000000" w:themeColor="text1"/>
        </w:rPr>
        <w:t xml:space="preserve"> is</w:t>
      </w:r>
      <w:r w:rsidR="00B65A8C">
        <w:rPr>
          <w:color w:val="000000" w:themeColor="text1"/>
        </w:rPr>
        <w:t>,</w:t>
      </w:r>
      <w:r w:rsidR="00312308">
        <w:rPr>
          <w:color w:val="000000" w:themeColor="text1"/>
        </w:rPr>
        <w:t xml:space="preserve"> however</w:t>
      </w:r>
      <w:r w:rsidR="003843FE">
        <w:rPr>
          <w:color w:val="000000" w:themeColor="text1"/>
        </w:rPr>
        <w:t>,</w:t>
      </w:r>
      <w:r w:rsidR="00312308">
        <w:rPr>
          <w:color w:val="000000" w:themeColor="text1"/>
        </w:rPr>
        <w:t xml:space="preserve"> </w:t>
      </w:r>
      <w:r w:rsidR="003843FE">
        <w:rPr>
          <w:color w:val="000000" w:themeColor="text1"/>
        </w:rPr>
        <w:t>though</w:t>
      </w:r>
      <w:r w:rsidR="00312308">
        <w:rPr>
          <w:color w:val="000000" w:themeColor="text1"/>
        </w:rPr>
        <w:t xml:space="preserve"> they checked sheets for blood, </w:t>
      </w:r>
      <w:r w:rsidR="004C138F">
        <w:rPr>
          <w:color w:val="000000" w:themeColor="text1"/>
        </w:rPr>
        <w:t xml:space="preserve">as </w:t>
      </w:r>
      <w:r w:rsidR="00312308">
        <w:rPr>
          <w:color w:val="000000" w:themeColor="text1"/>
        </w:rPr>
        <w:t xml:space="preserve">most recipes to fake virginity involved blood. </w:t>
      </w:r>
      <w:r>
        <w:t>Outside of Wales</w:t>
      </w:r>
      <w:r w:rsidR="009C3A56">
        <w:t>,</w:t>
      </w:r>
      <w:r>
        <w:t xml:space="preserve"> there were written </w:t>
      </w:r>
      <w:r w:rsidR="009C3A56">
        <w:t>recipes</w:t>
      </w:r>
      <w:r>
        <w:t xml:space="preserve"> and strategies a woman could use to fake her </w:t>
      </w:r>
      <w:r w:rsidR="006E7323">
        <w:t>virginity by</w:t>
      </w:r>
      <w:r>
        <w:t xml:space="preserve"> producing blood upon intercourse with her husband</w:t>
      </w:r>
      <w:r w:rsidR="00A348BE">
        <w:t>.</w:t>
      </w:r>
      <w:r w:rsidR="003843FE">
        <w:t xml:space="preserve"> However,</w:t>
      </w:r>
      <w:r w:rsidR="00C410A0">
        <w:t xml:space="preserve"> </w:t>
      </w:r>
      <w:r>
        <w:t>there is no record of these being used in Wales</w:t>
      </w:r>
      <w:r w:rsidR="009C3A56">
        <w:t>.</w:t>
      </w:r>
      <w:r w:rsidR="00AF6DB9">
        <w:rPr>
          <w:rStyle w:val="FootnoteReference"/>
        </w:rPr>
        <w:footnoteReference w:id="11"/>
      </w:r>
      <w:r w:rsidR="009C3A56">
        <w:t xml:space="preserve"> Of</w:t>
      </w:r>
      <w:r>
        <w:t xml:space="preserve"> course</w:t>
      </w:r>
      <w:r w:rsidR="009C3A56">
        <w:t xml:space="preserve">, </w:t>
      </w:r>
      <w:r w:rsidR="009C3A56" w:rsidRPr="00A95C17">
        <w:rPr>
          <w:color w:val="000000" w:themeColor="text1"/>
        </w:rPr>
        <w:t xml:space="preserve">the absence of evidence is not the evidence of absence, </w:t>
      </w:r>
      <w:r w:rsidR="009C3A56">
        <w:t>a</w:t>
      </w:r>
      <w:r w:rsidR="00387F8F">
        <w:t xml:space="preserve">s such </w:t>
      </w:r>
      <w:r w:rsidR="009C3A56">
        <w:t>knowledge could have been passed on by word of mouth</w:t>
      </w:r>
      <w:r w:rsidR="00387F8F">
        <w:t>.</w:t>
      </w:r>
      <w:r w:rsidR="009C3A56">
        <w:t xml:space="preserve"> </w:t>
      </w:r>
      <w:r w:rsidR="00387F8F">
        <w:t>A</w:t>
      </w:r>
      <w:r w:rsidR="009C3A56">
        <w:t>fter all, women</w:t>
      </w:r>
      <w:r w:rsidR="006E7323">
        <w:rPr>
          <w:color w:val="000000" w:themeColor="text1"/>
        </w:rPr>
        <w:t xml:space="preserve"> would not want it to be known that they faked their virginity.</w:t>
      </w:r>
      <w:r w:rsidR="00F60FE6">
        <w:rPr>
          <w:color w:val="000000" w:themeColor="text1"/>
        </w:rPr>
        <w:t xml:space="preserve"> In this instance</w:t>
      </w:r>
      <w:r w:rsidR="009C3A56">
        <w:rPr>
          <w:color w:val="000000" w:themeColor="text1"/>
        </w:rPr>
        <w:t>,</w:t>
      </w:r>
      <w:r w:rsidR="00F60FE6">
        <w:rPr>
          <w:color w:val="000000" w:themeColor="text1"/>
        </w:rPr>
        <w:t xml:space="preserve"> the law texts appear to be at odds with how virginity was perceived in the Middle Ages</w:t>
      </w:r>
      <w:r w:rsidR="00B65A8C">
        <w:rPr>
          <w:color w:val="000000" w:themeColor="text1"/>
        </w:rPr>
        <w:t>, focusing</w:t>
      </w:r>
      <w:r w:rsidR="00F60FE6">
        <w:rPr>
          <w:color w:val="000000" w:themeColor="text1"/>
        </w:rPr>
        <w:t xml:space="preserve"> on proving that the girl is a virgin rather than expecting her purity. </w:t>
      </w:r>
      <w:r w:rsidR="00F53946">
        <w:rPr>
          <w:color w:val="000000" w:themeColor="text1"/>
        </w:rPr>
        <w:t>D</w:t>
      </w:r>
      <w:r w:rsidR="00F53946" w:rsidRPr="007B4619">
        <w:rPr>
          <w:color w:val="000000" w:themeColor="text1"/>
        </w:rPr>
        <w:t xml:space="preserve">espite the apparent </w:t>
      </w:r>
      <w:r w:rsidR="00B65A8C">
        <w:rPr>
          <w:color w:val="000000" w:themeColor="text1"/>
        </w:rPr>
        <w:t>virtue</w:t>
      </w:r>
      <w:r w:rsidR="00F53946" w:rsidRPr="007B4619">
        <w:rPr>
          <w:color w:val="000000" w:themeColor="text1"/>
        </w:rPr>
        <w:t xml:space="preserve"> of virginity that can be seen in the myt</w:t>
      </w:r>
      <w:r w:rsidR="00F53946">
        <w:rPr>
          <w:color w:val="000000" w:themeColor="text1"/>
        </w:rPr>
        <w:t>h</w:t>
      </w:r>
      <w:r w:rsidR="00F53946" w:rsidRPr="007B4619">
        <w:rPr>
          <w:color w:val="000000" w:themeColor="text1"/>
        </w:rPr>
        <w:t xml:space="preserve">ical stories of virginity being </w:t>
      </w:r>
      <w:r w:rsidR="00F53946">
        <w:rPr>
          <w:color w:val="000000" w:themeColor="text1"/>
        </w:rPr>
        <w:t>luring</w:t>
      </w:r>
      <w:r w:rsidR="00F53946" w:rsidRPr="007B4619">
        <w:rPr>
          <w:color w:val="000000" w:themeColor="text1"/>
        </w:rPr>
        <w:t xml:space="preserve"> uni</w:t>
      </w:r>
      <w:r w:rsidR="00F53946">
        <w:rPr>
          <w:color w:val="000000" w:themeColor="text1"/>
        </w:rPr>
        <w:t>corns.</w:t>
      </w:r>
      <w:r w:rsidR="00F53946">
        <w:rPr>
          <w:rStyle w:val="FootnoteReference"/>
          <w:color w:val="000000" w:themeColor="text1"/>
        </w:rPr>
        <w:footnoteReference w:id="12"/>
      </w:r>
      <w:r w:rsidR="00F53946" w:rsidRPr="007B4619">
        <w:rPr>
          <w:color w:val="000000" w:themeColor="text1"/>
        </w:rPr>
        <w:t xml:space="preserve"> </w:t>
      </w:r>
      <w:r w:rsidR="00F60FE6">
        <w:rPr>
          <w:color w:val="000000" w:themeColor="text1"/>
        </w:rPr>
        <w:t>This suggests that although there were legends of the purity of women</w:t>
      </w:r>
      <w:r w:rsidR="009C3A56">
        <w:rPr>
          <w:color w:val="000000" w:themeColor="text1"/>
        </w:rPr>
        <w:t>,</w:t>
      </w:r>
      <w:r w:rsidR="00F60FE6">
        <w:rPr>
          <w:color w:val="000000" w:themeColor="text1"/>
        </w:rPr>
        <w:t xml:space="preserve"> they were not seen as representative of the character of women</w:t>
      </w:r>
      <w:r w:rsidR="006E7323">
        <w:rPr>
          <w:color w:val="000000" w:themeColor="text1"/>
        </w:rPr>
        <w:t xml:space="preserve">. </w:t>
      </w:r>
    </w:p>
    <w:p w14:paraId="123C7F1C" w14:textId="77777777" w:rsidR="008D7CAB" w:rsidRDefault="008D7CAB" w:rsidP="00995B3F">
      <w:pPr>
        <w:spacing w:line="480" w:lineRule="auto"/>
      </w:pPr>
    </w:p>
    <w:p w14:paraId="1E88CE5C" w14:textId="3EA424AB" w:rsidR="008D7CAB" w:rsidRPr="004A6786" w:rsidRDefault="008D7CAB" w:rsidP="00995B3F">
      <w:pPr>
        <w:spacing w:line="480" w:lineRule="auto"/>
      </w:pPr>
      <w:r>
        <w:t xml:space="preserve">The concern over false virgins in the law texts appears to reflect a concern as to the maidenhood and chastity of women in the Middle Ages, as seen in Medieval Wales prose. In legends usually associated with King Arthur’s </w:t>
      </w:r>
      <w:r w:rsidR="00BC145F">
        <w:t>C</w:t>
      </w:r>
      <w:r>
        <w:t>ou</w:t>
      </w:r>
      <w:r w:rsidR="00BC145F">
        <w:t>r</w:t>
      </w:r>
      <w:r>
        <w:t xml:space="preserve">t, there is a magical chastity testing mantle which, if a woman has been unchaste, rises to expose her genitalia in a similar way </w:t>
      </w:r>
      <w:r>
        <w:lastRenderedPageBreak/>
        <w:t>that the cutting of her shift reveals the genitalia of a false virgin.</w:t>
      </w:r>
      <w:r w:rsidR="00AF6DB9">
        <w:rPr>
          <w:rStyle w:val="FootnoteReference"/>
        </w:rPr>
        <w:footnoteReference w:id="13"/>
      </w:r>
      <w:r>
        <w:t xml:space="preserve"> The legends differ in that they test whether a married woman has been unchaste rather than a woman’s virginity. Together the magical chastity testing mantle and the number of witnesses required to establish a bride's virginity suggest a pervading concern of the sexual immorality of a woman in the Welsh Middle Ages that was not confined only to virgins.</w:t>
      </w:r>
    </w:p>
    <w:p w14:paraId="0B944169" w14:textId="519E1B4E" w:rsidR="00A12D97" w:rsidRDefault="00A12D97" w:rsidP="00995B3F">
      <w:pPr>
        <w:spacing w:line="480" w:lineRule="auto"/>
        <w:rPr>
          <w:color w:val="000000" w:themeColor="text1"/>
        </w:rPr>
      </w:pPr>
    </w:p>
    <w:p w14:paraId="37F579D5" w14:textId="1BD092BA" w:rsidR="00A12D97" w:rsidRDefault="00A12D97" w:rsidP="00995B3F">
      <w:pPr>
        <w:spacing w:line="480" w:lineRule="auto"/>
      </w:pPr>
      <w:r>
        <w:t>If a bride was found upon examination not to be a virgin or she refused to ask her family to confirm virginity, she was pronounced to be a false virgin (</w:t>
      </w:r>
      <w:proofErr w:type="spellStart"/>
      <w:r>
        <w:rPr>
          <w:i/>
          <w:iCs/>
        </w:rPr>
        <w:t>twyllforwyn</w:t>
      </w:r>
      <w:proofErr w:type="spellEnd"/>
      <w:r>
        <w:rPr>
          <w:i/>
          <w:iCs/>
        </w:rPr>
        <w:t>)</w:t>
      </w:r>
      <w:r>
        <w:t>.</w:t>
      </w:r>
      <w:r w:rsidR="002B2D88">
        <w:rPr>
          <w:rStyle w:val="FootnoteReference"/>
        </w:rPr>
        <w:footnoteReference w:id="14"/>
      </w:r>
      <w:r w:rsidR="002B2D88">
        <w:t xml:space="preserve"> </w:t>
      </w:r>
      <w:r>
        <w:t xml:space="preserve">How a </w:t>
      </w:r>
      <w:proofErr w:type="spellStart"/>
      <w:r>
        <w:rPr>
          <w:i/>
          <w:iCs/>
        </w:rPr>
        <w:t>twyllforwyn</w:t>
      </w:r>
      <w:proofErr w:type="spellEnd"/>
      <w:r>
        <w:t xml:space="preserve"> was treated differed depending </w:t>
      </w:r>
      <w:r w:rsidR="00635D6B">
        <w:t>upon her spouse and</w:t>
      </w:r>
      <w:r>
        <w:t xml:space="preserve"> the law code. In the Latin Redaction A, if the groom discovers that his bride is ‘deflowered, and subsequently he has intercourse with her and sleeps with her until morning, he can take nothing away from that which is the girl</w:t>
      </w:r>
      <w:r w:rsidR="00C64CBF">
        <w:t>’</w:t>
      </w:r>
      <w:r>
        <w:t>s right’,</w:t>
      </w:r>
      <w:r w:rsidR="0019216C">
        <w:rPr>
          <w:rStyle w:val="FootnoteReference"/>
        </w:rPr>
        <w:footnoteReference w:id="15"/>
      </w:r>
      <w:r>
        <w:t xml:space="preserve"> in this instance, even though the bride is found not to be a virgin, the wedding continues as if she was. If, however, the groom instantly gets up and tells the wedding guests that the bride is not a virgin, then she is subject to the punishment for being a false virgin, which is two-fold, firstly she is to have her shift cut to expose her genitals and </w:t>
      </w:r>
      <w:r w:rsidR="006E7E65">
        <w:t>secondly,</w:t>
      </w:r>
      <w:r>
        <w:t xml:space="preserve"> she is given a greased tail of a </w:t>
      </w:r>
      <w:r w:rsidR="000F78EE">
        <w:t>year-old</w:t>
      </w:r>
      <w:r>
        <w:t xml:space="preserve"> steer to hold.</w:t>
      </w:r>
      <w:r w:rsidR="003A4D64">
        <w:rPr>
          <w:rStyle w:val="FootnoteReference"/>
        </w:rPr>
        <w:footnoteReference w:id="16"/>
      </w:r>
      <w:r>
        <w:rPr>
          <w:vertAlign w:val="superscript"/>
        </w:rPr>
        <w:t xml:space="preserve"> </w:t>
      </w:r>
      <w:r>
        <w:t>In the unlikely event that the woman can hold onto the tail, she is given the steer as her</w:t>
      </w:r>
      <w:r w:rsidR="002B2D88">
        <w:t xml:space="preserve"> </w:t>
      </w:r>
      <w:r w:rsidR="002B2D88">
        <w:rPr>
          <w:i/>
          <w:iCs/>
        </w:rPr>
        <w:t>dos</w:t>
      </w:r>
      <w:r w:rsidR="000F78EE">
        <w:rPr>
          <w:i/>
          <w:iCs/>
        </w:rPr>
        <w:t>;</w:t>
      </w:r>
      <w:r w:rsidR="002D4658">
        <w:rPr>
          <w:rStyle w:val="FootnoteReference"/>
          <w:i/>
          <w:iCs/>
        </w:rPr>
        <w:footnoteReference w:id="17"/>
      </w:r>
      <w:r>
        <w:t xml:space="preserve"> however, in the much more likely event that she is unable to hold onto the steer’s tail, she receives nothing. The punishment of a false virgin exposes her to public ridicule exposing her private parts for all to see and depriving her of the financial payments that the groom would usually make for </w:t>
      </w:r>
      <w:r>
        <w:lastRenderedPageBreak/>
        <w:t xml:space="preserve">his bride's virginity. By losing her virginity outside of marriage, the marriage </w:t>
      </w:r>
      <w:r w:rsidR="00C52CD7">
        <w:t>becomes</w:t>
      </w:r>
      <w:r>
        <w:t xml:space="preserve"> effectively worthless</w:t>
      </w:r>
      <w:r w:rsidR="00C52CD7">
        <w:t>. She</w:t>
      </w:r>
      <w:r w:rsidR="00D55080">
        <w:t xml:space="preserve"> is </w:t>
      </w:r>
      <w:r>
        <w:t>ostracised by the community, meaning that she can no longer make a desirable marriage and, as a result, ha</w:t>
      </w:r>
      <w:r w:rsidR="00D55080">
        <w:t>s</w:t>
      </w:r>
      <w:r>
        <w:t xml:space="preserve"> jeopardised her future both socially and economically as she would have to pay her own maiden fee for her loss of virginity as well as potentially having to settle for a less advantageous marriage where the groom was happy for his bride not to be a virgin.</w:t>
      </w:r>
    </w:p>
    <w:p w14:paraId="3356B84D" w14:textId="77777777" w:rsidR="00F97048" w:rsidRDefault="00F97048" w:rsidP="00995B3F">
      <w:pPr>
        <w:spacing w:line="480" w:lineRule="auto"/>
      </w:pPr>
    </w:p>
    <w:p w14:paraId="0516D43B" w14:textId="1AC8DEF1" w:rsidR="00636932" w:rsidRDefault="00F97048" w:rsidP="00995B3F">
      <w:pPr>
        <w:spacing w:line="480" w:lineRule="auto"/>
      </w:pPr>
      <w:r>
        <w:t xml:space="preserve">This </w:t>
      </w:r>
      <w:r w:rsidR="00A12D97">
        <w:t xml:space="preserve">suggests male control of the virgins in Medieval Wales with punishments if she goes against society's expectations. Still, it is not just the false virgin who is punished as she cannot inherit land, and if from the higher classes probably </w:t>
      </w:r>
      <w:r w:rsidR="00C52CD7">
        <w:t>do</w:t>
      </w:r>
      <w:r w:rsidR="00A12D97">
        <w:t xml:space="preserve"> not have an occupation, it falls to her family to look after her financially. Not only that, but they too would lose status in the community as they failed to guard their daughter </w:t>
      </w:r>
      <w:r w:rsidR="00C52CD7">
        <w:t>correctly</w:t>
      </w:r>
      <w:r w:rsidR="00A12D97">
        <w:t>. If they had sworn that she was a virgin</w:t>
      </w:r>
      <w:r w:rsidR="00A81865">
        <w:t>,</w:t>
      </w:r>
      <w:r w:rsidR="00A12D97">
        <w:t xml:space="preserve"> but </w:t>
      </w:r>
      <w:r w:rsidR="00C97C6F">
        <w:t xml:space="preserve">if it </w:t>
      </w:r>
      <w:r w:rsidR="00A12D97">
        <w:t xml:space="preserve">were found not to be </w:t>
      </w:r>
      <w:r w:rsidR="00C97C6F">
        <w:t xml:space="preserve">so </w:t>
      </w:r>
      <w:r w:rsidR="00A12D97">
        <w:t>by the wedding guests, the family who swore an oath that their daughter was a virgin would be restricted from swearing oaths in future, and if a false virgin had sisters, no doubt their sisters' actions would negatively impact their prospects in marriage.</w:t>
      </w:r>
      <w:r w:rsidR="00ED04FC">
        <w:t xml:space="preserve"> </w:t>
      </w:r>
      <w:r w:rsidR="00636932">
        <w:t xml:space="preserve">Despite the seeming prominence of </w:t>
      </w:r>
      <w:proofErr w:type="spellStart"/>
      <w:r w:rsidR="00636932" w:rsidRPr="00912280">
        <w:rPr>
          <w:i/>
          <w:iCs/>
        </w:rPr>
        <w:t>twyllforwyn</w:t>
      </w:r>
      <w:proofErr w:type="spellEnd"/>
      <w:r w:rsidR="00636932">
        <w:t xml:space="preserve"> in the law texts and the virginity testing in literature, </w:t>
      </w:r>
      <w:proofErr w:type="spellStart"/>
      <w:r w:rsidR="00636932" w:rsidRPr="007258D9">
        <w:rPr>
          <w:i/>
          <w:iCs/>
        </w:rPr>
        <w:t>twyllforwyn</w:t>
      </w:r>
      <w:proofErr w:type="spellEnd"/>
      <w:r w:rsidR="00636932">
        <w:t xml:space="preserve"> was only possible in marital unions involving the gift of kin, which accounts for only two of the nine possible matrimonial unions. However, this does not mean that virginity was not a factor in the other unions, even marriages through rape. </w:t>
      </w:r>
      <w:r w:rsidR="00A81865">
        <w:t xml:space="preserve">In the early period, </w:t>
      </w:r>
      <w:r w:rsidR="006A410C">
        <w:t>this</w:t>
      </w:r>
      <w:r w:rsidR="000F1A33">
        <w:t xml:space="preserve"> appears to have been a legal union. </w:t>
      </w:r>
      <w:r w:rsidR="00636932">
        <w:t xml:space="preserve">As with the other unions, the physical act of intercourse </w:t>
      </w:r>
      <w:r w:rsidR="00CA2BCB">
        <w:t>consummated</w:t>
      </w:r>
      <w:r w:rsidR="00636932">
        <w:t xml:space="preserve"> the marriage</w:t>
      </w:r>
      <w:r w:rsidR="005E019A">
        <w:t>,</w:t>
      </w:r>
      <w:r w:rsidR="00636932">
        <w:t xml:space="preserve"> </w:t>
      </w:r>
      <w:r w:rsidR="000F1A33">
        <w:t>not</w:t>
      </w:r>
      <w:r w:rsidR="00636932">
        <w:t xml:space="preserve"> the wedding ceremony itself. </w:t>
      </w:r>
      <w:r w:rsidR="005E019A">
        <w:t xml:space="preserve">In this way, a man could force a family to accept his marrying a daughter by forcing their hand. </w:t>
      </w:r>
      <w:r w:rsidR="00636932">
        <w:t>A virgin who was raped was still entitled and subject to the same payments as a woman married by a gift of kin.</w:t>
      </w:r>
    </w:p>
    <w:p w14:paraId="57D89D5F" w14:textId="77777777" w:rsidR="00636932" w:rsidRDefault="00636932" w:rsidP="00995B3F">
      <w:pPr>
        <w:spacing w:line="480" w:lineRule="auto"/>
      </w:pPr>
    </w:p>
    <w:p w14:paraId="495D9EBE" w14:textId="199B1307" w:rsidR="00E22A76" w:rsidRPr="004F026C" w:rsidRDefault="00636932" w:rsidP="00995B3F">
      <w:pPr>
        <w:spacing w:line="480" w:lineRule="auto"/>
        <w:rPr>
          <w:color w:val="000000" w:themeColor="text1"/>
        </w:rPr>
      </w:pPr>
      <w:r>
        <w:t xml:space="preserve">The first payment is </w:t>
      </w:r>
      <w:proofErr w:type="spellStart"/>
      <w:r w:rsidRPr="00B4636D">
        <w:rPr>
          <w:i/>
          <w:iCs/>
        </w:rPr>
        <w:t>cowyll</w:t>
      </w:r>
      <w:proofErr w:type="spellEnd"/>
      <w:r>
        <w:t xml:space="preserve"> which translates roughly to morning gift.</w:t>
      </w:r>
      <w:r w:rsidR="005F6D96">
        <w:rPr>
          <w:rStyle w:val="FootnoteReference"/>
        </w:rPr>
        <w:footnoteReference w:id="18"/>
      </w:r>
      <w:r>
        <w:t xml:space="preserve"> Before rising from the bed in the morning, a wife had to stipulate what she wanted her </w:t>
      </w:r>
      <w:proofErr w:type="spellStart"/>
      <w:r>
        <w:rPr>
          <w:i/>
          <w:iCs/>
        </w:rPr>
        <w:t>cowyll</w:t>
      </w:r>
      <w:proofErr w:type="spellEnd"/>
      <w:r>
        <w:rPr>
          <w:i/>
          <w:iCs/>
        </w:rPr>
        <w:t xml:space="preserve"> </w:t>
      </w:r>
      <w:r w:rsidRPr="00A36943">
        <w:t>to be</w:t>
      </w:r>
      <w:r>
        <w:t>; otherwise,</w:t>
      </w:r>
      <w:r w:rsidRPr="00A36943">
        <w:t xml:space="preserve"> there was no obligation that the groom pay.</w:t>
      </w:r>
      <w:r>
        <w:t xml:space="preserve"> The same rule applied to a virgin abducted and raped, placing the onus on her at probably what was a harrowing time and making no allowances that she could have been drunk, even though the laws acknowledge that as a possibility. The laws also recognise that the </w:t>
      </w:r>
      <w:r w:rsidRPr="00126C1D">
        <w:t>requ</w:t>
      </w:r>
      <w:r>
        <w:t>isite witnesses of the girls' loss of virginity will be absent; therefore, only her word alone is accepted in this situation. This is unusual as women could not act as a witness against a man, so allowing a single female voice to stand against a man could suggest the seriousness of the crime.</w:t>
      </w:r>
      <w:r w:rsidR="00E22A76">
        <w:t xml:space="preserve"> </w:t>
      </w:r>
      <w:r w:rsidR="00F53946">
        <w:rPr>
          <w:color w:val="000000" w:themeColor="text1"/>
        </w:rPr>
        <w:t>T</w:t>
      </w:r>
      <w:r w:rsidR="00E22A76">
        <w:rPr>
          <w:color w:val="000000" w:themeColor="text1"/>
        </w:rPr>
        <w:t>here is</w:t>
      </w:r>
      <w:r w:rsidR="00E22A76" w:rsidRPr="007B4619">
        <w:rPr>
          <w:color w:val="000000" w:themeColor="text1"/>
        </w:rPr>
        <w:t xml:space="preserve"> a fear of deception in all the law </w:t>
      </w:r>
      <w:r w:rsidR="00E22A76">
        <w:rPr>
          <w:color w:val="000000" w:themeColor="text1"/>
        </w:rPr>
        <w:t>codes,</w:t>
      </w:r>
      <w:r w:rsidR="00E22A76" w:rsidRPr="007B4619">
        <w:rPr>
          <w:color w:val="000000" w:themeColor="text1"/>
        </w:rPr>
        <w:t xml:space="preserve"> not just from a bride wishing to hide a pa</w:t>
      </w:r>
      <w:r w:rsidR="00E22A76">
        <w:rPr>
          <w:color w:val="000000" w:themeColor="text1"/>
        </w:rPr>
        <w:t>s</w:t>
      </w:r>
      <w:r w:rsidR="00E22A76" w:rsidRPr="007B4619">
        <w:rPr>
          <w:color w:val="000000" w:themeColor="text1"/>
        </w:rPr>
        <w:t xml:space="preserve">t </w:t>
      </w:r>
      <w:r w:rsidR="00E22A76">
        <w:rPr>
          <w:color w:val="000000" w:themeColor="text1"/>
        </w:rPr>
        <w:t>trans</w:t>
      </w:r>
      <w:r w:rsidR="00E22A76" w:rsidRPr="007B4619">
        <w:rPr>
          <w:color w:val="000000" w:themeColor="text1"/>
        </w:rPr>
        <w:t>gression but also from the family who</w:t>
      </w:r>
      <w:r w:rsidR="00E85C30">
        <w:rPr>
          <w:color w:val="000000" w:themeColor="text1"/>
        </w:rPr>
        <w:t>,</w:t>
      </w:r>
      <w:r w:rsidR="00E22A76" w:rsidRPr="007B4619">
        <w:rPr>
          <w:color w:val="000000" w:themeColor="text1"/>
        </w:rPr>
        <w:t xml:space="preserve"> i</w:t>
      </w:r>
      <w:r w:rsidR="00E22A76">
        <w:rPr>
          <w:color w:val="000000" w:themeColor="text1"/>
        </w:rPr>
        <w:t>f</w:t>
      </w:r>
      <w:r w:rsidR="00E22A76" w:rsidRPr="007B4619">
        <w:rPr>
          <w:color w:val="000000" w:themeColor="text1"/>
        </w:rPr>
        <w:t xml:space="preserve"> a daughter is found to be a false virgin despite swearing otherwise</w:t>
      </w:r>
      <w:r w:rsidR="00E85C30">
        <w:rPr>
          <w:color w:val="000000" w:themeColor="text1"/>
        </w:rPr>
        <w:t>,</w:t>
      </w:r>
      <w:r w:rsidR="00E22A76" w:rsidRPr="007B4619">
        <w:rPr>
          <w:color w:val="000000" w:themeColor="text1"/>
        </w:rPr>
        <w:t xml:space="preserve"> lose their ability to act as </w:t>
      </w:r>
      <w:r w:rsidR="00E22A76">
        <w:rPr>
          <w:color w:val="000000" w:themeColor="text1"/>
        </w:rPr>
        <w:t xml:space="preserve">surety </w:t>
      </w:r>
      <w:r w:rsidR="00E22A76" w:rsidRPr="007B4619">
        <w:rPr>
          <w:color w:val="000000" w:themeColor="text1"/>
        </w:rPr>
        <w:t>again.</w:t>
      </w:r>
    </w:p>
    <w:p w14:paraId="2C1A195C" w14:textId="279FA934" w:rsidR="00636932" w:rsidRDefault="00636932" w:rsidP="00995B3F">
      <w:pPr>
        <w:spacing w:line="480" w:lineRule="auto"/>
      </w:pPr>
    </w:p>
    <w:p w14:paraId="6FA18548" w14:textId="27683874" w:rsidR="00636932" w:rsidRDefault="00636932" w:rsidP="00995B3F">
      <w:pPr>
        <w:spacing w:line="480" w:lineRule="auto"/>
        <w:rPr>
          <w:color w:val="000000" w:themeColor="text1"/>
        </w:rPr>
      </w:pPr>
      <w:r>
        <w:t xml:space="preserve">As with the witnesses required in a gift of kin marriage to testify that a bride is a virgin if a man denies that he raped a woman, he can call on witnesses to acquit him even if a woman has sworn on relics that he did as for some judges this was not enough, in </w:t>
      </w:r>
      <w:r w:rsidRPr="000A3F6B">
        <w:rPr>
          <w:color w:val="000000" w:themeColor="text1"/>
        </w:rPr>
        <w:t xml:space="preserve">the </w:t>
      </w:r>
      <w:proofErr w:type="spellStart"/>
      <w:r w:rsidRPr="000A3F6B">
        <w:rPr>
          <w:i/>
          <w:iCs/>
          <w:color w:val="000000" w:themeColor="text1"/>
        </w:rPr>
        <w:t>Iorwerth</w:t>
      </w:r>
      <w:proofErr w:type="spellEnd"/>
      <w:r w:rsidRPr="000A3F6B">
        <w:rPr>
          <w:color w:val="000000" w:themeColor="text1"/>
        </w:rPr>
        <w:t xml:space="preserve"> text</w:t>
      </w:r>
      <w:r>
        <w:rPr>
          <w:color w:val="000000" w:themeColor="text1"/>
        </w:rPr>
        <w:t>, if the man accused of rape can find ‘fifty men without foreigners without designed men’</w:t>
      </w:r>
      <w:r w:rsidR="0019216C">
        <w:rPr>
          <w:rStyle w:val="FootnoteReference"/>
          <w:color w:val="000000" w:themeColor="text1"/>
        </w:rPr>
        <w:footnoteReference w:id="19"/>
      </w:r>
      <w:r>
        <w:rPr>
          <w:color w:val="000000" w:themeColor="text1"/>
        </w:rPr>
        <w:t xml:space="preserve"> to say on oath that he did not rape the woman, then he is acquitted. </w:t>
      </w:r>
      <w:r w:rsidR="00E42FAD">
        <w:rPr>
          <w:color w:val="000000" w:themeColor="text1"/>
        </w:rPr>
        <w:t>However</w:t>
      </w:r>
      <w:r w:rsidR="00A81865">
        <w:rPr>
          <w:color w:val="000000" w:themeColor="text1"/>
        </w:rPr>
        <w:t>,</w:t>
      </w:r>
      <w:r w:rsidR="00E42FAD">
        <w:rPr>
          <w:color w:val="000000" w:themeColor="text1"/>
        </w:rPr>
        <w:t xml:space="preserve"> t</w:t>
      </w:r>
      <w:r>
        <w:rPr>
          <w:color w:val="000000" w:themeColor="text1"/>
        </w:rPr>
        <w:t xml:space="preserve">his law </w:t>
      </w:r>
      <w:r w:rsidR="00E42FAD">
        <w:rPr>
          <w:color w:val="000000" w:themeColor="text1"/>
        </w:rPr>
        <w:t xml:space="preserve">appears </w:t>
      </w:r>
      <w:r>
        <w:rPr>
          <w:color w:val="000000" w:themeColor="text1"/>
        </w:rPr>
        <w:t>relevant to all rape cases and not specifically for rape of a virgin</w:t>
      </w:r>
      <w:r w:rsidR="000A3F6B">
        <w:rPr>
          <w:color w:val="000000" w:themeColor="text1"/>
        </w:rPr>
        <w:t>; for</w:t>
      </w:r>
      <w:r>
        <w:rPr>
          <w:color w:val="000000" w:themeColor="text1"/>
        </w:rPr>
        <w:t xml:space="preserve"> rape of a virgin where the accused denies that he has raped her</w:t>
      </w:r>
      <w:r w:rsidR="00D863BC">
        <w:rPr>
          <w:color w:val="000000" w:themeColor="text1"/>
        </w:rPr>
        <w:t>,</w:t>
      </w:r>
      <w:r w:rsidR="00E55DA2">
        <w:rPr>
          <w:color w:val="000000" w:themeColor="text1"/>
        </w:rPr>
        <w:t xml:space="preserve"> </w:t>
      </w:r>
      <w:r w:rsidR="00D863BC">
        <w:rPr>
          <w:color w:val="000000" w:themeColor="text1"/>
        </w:rPr>
        <w:t>‘</w:t>
      </w:r>
      <w:r>
        <w:rPr>
          <w:color w:val="000000" w:themeColor="text1"/>
        </w:rPr>
        <w:t xml:space="preserve">and the virgin says that he has not raped </w:t>
      </w:r>
      <w:r>
        <w:rPr>
          <w:color w:val="000000" w:themeColor="text1"/>
        </w:rPr>
        <w:lastRenderedPageBreak/>
        <w:t>her</w:t>
      </w:r>
      <w:r w:rsidR="000A3F6B">
        <w:rPr>
          <w:color w:val="000000" w:themeColor="text1"/>
        </w:rPr>
        <w:t>,</w:t>
      </w:r>
      <w:r>
        <w:rPr>
          <w:color w:val="000000" w:themeColor="text1"/>
        </w:rPr>
        <w:t xml:space="preserve"> she is still a virgin</w:t>
      </w:r>
      <w:r w:rsidR="00D863BC">
        <w:rPr>
          <w:color w:val="000000" w:themeColor="text1"/>
        </w:rPr>
        <w:t>.</w:t>
      </w:r>
      <w:r>
        <w:rPr>
          <w:color w:val="000000" w:themeColor="text1"/>
        </w:rPr>
        <w:t xml:space="preserve"> The law says it is right to test whether she is a virgin or not, for it is her plea that she is a virgin</w:t>
      </w:r>
      <w:r w:rsidR="00D863BC">
        <w:rPr>
          <w:color w:val="000000" w:themeColor="text1"/>
        </w:rPr>
        <w:t>’</w:t>
      </w:r>
      <w:r>
        <w:rPr>
          <w:color w:val="000000" w:themeColor="text1"/>
        </w:rPr>
        <w:t>.</w:t>
      </w:r>
      <w:r w:rsidR="00D863BC">
        <w:rPr>
          <w:rStyle w:val="FootnoteReference"/>
          <w:color w:val="000000" w:themeColor="text1"/>
        </w:rPr>
        <w:footnoteReference w:id="20"/>
      </w:r>
      <w:r>
        <w:rPr>
          <w:color w:val="000000" w:themeColor="text1"/>
        </w:rPr>
        <w:t xml:space="preserve"> This results in the onus </w:t>
      </w:r>
      <w:r w:rsidR="007F7684">
        <w:rPr>
          <w:color w:val="000000" w:themeColor="text1"/>
        </w:rPr>
        <w:t xml:space="preserve">again </w:t>
      </w:r>
      <w:r>
        <w:rPr>
          <w:color w:val="000000" w:themeColor="text1"/>
        </w:rPr>
        <w:t xml:space="preserve">being placed on the virgin to prove her sexual status rather than the accused having to prove his innocence. As there are no wedding guests or family to act as surety, </w:t>
      </w:r>
      <w:r w:rsidR="00A81865">
        <w:rPr>
          <w:color w:val="000000" w:themeColor="text1"/>
        </w:rPr>
        <w:t xml:space="preserve">the </w:t>
      </w:r>
      <w:proofErr w:type="spellStart"/>
      <w:r w:rsidR="00A81865">
        <w:rPr>
          <w:color w:val="000000" w:themeColor="text1"/>
        </w:rPr>
        <w:t>edling</w:t>
      </w:r>
      <w:proofErr w:type="spellEnd"/>
      <w:r w:rsidR="00A81865">
        <w:rPr>
          <w:color w:val="000000" w:themeColor="text1"/>
        </w:rPr>
        <w:t xml:space="preserve"> (heir apparent) </w:t>
      </w:r>
      <w:r>
        <w:rPr>
          <w:color w:val="000000" w:themeColor="text1"/>
        </w:rPr>
        <w:t>is to ‘test’ the woman to see if she is still a virgin.</w:t>
      </w:r>
      <w:r w:rsidR="003002BE">
        <w:rPr>
          <w:rStyle w:val="FootnoteReference"/>
          <w:color w:val="000000" w:themeColor="text1"/>
        </w:rPr>
        <w:footnoteReference w:id="21"/>
      </w:r>
      <w:r>
        <w:rPr>
          <w:color w:val="000000" w:themeColor="text1"/>
        </w:rPr>
        <w:t xml:space="preserve"> Frustratingly</w:t>
      </w:r>
      <w:r w:rsidR="000A3F6B">
        <w:rPr>
          <w:color w:val="000000" w:themeColor="text1"/>
        </w:rPr>
        <w:t>,</w:t>
      </w:r>
      <w:r>
        <w:rPr>
          <w:color w:val="000000" w:themeColor="text1"/>
        </w:rPr>
        <w:t xml:space="preserve"> despite how explicit the law texts are regarding how male impotence is tested and the punishments involving the pudendum for false virgins, there is no explanation as to how the </w:t>
      </w:r>
      <w:proofErr w:type="spellStart"/>
      <w:r>
        <w:rPr>
          <w:i/>
          <w:iCs/>
          <w:color w:val="000000" w:themeColor="text1"/>
        </w:rPr>
        <w:t>edling</w:t>
      </w:r>
      <w:proofErr w:type="spellEnd"/>
      <w:r>
        <w:rPr>
          <w:color w:val="000000" w:themeColor="text1"/>
        </w:rPr>
        <w:t xml:space="preserve"> is meant to ‘test’ that the woman</w:t>
      </w:r>
      <w:r w:rsidR="00D60029">
        <w:rPr>
          <w:color w:val="000000" w:themeColor="text1"/>
        </w:rPr>
        <w:t xml:space="preserve"> is still a virgin. One </w:t>
      </w:r>
      <w:r w:rsidR="00A553A8">
        <w:rPr>
          <w:color w:val="000000" w:themeColor="text1"/>
        </w:rPr>
        <w:t xml:space="preserve">of the ways to test virginity could have been a urine test where the different colours of the urine </w:t>
      </w:r>
      <w:r w:rsidR="002A197F">
        <w:rPr>
          <w:color w:val="000000" w:themeColor="text1"/>
        </w:rPr>
        <w:t>were</w:t>
      </w:r>
      <w:r w:rsidR="00A553A8">
        <w:rPr>
          <w:color w:val="000000" w:themeColor="text1"/>
        </w:rPr>
        <w:t xml:space="preserve"> said to show if a woman was a virgin.</w:t>
      </w:r>
      <w:r w:rsidR="00674095">
        <w:rPr>
          <w:rStyle w:val="FootnoteReference"/>
          <w:color w:val="000000" w:themeColor="text1"/>
        </w:rPr>
        <w:footnoteReference w:id="22"/>
      </w:r>
      <w:r w:rsidR="00A553A8" w:rsidRPr="00FF209E">
        <w:rPr>
          <w:color w:val="000000" w:themeColor="text1"/>
        </w:rPr>
        <w:t xml:space="preserve"> </w:t>
      </w:r>
      <w:r w:rsidR="00E42FAD">
        <w:rPr>
          <w:color w:val="000000" w:themeColor="text1"/>
        </w:rPr>
        <w:t>The words used to describe the c</w:t>
      </w:r>
      <w:r w:rsidR="00A553A8" w:rsidRPr="00FF209E">
        <w:rPr>
          <w:color w:val="000000" w:themeColor="text1"/>
        </w:rPr>
        <w:t xml:space="preserve">olours </w:t>
      </w:r>
      <w:r w:rsidR="00E42FAD">
        <w:rPr>
          <w:color w:val="000000" w:themeColor="text1"/>
        </w:rPr>
        <w:t>of</w:t>
      </w:r>
      <w:r w:rsidR="00A553A8" w:rsidRPr="00FF209E">
        <w:rPr>
          <w:color w:val="000000" w:themeColor="text1"/>
        </w:rPr>
        <w:t xml:space="preserve"> the urine give an idea of how virginity was </w:t>
      </w:r>
      <w:r w:rsidR="00D863BC" w:rsidRPr="00FF209E">
        <w:rPr>
          <w:color w:val="000000" w:themeColor="text1"/>
        </w:rPr>
        <w:t>perceived</w:t>
      </w:r>
      <w:r w:rsidR="00D863BC">
        <w:rPr>
          <w:color w:val="000000" w:themeColor="text1"/>
        </w:rPr>
        <w:t>,</w:t>
      </w:r>
      <w:r w:rsidR="00A553A8">
        <w:rPr>
          <w:color w:val="000000" w:themeColor="text1"/>
        </w:rPr>
        <w:t xml:space="preserve"> </w:t>
      </w:r>
      <w:r w:rsidR="00F15641">
        <w:rPr>
          <w:color w:val="000000" w:themeColor="text1"/>
        </w:rPr>
        <w:t>s</w:t>
      </w:r>
      <w:r w:rsidR="00A553A8">
        <w:rPr>
          <w:color w:val="000000" w:themeColor="text1"/>
        </w:rPr>
        <w:t>uch as an ‘</w:t>
      </w:r>
      <w:proofErr w:type="spellStart"/>
      <w:r w:rsidR="00F15641">
        <w:rPr>
          <w:color w:val="000000" w:themeColor="text1"/>
        </w:rPr>
        <w:t>unripened</w:t>
      </w:r>
      <w:proofErr w:type="spellEnd"/>
      <w:r w:rsidR="00A553A8">
        <w:rPr>
          <w:color w:val="000000" w:themeColor="text1"/>
        </w:rPr>
        <w:t xml:space="preserve"> apple’</w:t>
      </w:r>
      <w:r w:rsidR="00923447">
        <w:rPr>
          <w:color w:val="000000" w:themeColor="text1"/>
        </w:rPr>
        <w:t xml:space="preserve"> </w:t>
      </w:r>
      <w:r w:rsidR="00E42FAD">
        <w:rPr>
          <w:color w:val="000000" w:themeColor="text1"/>
        </w:rPr>
        <w:t xml:space="preserve">which </w:t>
      </w:r>
      <w:r w:rsidR="00A553A8">
        <w:rPr>
          <w:color w:val="000000" w:themeColor="text1"/>
        </w:rPr>
        <w:t xml:space="preserve">signifies </w:t>
      </w:r>
      <w:r w:rsidR="00E42FAD">
        <w:rPr>
          <w:color w:val="000000" w:themeColor="text1"/>
        </w:rPr>
        <w:t xml:space="preserve">the </w:t>
      </w:r>
      <w:r w:rsidR="00A553A8">
        <w:rPr>
          <w:color w:val="000000" w:themeColor="text1"/>
        </w:rPr>
        <w:t>‘purity of virginity’</w:t>
      </w:r>
      <w:r w:rsidR="00E42FAD">
        <w:rPr>
          <w:color w:val="000000" w:themeColor="text1"/>
        </w:rPr>
        <w:t>.</w:t>
      </w:r>
      <w:r w:rsidR="00A553A8">
        <w:rPr>
          <w:color w:val="000000" w:themeColor="text1"/>
        </w:rPr>
        <w:t xml:space="preserve"> </w:t>
      </w:r>
      <w:r w:rsidR="00E42FAD">
        <w:rPr>
          <w:color w:val="000000" w:themeColor="text1"/>
        </w:rPr>
        <w:t>I</w:t>
      </w:r>
      <w:r w:rsidR="00A553A8">
        <w:rPr>
          <w:color w:val="000000" w:themeColor="text1"/>
        </w:rPr>
        <w:t>n some texts</w:t>
      </w:r>
      <w:r w:rsidR="002A197F">
        <w:rPr>
          <w:color w:val="000000" w:themeColor="text1"/>
        </w:rPr>
        <w:t>,</w:t>
      </w:r>
      <w:r w:rsidR="00E42FAD">
        <w:rPr>
          <w:color w:val="000000" w:themeColor="text1"/>
        </w:rPr>
        <w:t xml:space="preserve"> if the urine is </w:t>
      </w:r>
      <w:r w:rsidR="00AC2C51">
        <w:rPr>
          <w:color w:val="000000" w:themeColor="text1"/>
        </w:rPr>
        <w:t>white</w:t>
      </w:r>
      <w:r w:rsidR="00E42FAD">
        <w:rPr>
          <w:color w:val="000000" w:themeColor="text1"/>
        </w:rPr>
        <w:t xml:space="preserve"> in colour</w:t>
      </w:r>
      <w:r w:rsidR="002A197F">
        <w:rPr>
          <w:color w:val="000000" w:themeColor="text1"/>
        </w:rPr>
        <w:t>,</w:t>
      </w:r>
      <w:r w:rsidR="00E42FAD">
        <w:rPr>
          <w:color w:val="000000" w:themeColor="text1"/>
        </w:rPr>
        <w:t xml:space="preserve"> then the woman is concluded to be a virgin</w:t>
      </w:r>
      <w:r w:rsidR="002A197F">
        <w:rPr>
          <w:color w:val="000000" w:themeColor="text1"/>
        </w:rPr>
        <w:t>; as</w:t>
      </w:r>
      <w:r w:rsidR="00E42FAD">
        <w:rPr>
          <w:color w:val="000000" w:themeColor="text1"/>
        </w:rPr>
        <w:t xml:space="preserve"> white is often associated with purity, it would make sense that it is the colour associated with virginity, although </w:t>
      </w:r>
      <w:r w:rsidR="00AC2C51">
        <w:rPr>
          <w:color w:val="000000" w:themeColor="text1"/>
        </w:rPr>
        <w:t>it is important to note that sometimes the inclusion of black</w:t>
      </w:r>
      <w:r w:rsidR="002A197F">
        <w:rPr>
          <w:color w:val="000000" w:themeColor="text1"/>
        </w:rPr>
        <w:t xml:space="preserve"> </w:t>
      </w:r>
      <w:r w:rsidR="00AC2C51">
        <w:rPr>
          <w:color w:val="000000" w:themeColor="text1"/>
        </w:rPr>
        <w:t>a colour</w:t>
      </w:r>
      <w:r w:rsidR="002A197F">
        <w:rPr>
          <w:color w:val="000000" w:themeColor="text1"/>
        </w:rPr>
        <w:t xml:space="preserve"> </w:t>
      </w:r>
      <w:r w:rsidR="00AC2C51">
        <w:rPr>
          <w:color w:val="000000" w:themeColor="text1"/>
        </w:rPr>
        <w:t>usually associated with sinfulness is also used to indicate a virgin</w:t>
      </w:r>
      <w:r w:rsidR="00A553A8">
        <w:rPr>
          <w:color w:val="000000" w:themeColor="text1"/>
        </w:rPr>
        <w:t xml:space="preserve">. </w:t>
      </w:r>
      <w:r>
        <w:rPr>
          <w:color w:val="000000" w:themeColor="text1"/>
        </w:rPr>
        <w:t>The law also fails to mention what happens if the woman is found not to be a virgin</w:t>
      </w:r>
      <w:r w:rsidR="000A3F6B">
        <w:rPr>
          <w:color w:val="000000" w:themeColor="text1"/>
        </w:rPr>
        <w:t xml:space="preserve">, </w:t>
      </w:r>
      <w:r>
        <w:rPr>
          <w:color w:val="000000" w:themeColor="text1"/>
        </w:rPr>
        <w:t xml:space="preserve">stating that only that if she is found to be a virgin that </w:t>
      </w:r>
      <w:r w:rsidRPr="00813B00">
        <w:rPr>
          <w:color w:val="000000" w:themeColor="text1"/>
        </w:rPr>
        <w:t>‘she will not lose her status’</w:t>
      </w:r>
      <w:r w:rsidR="00A1231B">
        <w:rPr>
          <w:rStyle w:val="FootnoteReference"/>
          <w:color w:val="000000" w:themeColor="text1"/>
        </w:rPr>
        <w:footnoteReference w:id="23"/>
      </w:r>
      <w:r>
        <w:rPr>
          <w:color w:val="000000" w:themeColor="text1"/>
        </w:rPr>
        <w:t xml:space="preserve"> and that the man whom she accused will be free.</w:t>
      </w:r>
    </w:p>
    <w:p w14:paraId="7ADA0721" w14:textId="19507C38" w:rsidR="004D143F" w:rsidRDefault="004D143F" w:rsidP="00995B3F">
      <w:pPr>
        <w:spacing w:line="480" w:lineRule="auto"/>
        <w:rPr>
          <w:color w:val="000000" w:themeColor="text1"/>
        </w:rPr>
      </w:pPr>
    </w:p>
    <w:p w14:paraId="11BB86CB" w14:textId="0E7CC8E7" w:rsidR="004D143F" w:rsidRPr="00A1231B" w:rsidRDefault="004D143F" w:rsidP="00995B3F">
      <w:pPr>
        <w:spacing w:line="480" w:lineRule="auto"/>
      </w:pPr>
      <w:r>
        <w:t xml:space="preserve">Another payment that a rapist was expected to pay was </w:t>
      </w:r>
      <w:proofErr w:type="spellStart"/>
      <w:r w:rsidRPr="00E1513A">
        <w:rPr>
          <w:i/>
          <w:iCs/>
        </w:rPr>
        <w:t>amobr</w:t>
      </w:r>
      <w:proofErr w:type="spellEnd"/>
      <w:r>
        <w:t>, which was paid to a woman’s lord when she ceased to be a virgin.</w:t>
      </w:r>
      <w:r w:rsidR="00A1231B">
        <w:rPr>
          <w:rStyle w:val="FootnoteReference"/>
        </w:rPr>
        <w:footnoteReference w:id="24"/>
      </w:r>
      <w:r>
        <w:t xml:space="preserve"> If, however, the rapist could not be </w:t>
      </w:r>
      <w:r>
        <w:lastRenderedPageBreak/>
        <w:t xml:space="preserve">identified or he did not pay, the payment was forfeit as one of the lords’ obligations was to protect the virgins in his jurisdiction, and he has failed to do this. </w:t>
      </w:r>
      <w:r w:rsidR="00606C52">
        <w:t xml:space="preserve">Given the insistence of a virgin bride in the gift of kin unions, it seems strange </w:t>
      </w:r>
      <w:r>
        <w:t>that the lord whose duty it was to protect the maidens under his jurisdiction only suffers financially if the rapist cannot pay.</w:t>
      </w:r>
      <w:r w:rsidR="00A1231B">
        <w:t xml:space="preserve"> </w:t>
      </w:r>
      <w:r>
        <w:t>Perhaps this is because after reaching puberty, the law states that it is no longer clear whether a female is a maiden or a woman, which significantly reduces the number of females whom a rapist</w:t>
      </w:r>
      <w:r>
        <w:rPr>
          <w:color w:val="000000" w:themeColor="text1"/>
        </w:rPr>
        <w:t xml:space="preserve"> would be required to pay </w:t>
      </w:r>
      <w:proofErr w:type="spellStart"/>
      <w:r>
        <w:rPr>
          <w:i/>
          <w:iCs/>
          <w:color w:val="000000" w:themeColor="text1"/>
        </w:rPr>
        <w:t>amobr</w:t>
      </w:r>
      <w:proofErr w:type="spellEnd"/>
      <w:r>
        <w:rPr>
          <w:i/>
          <w:iCs/>
          <w:color w:val="000000" w:themeColor="text1"/>
        </w:rPr>
        <w:t xml:space="preserve"> </w:t>
      </w:r>
      <w:r>
        <w:rPr>
          <w:color w:val="000000" w:themeColor="text1"/>
        </w:rPr>
        <w:t>for.</w:t>
      </w:r>
      <w:r w:rsidR="00A1231B">
        <w:t xml:space="preserve"> </w:t>
      </w:r>
      <w:r>
        <w:rPr>
          <w:color w:val="000000" w:themeColor="text1"/>
        </w:rPr>
        <w:t xml:space="preserve">Initially, </w:t>
      </w:r>
      <w:proofErr w:type="spellStart"/>
      <w:r>
        <w:rPr>
          <w:i/>
          <w:iCs/>
          <w:color w:val="000000" w:themeColor="text1"/>
        </w:rPr>
        <w:t>amobr</w:t>
      </w:r>
      <w:proofErr w:type="spellEnd"/>
      <w:r>
        <w:rPr>
          <w:color w:val="000000" w:themeColor="text1"/>
        </w:rPr>
        <w:t xml:space="preserve"> was paid to a woman’s lord when she ceased to be a virgin, but in time </w:t>
      </w:r>
      <w:r w:rsidR="00AC2C51">
        <w:rPr>
          <w:color w:val="000000" w:themeColor="text1"/>
        </w:rPr>
        <w:t xml:space="preserve">it </w:t>
      </w:r>
      <w:r>
        <w:rPr>
          <w:color w:val="000000" w:themeColor="text1"/>
        </w:rPr>
        <w:t xml:space="preserve">appears to have extended to include second marriages.  </w:t>
      </w:r>
      <w:r w:rsidR="00606C52">
        <w:rPr>
          <w:color w:val="000000" w:themeColor="text1"/>
        </w:rPr>
        <w:t>By</w:t>
      </w:r>
      <w:r>
        <w:rPr>
          <w:color w:val="000000" w:themeColor="text1"/>
        </w:rPr>
        <w:t xml:space="preserve"> the end of the Middle Ages, the </w:t>
      </w:r>
      <w:proofErr w:type="spellStart"/>
      <w:r>
        <w:rPr>
          <w:i/>
          <w:iCs/>
          <w:color w:val="000000" w:themeColor="text1"/>
        </w:rPr>
        <w:t>amobr</w:t>
      </w:r>
      <w:proofErr w:type="spellEnd"/>
      <w:r>
        <w:rPr>
          <w:i/>
          <w:iCs/>
          <w:color w:val="000000" w:themeColor="text1"/>
        </w:rPr>
        <w:t xml:space="preserve"> </w:t>
      </w:r>
      <w:r>
        <w:rPr>
          <w:color w:val="000000" w:themeColor="text1"/>
        </w:rPr>
        <w:t>payment was not solely associated with virginity.</w:t>
      </w:r>
      <w:r w:rsidR="00A1231B">
        <w:t xml:space="preserve"> </w:t>
      </w:r>
      <w:r>
        <w:rPr>
          <w:color w:val="000000" w:themeColor="text1"/>
        </w:rPr>
        <w:t xml:space="preserve">This could suggest a change in how virginity was perceived </w:t>
      </w:r>
      <w:r w:rsidR="000A1D57">
        <w:rPr>
          <w:color w:val="000000" w:themeColor="text1"/>
        </w:rPr>
        <w:t>during</w:t>
      </w:r>
      <w:r>
        <w:rPr>
          <w:color w:val="000000" w:themeColor="text1"/>
        </w:rPr>
        <w:t xml:space="preserve"> the Middle Ages, with subsequent marriages of widows being </w:t>
      </w:r>
      <w:proofErr w:type="gramStart"/>
      <w:r>
        <w:rPr>
          <w:color w:val="000000" w:themeColor="text1"/>
        </w:rPr>
        <w:t xml:space="preserve">similar </w:t>
      </w:r>
      <w:r w:rsidR="005E7E66">
        <w:rPr>
          <w:color w:val="000000" w:themeColor="text1"/>
        </w:rPr>
        <w:t>to</w:t>
      </w:r>
      <w:proofErr w:type="gramEnd"/>
      <w:r w:rsidR="005E7E66">
        <w:rPr>
          <w:color w:val="000000" w:themeColor="text1"/>
        </w:rPr>
        <w:t xml:space="preserve"> </w:t>
      </w:r>
      <w:r>
        <w:rPr>
          <w:color w:val="000000" w:themeColor="text1"/>
        </w:rPr>
        <w:t>those involving a virgin</w:t>
      </w:r>
      <w:r w:rsidR="00923447">
        <w:rPr>
          <w:color w:val="000000" w:themeColor="text1"/>
        </w:rPr>
        <w:t>. Still, it</w:t>
      </w:r>
      <w:r>
        <w:rPr>
          <w:color w:val="000000" w:themeColor="text1"/>
        </w:rPr>
        <w:t xml:space="preserve"> seems more likely that requiring payment every time a woman married was a way </w:t>
      </w:r>
      <w:r w:rsidR="00606C52">
        <w:rPr>
          <w:color w:val="000000" w:themeColor="text1"/>
        </w:rPr>
        <w:t>for</w:t>
      </w:r>
      <w:r>
        <w:rPr>
          <w:color w:val="000000" w:themeColor="text1"/>
        </w:rPr>
        <w:t xml:space="preserve"> a territorial lord </w:t>
      </w:r>
      <w:r w:rsidR="00606C52">
        <w:rPr>
          <w:color w:val="000000" w:themeColor="text1"/>
        </w:rPr>
        <w:t>to increase</w:t>
      </w:r>
      <w:r>
        <w:rPr>
          <w:color w:val="000000" w:themeColor="text1"/>
        </w:rPr>
        <w:t xml:space="preserve"> his income. In this instance</w:t>
      </w:r>
      <w:r w:rsidR="00923447">
        <w:rPr>
          <w:color w:val="000000" w:themeColor="text1"/>
        </w:rPr>
        <w:t>,</w:t>
      </w:r>
      <w:r>
        <w:rPr>
          <w:color w:val="000000" w:themeColor="text1"/>
        </w:rPr>
        <w:t xml:space="preserve"> there is no differential treatment of virginity</w:t>
      </w:r>
      <w:r w:rsidR="002A197F">
        <w:rPr>
          <w:color w:val="000000" w:themeColor="text1"/>
        </w:rPr>
        <w:t>; instead</w:t>
      </w:r>
      <w:r>
        <w:rPr>
          <w:color w:val="000000" w:themeColor="text1"/>
        </w:rPr>
        <w:t xml:space="preserve">, </w:t>
      </w:r>
      <w:r w:rsidR="00A1231B">
        <w:rPr>
          <w:color w:val="000000" w:themeColor="text1"/>
        </w:rPr>
        <w:t xml:space="preserve">who paid the </w:t>
      </w:r>
      <w:proofErr w:type="spellStart"/>
      <w:r w:rsidR="00A1231B" w:rsidRPr="009963CE">
        <w:rPr>
          <w:i/>
          <w:iCs/>
          <w:color w:val="000000" w:themeColor="text1"/>
        </w:rPr>
        <w:t>amobr</w:t>
      </w:r>
      <w:proofErr w:type="spellEnd"/>
      <w:r w:rsidR="00A1231B">
        <w:rPr>
          <w:color w:val="000000" w:themeColor="text1"/>
        </w:rPr>
        <w:t xml:space="preserve"> </w:t>
      </w:r>
      <w:r>
        <w:rPr>
          <w:color w:val="000000" w:themeColor="text1"/>
        </w:rPr>
        <w:t>differed depending on the union</w:t>
      </w:r>
      <w:r w:rsidR="00923447">
        <w:rPr>
          <w:color w:val="000000" w:themeColor="text1"/>
        </w:rPr>
        <w:t>,</w:t>
      </w:r>
      <w:r>
        <w:rPr>
          <w:color w:val="000000" w:themeColor="text1"/>
        </w:rPr>
        <w:t xml:space="preserve"> </w:t>
      </w:r>
      <w:r w:rsidR="00606C52">
        <w:rPr>
          <w:color w:val="000000" w:themeColor="text1"/>
        </w:rPr>
        <w:t>which</w:t>
      </w:r>
      <w:r>
        <w:rPr>
          <w:color w:val="000000" w:themeColor="text1"/>
        </w:rPr>
        <w:t xml:space="preserve"> </w:t>
      </w:r>
      <w:r w:rsidR="00C750DE">
        <w:rPr>
          <w:color w:val="000000" w:themeColor="text1"/>
        </w:rPr>
        <w:t>shows</w:t>
      </w:r>
      <w:r>
        <w:rPr>
          <w:color w:val="000000" w:themeColor="text1"/>
        </w:rPr>
        <w:t xml:space="preserve"> how virginity was perceived in Medieval Wales. If the marriage was by gift of kin, then the father of the bride paid</w:t>
      </w:r>
      <w:r w:rsidR="00923447">
        <w:rPr>
          <w:color w:val="000000" w:themeColor="text1"/>
        </w:rPr>
        <w:t>,</w:t>
      </w:r>
      <w:r>
        <w:rPr>
          <w:color w:val="000000" w:themeColor="text1"/>
        </w:rPr>
        <w:t xml:space="preserve"> and if a woman was raped</w:t>
      </w:r>
      <w:r w:rsidR="00923447">
        <w:rPr>
          <w:color w:val="000000" w:themeColor="text1"/>
        </w:rPr>
        <w:t>,</w:t>
      </w:r>
      <w:r>
        <w:rPr>
          <w:color w:val="000000" w:themeColor="text1"/>
        </w:rPr>
        <w:t xml:space="preserve"> it was the rapist who paid</w:t>
      </w:r>
      <w:r w:rsidR="00923447">
        <w:rPr>
          <w:color w:val="000000" w:themeColor="text1"/>
        </w:rPr>
        <w:t>,</w:t>
      </w:r>
      <w:r>
        <w:rPr>
          <w:color w:val="000000" w:themeColor="text1"/>
        </w:rPr>
        <w:t xml:space="preserve"> suggesting that it was the person who ultimately took control of arranging that a virgin was deflowered who paid. In both instances, the woman has no say in what happens to her, even if she objects</w:t>
      </w:r>
      <w:r w:rsidR="00424C77">
        <w:rPr>
          <w:color w:val="000000" w:themeColor="text1"/>
        </w:rPr>
        <w:t>. In</w:t>
      </w:r>
      <w:r>
        <w:rPr>
          <w:color w:val="000000" w:themeColor="text1"/>
        </w:rPr>
        <w:t xml:space="preserve"> rape and gift of kin unions, virginity is not something that the girl has control over</w:t>
      </w:r>
      <w:r w:rsidR="00424C77">
        <w:rPr>
          <w:color w:val="000000" w:themeColor="text1"/>
        </w:rPr>
        <w:t>; instead</w:t>
      </w:r>
      <w:r w:rsidR="00606C52">
        <w:rPr>
          <w:color w:val="000000" w:themeColor="text1"/>
        </w:rPr>
        <w:t>,</w:t>
      </w:r>
      <w:r>
        <w:rPr>
          <w:color w:val="000000" w:themeColor="text1"/>
        </w:rPr>
        <w:t xml:space="preserve"> </w:t>
      </w:r>
      <w:r w:rsidR="00136D26">
        <w:rPr>
          <w:color w:val="000000" w:themeColor="text1"/>
        </w:rPr>
        <w:t xml:space="preserve">the male members of society </w:t>
      </w:r>
      <w:r>
        <w:rPr>
          <w:color w:val="000000" w:themeColor="text1"/>
        </w:rPr>
        <w:t xml:space="preserve">control </w:t>
      </w:r>
      <w:r w:rsidR="00BA15DC">
        <w:rPr>
          <w:color w:val="000000" w:themeColor="text1"/>
        </w:rPr>
        <w:t>the woman’s sexuality.</w:t>
      </w:r>
    </w:p>
    <w:p w14:paraId="622ED6E3" w14:textId="77777777" w:rsidR="004D143F" w:rsidRDefault="004D143F" w:rsidP="00995B3F">
      <w:pPr>
        <w:spacing w:line="480" w:lineRule="auto"/>
        <w:rPr>
          <w:color w:val="000000" w:themeColor="text1"/>
        </w:rPr>
      </w:pPr>
    </w:p>
    <w:p w14:paraId="0609E120" w14:textId="40E9C5AD" w:rsidR="004D143F" w:rsidRPr="009A6BFB" w:rsidRDefault="004D143F" w:rsidP="00995B3F">
      <w:pPr>
        <w:spacing w:line="480" w:lineRule="auto"/>
        <w:rPr>
          <w:color w:val="000000" w:themeColor="text1"/>
        </w:rPr>
      </w:pPr>
      <w:r>
        <w:t xml:space="preserve">Of all the different statuses that a woman could hold in the Middle Ages, whether wife, mother, widow, prostitute or virgin, the latter appears to be the most confined and </w:t>
      </w:r>
      <w:r>
        <w:lastRenderedPageBreak/>
        <w:t>controlled and lacking in independence.</w:t>
      </w:r>
      <w:r w:rsidR="002E2424">
        <w:rPr>
          <w:rStyle w:val="FootnoteReference"/>
        </w:rPr>
        <w:footnoteReference w:id="25"/>
      </w:r>
      <w:r w:rsidR="009A6BFB">
        <w:t xml:space="preserve"> </w:t>
      </w:r>
      <w:r>
        <w:t xml:space="preserve">An example of this is the treatment of abducted </w:t>
      </w:r>
      <w:r w:rsidR="0021281B">
        <w:t>women</w:t>
      </w:r>
      <w:r>
        <w:t xml:space="preserve">. </w:t>
      </w:r>
    </w:p>
    <w:p w14:paraId="440E331C" w14:textId="77777777" w:rsidR="004D143F" w:rsidRDefault="004D143F" w:rsidP="00995B3F">
      <w:pPr>
        <w:spacing w:line="480" w:lineRule="auto"/>
      </w:pPr>
    </w:p>
    <w:p w14:paraId="6FCB92A2" w14:textId="612B6B76" w:rsidR="004D143F" w:rsidRDefault="004D143F" w:rsidP="00995B3F">
      <w:pPr>
        <w:spacing w:line="480" w:lineRule="auto"/>
        <w:ind w:left="720"/>
      </w:pPr>
      <w:r>
        <w:t xml:space="preserve">If it happens that a man abducts a virgin, her lord and her kindred can remove her from him, though he </w:t>
      </w:r>
      <w:proofErr w:type="gramStart"/>
      <w:r>
        <w:t>object</w:t>
      </w:r>
      <w:proofErr w:type="gramEnd"/>
      <w:r>
        <w:t>. And if she has been with a man previously, she cannot be removed from the man who afterwards abducted her, unless she herself wishes it.</w:t>
      </w:r>
      <w:r w:rsidR="005F6D96">
        <w:rPr>
          <w:rStyle w:val="FootnoteReference"/>
        </w:rPr>
        <w:footnoteReference w:id="26"/>
      </w:r>
    </w:p>
    <w:p w14:paraId="6FC54C68" w14:textId="77777777" w:rsidR="004D143F" w:rsidRDefault="004D143F" w:rsidP="00995B3F">
      <w:pPr>
        <w:spacing w:line="480" w:lineRule="auto"/>
      </w:pPr>
    </w:p>
    <w:p w14:paraId="7F111FD9" w14:textId="4EB1D36D" w:rsidR="004D143F" w:rsidRDefault="004D143F" w:rsidP="00995B3F">
      <w:pPr>
        <w:spacing w:line="480" w:lineRule="auto"/>
        <w:rPr>
          <w:color w:val="000000" w:themeColor="text1"/>
        </w:rPr>
      </w:pPr>
      <w:r>
        <w:t xml:space="preserve">The word abduct in the </w:t>
      </w:r>
      <w:proofErr w:type="spellStart"/>
      <w:r w:rsidRPr="000164E6">
        <w:rPr>
          <w:i/>
          <w:iCs/>
        </w:rPr>
        <w:t>Ior</w:t>
      </w:r>
      <w:r w:rsidR="005F6D96">
        <w:rPr>
          <w:i/>
          <w:iCs/>
        </w:rPr>
        <w:t>werth</w:t>
      </w:r>
      <w:proofErr w:type="spellEnd"/>
      <w:r>
        <w:t xml:space="preserve"> text implies that the woman </w:t>
      </w:r>
      <w:r w:rsidR="00BA15DC">
        <w:t xml:space="preserve">again </w:t>
      </w:r>
      <w:r>
        <w:t xml:space="preserve">had no say in what happened to her. In contrast, Latin Redaction A and </w:t>
      </w:r>
      <w:r w:rsidR="009963CE">
        <w:t>the</w:t>
      </w:r>
      <w:r>
        <w:t xml:space="preserve"> ‘</w:t>
      </w:r>
      <w:proofErr w:type="spellStart"/>
      <w:r>
        <w:t>Cyfnerth</w:t>
      </w:r>
      <w:proofErr w:type="spellEnd"/>
      <w:r>
        <w:t xml:space="preserve">’ Text are translated as ‘elope’ instead, which makes more sense why a woman might not want to be reclaimed by her family. Abduction suggests violence and compulsion, whereas elopement implies consent from the woman. Although it is specified that the family can remove a daughter or niece </w:t>
      </w:r>
      <w:r w:rsidR="009A6BFB">
        <w:t>who</w:t>
      </w:r>
      <w:r>
        <w:t xml:space="preserve"> was a virgin upon elopement/</w:t>
      </w:r>
      <w:r w:rsidR="0019216C">
        <w:t>abduction,</w:t>
      </w:r>
      <w:r w:rsidR="009C0512">
        <w:t xml:space="preserve"> a</w:t>
      </w:r>
      <w:r>
        <w:t>n</w:t>
      </w:r>
      <w:r w:rsidR="009C0512">
        <w:t>d</w:t>
      </w:r>
      <w:r>
        <w:t xml:space="preserve"> if they did so, then the women would not be able to have a gift of kin marriage and only had to run away again to be beyond her famil</w:t>
      </w:r>
      <w:r w:rsidR="009A6BFB">
        <w:t>ies</w:t>
      </w:r>
      <w:r>
        <w:t xml:space="preserve"> control.</w:t>
      </w:r>
      <w:r>
        <w:rPr>
          <w:rStyle w:val="FootnoteReference"/>
        </w:rPr>
        <w:footnoteReference w:id="27"/>
      </w:r>
      <w:r>
        <w:t xml:space="preserve"> This was perhaps one way for a virgin to have control over whom she married</w:t>
      </w:r>
      <w:r w:rsidR="0019216C">
        <w:t>,</w:t>
      </w:r>
      <w:r>
        <w:t xml:space="preserve"> but by eloping</w:t>
      </w:r>
      <w:r w:rsidR="0019216C">
        <w:t>,</w:t>
      </w:r>
      <w:r>
        <w:t xml:space="preserve"> the union lacked some of the rights and insurances that accompanied </w:t>
      </w:r>
      <w:r w:rsidR="00136D26">
        <w:t xml:space="preserve">the </w:t>
      </w:r>
      <w:r>
        <w:t xml:space="preserve">gift of kin unions. One example of this can be seen in the </w:t>
      </w:r>
      <w:proofErr w:type="spellStart"/>
      <w:r>
        <w:t>Cyfnerth</w:t>
      </w:r>
      <w:proofErr w:type="spellEnd"/>
      <w:r>
        <w:t xml:space="preserve"> text</w:t>
      </w:r>
      <w:r w:rsidR="00136D26">
        <w:t>,</w:t>
      </w:r>
      <w:r>
        <w:t xml:space="preserve"> where the compensation for a woman who was a virgin when she eloped with a man who had since ‘released’ </w:t>
      </w:r>
      <w:r w:rsidR="00BA15DC">
        <w:t>her</w:t>
      </w:r>
      <w:r>
        <w:t xml:space="preserve"> is </w:t>
      </w:r>
      <w:proofErr w:type="gramStart"/>
      <w:r w:rsidR="008019C5">
        <w:t>similar to</w:t>
      </w:r>
      <w:proofErr w:type="gramEnd"/>
      <w:r w:rsidR="008019C5">
        <w:t xml:space="preserve"> that</w:t>
      </w:r>
      <w:r>
        <w:t xml:space="preserve"> for a false virgin</w:t>
      </w:r>
      <w:r w:rsidR="00136D26">
        <w:t>. This</w:t>
      </w:r>
      <w:r w:rsidR="00A06282">
        <w:t xml:space="preserve"> time</w:t>
      </w:r>
      <w:r w:rsidR="00BF0E25">
        <w:t>,</w:t>
      </w:r>
      <w:r w:rsidR="00A06282">
        <w:t xml:space="preserve"> it was a three-year-old bull with tallow on its tail that the woman had to hold, failure to do so resulted in her being </w:t>
      </w:r>
      <w:r w:rsidR="00A06282">
        <w:lastRenderedPageBreak/>
        <w:t>allowed to keep whatever tallow stuck to her hands.</w:t>
      </w:r>
      <w:r>
        <w:rPr>
          <w:rStyle w:val="FootnoteReference"/>
        </w:rPr>
        <w:footnoteReference w:id="28"/>
      </w:r>
      <w:r>
        <w:t xml:space="preserve"> In both instances</w:t>
      </w:r>
      <w:r w:rsidR="00136D26">
        <w:t>,</w:t>
      </w:r>
      <w:r>
        <w:t xml:space="preserve"> the woman is punished for both the loss of </w:t>
      </w:r>
      <w:r w:rsidRPr="005367FB">
        <w:rPr>
          <w:color w:val="000000" w:themeColor="text1"/>
        </w:rPr>
        <w:t>the a</w:t>
      </w:r>
      <w:r w:rsidR="005367FB" w:rsidRPr="005367FB">
        <w:rPr>
          <w:color w:val="000000" w:themeColor="text1"/>
        </w:rPr>
        <w:t>ss</w:t>
      </w:r>
      <w:r w:rsidRPr="005367FB">
        <w:rPr>
          <w:color w:val="000000" w:themeColor="text1"/>
        </w:rPr>
        <w:t xml:space="preserve">et </w:t>
      </w:r>
      <w:r>
        <w:rPr>
          <w:color w:val="000000" w:themeColor="text1"/>
        </w:rPr>
        <w:t>of her virginity as well as for going against her family; for making her own life choices.</w:t>
      </w:r>
    </w:p>
    <w:p w14:paraId="4671650C" w14:textId="073E5D93" w:rsidR="00325736" w:rsidRDefault="00325736" w:rsidP="00995B3F">
      <w:pPr>
        <w:spacing w:line="480" w:lineRule="auto"/>
        <w:rPr>
          <w:color w:val="000000" w:themeColor="text1"/>
        </w:rPr>
      </w:pPr>
    </w:p>
    <w:p w14:paraId="7E987D35" w14:textId="66C63899" w:rsidR="00325736" w:rsidRPr="00496F72" w:rsidRDefault="00325736" w:rsidP="00995B3F">
      <w:pPr>
        <w:spacing w:line="480" w:lineRule="auto"/>
        <w:rPr>
          <w:color w:val="000000" w:themeColor="text1"/>
        </w:rPr>
      </w:pPr>
      <w:r>
        <w:rPr>
          <w:color w:val="000000" w:themeColor="text1"/>
        </w:rPr>
        <w:t>What cannot be known with the punishments for women who went against society's expectations of how t</w:t>
      </w:r>
      <w:r w:rsidR="00BA15DC">
        <w:rPr>
          <w:color w:val="000000" w:themeColor="text1"/>
        </w:rPr>
        <w:t>o</w:t>
      </w:r>
      <w:r>
        <w:rPr>
          <w:color w:val="000000" w:themeColor="text1"/>
        </w:rPr>
        <w:t xml:space="preserve"> behave sexually is how many were punished this way or</w:t>
      </w:r>
      <w:r w:rsidR="00BF0E25">
        <w:rPr>
          <w:color w:val="000000" w:themeColor="text1"/>
        </w:rPr>
        <w:t>,</w:t>
      </w:r>
      <w:r>
        <w:rPr>
          <w:color w:val="000000" w:themeColor="text1"/>
        </w:rPr>
        <w:t xml:space="preserve"> indeed</w:t>
      </w:r>
      <w:r w:rsidR="00136D26">
        <w:rPr>
          <w:color w:val="000000" w:themeColor="text1"/>
        </w:rPr>
        <w:t>,</w:t>
      </w:r>
      <w:r>
        <w:rPr>
          <w:color w:val="000000" w:themeColor="text1"/>
        </w:rPr>
        <w:t xml:space="preserve"> if anyone was. </w:t>
      </w:r>
      <w:r w:rsidR="002C6B6D">
        <w:rPr>
          <w:color w:val="000000" w:themeColor="text1"/>
        </w:rPr>
        <w:t>Davies (qtd in Cartwright) says</w:t>
      </w:r>
      <w:r w:rsidR="00BF0E25">
        <w:rPr>
          <w:color w:val="000000" w:themeColor="text1"/>
        </w:rPr>
        <w:t>,</w:t>
      </w:r>
      <w:r w:rsidR="002C6B6D">
        <w:rPr>
          <w:color w:val="000000" w:themeColor="text1"/>
        </w:rPr>
        <w:t xml:space="preserve"> </w:t>
      </w:r>
      <w:r w:rsidRPr="002C6B6D">
        <w:rPr>
          <w:color w:val="000000" w:themeColor="text1"/>
        </w:rPr>
        <w:t>‘The law texts were written by and for law men’</w:t>
      </w:r>
      <w:r w:rsidR="00BE66BD">
        <w:rPr>
          <w:rStyle w:val="FootnoteReference"/>
          <w:color w:val="000000" w:themeColor="text1"/>
        </w:rPr>
        <w:footnoteReference w:id="29"/>
      </w:r>
      <w:r w:rsidR="00BE66BD">
        <w:rPr>
          <w:color w:val="FF0000"/>
        </w:rPr>
        <w:t xml:space="preserve"> </w:t>
      </w:r>
      <w:r>
        <w:rPr>
          <w:color w:val="000000" w:themeColor="text1"/>
        </w:rPr>
        <w:t>and do not always reflect how society worked</w:t>
      </w:r>
      <w:r w:rsidR="00BF0E25">
        <w:rPr>
          <w:color w:val="000000" w:themeColor="text1"/>
        </w:rPr>
        <w:t>; the</w:t>
      </w:r>
      <w:r>
        <w:rPr>
          <w:color w:val="000000" w:themeColor="text1"/>
        </w:rPr>
        <w:t xml:space="preserve"> law texts reflect the ideals of the society that produced them</w:t>
      </w:r>
      <w:r w:rsidR="00BF0E25">
        <w:rPr>
          <w:color w:val="000000" w:themeColor="text1"/>
        </w:rPr>
        <w:t>,</w:t>
      </w:r>
      <w:r>
        <w:rPr>
          <w:color w:val="000000" w:themeColor="text1"/>
        </w:rPr>
        <w:t xml:space="preserve"> but the extent to which they do is complex indeed the inclusion of so many </w:t>
      </w:r>
      <w:r w:rsidR="00BA15DC">
        <w:rPr>
          <w:color w:val="000000" w:themeColor="text1"/>
        </w:rPr>
        <w:t>unions outside</w:t>
      </w:r>
      <w:r>
        <w:rPr>
          <w:color w:val="000000" w:themeColor="text1"/>
        </w:rPr>
        <w:t xml:space="preserve"> of the desirable gift of kin union of a pre-pubescent girl </w:t>
      </w:r>
      <w:r w:rsidR="00A8285C">
        <w:rPr>
          <w:color w:val="000000" w:themeColor="text1"/>
        </w:rPr>
        <w:t xml:space="preserve">suggests that there was an acknowledgement that the society did not always adhere to the strictures set down in the codes. </w:t>
      </w:r>
      <w:r w:rsidR="00BF0E25">
        <w:rPr>
          <w:color w:val="000000" w:themeColor="text1"/>
        </w:rPr>
        <w:t>Power</w:t>
      </w:r>
      <w:r w:rsidR="00A8285C">
        <w:rPr>
          <w:color w:val="000000" w:themeColor="text1"/>
        </w:rPr>
        <w:t xml:space="preserve"> observes</w:t>
      </w:r>
      <w:r w:rsidR="00BF0E25">
        <w:rPr>
          <w:color w:val="000000" w:themeColor="text1"/>
        </w:rPr>
        <w:t>,</w:t>
      </w:r>
      <w:r w:rsidR="00A8285C">
        <w:rPr>
          <w:color w:val="000000" w:themeColor="text1"/>
        </w:rPr>
        <w:t xml:space="preserve"> ‘The position of women is one thing in theory, another in legal position, yet another in everyday life’.</w:t>
      </w:r>
      <w:r w:rsidR="00A8285C">
        <w:rPr>
          <w:rStyle w:val="FootnoteReference"/>
          <w:color w:val="000000" w:themeColor="text1"/>
        </w:rPr>
        <w:footnoteReference w:id="30"/>
      </w:r>
      <w:r w:rsidR="00BA15DC">
        <w:rPr>
          <w:color w:val="000000" w:themeColor="text1"/>
        </w:rPr>
        <w:t xml:space="preserve"> Through elopement</w:t>
      </w:r>
      <w:r w:rsidR="004A1EDB">
        <w:rPr>
          <w:color w:val="000000" w:themeColor="text1"/>
        </w:rPr>
        <w:t>, a woman</w:t>
      </w:r>
      <w:r w:rsidR="00BF0E25">
        <w:rPr>
          <w:color w:val="000000" w:themeColor="text1"/>
        </w:rPr>
        <w:t>,</w:t>
      </w:r>
      <w:r w:rsidR="004A1EDB">
        <w:rPr>
          <w:color w:val="000000" w:themeColor="text1"/>
        </w:rPr>
        <w:t xml:space="preserve"> can</w:t>
      </w:r>
      <w:r w:rsidR="00BA15DC">
        <w:rPr>
          <w:color w:val="000000" w:themeColor="text1"/>
        </w:rPr>
        <w:t xml:space="preserve"> get around </w:t>
      </w:r>
      <w:r w:rsidR="004A1EDB">
        <w:rPr>
          <w:color w:val="000000" w:themeColor="text1"/>
        </w:rPr>
        <w:t xml:space="preserve">the </w:t>
      </w:r>
      <w:r w:rsidR="00BA15DC">
        <w:rPr>
          <w:color w:val="000000" w:themeColor="text1"/>
        </w:rPr>
        <w:t>law and take control of their virginity/sexuality against society's confines.</w:t>
      </w:r>
    </w:p>
    <w:p w14:paraId="12AB85B5" w14:textId="5D46B849" w:rsidR="004D143F" w:rsidRDefault="004D143F" w:rsidP="00995B3F">
      <w:pPr>
        <w:spacing w:line="480" w:lineRule="auto"/>
        <w:rPr>
          <w:color w:val="000000" w:themeColor="text1"/>
        </w:rPr>
      </w:pPr>
    </w:p>
    <w:p w14:paraId="7778A0E6" w14:textId="79BC537E" w:rsidR="006D2566" w:rsidRPr="007675BF" w:rsidRDefault="006D2566" w:rsidP="006D2566">
      <w:pPr>
        <w:spacing w:line="480" w:lineRule="auto"/>
        <w:rPr>
          <w:i/>
          <w:iCs/>
        </w:rPr>
      </w:pPr>
      <w:r>
        <w:t xml:space="preserve">In conclusion there appears to be different perceptions of virginity depending on whether it is being viewed from a religious or secular perspective. For the Catholic Church virginity was something to be held onto and denoted a woman as holy whereas for secular society virginity was ideal only in pre-pubescent girls before marriage, through gift of kin. A virgin bride ensured that children belonged to the husband, the importance of this can be seen in the requirement of so many witnesses both from the family and </w:t>
      </w:r>
      <w:r>
        <w:t>wedding guests</w:t>
      </w:r>
      <w:r>
        <w:t xml:space="preserve">. The need </w:t>
      </w:r>
      <w:r>
        <w:lastRenderedPageBreak/>
        <w:t xml:space="preserve">for so many witnesses suggest a tendency to disbelieve a woman’s word when it comes to sexual (in)experience as well as indicating that a girl’s virginity was the concern of the whole community and not a private thing between bride and groom. Part of the reason for so many witnesses and the </w:t>
      </w:r>
      <w:r w:rsidR="00D02E39">
        <w:t>community's</w:t>
      </w:r>
      <w:r>
        <w:t xml:space="preserve"> concern with a woman’s virginity is in part due to the virginity </w:t>
      </w:r>
      <w:r w:rsidR="00D02E39">
        <w:t>having</w:t>
      </w:r>
      <w:r>
        <w:t xml:space="preserve"> financial value</w:t>
      </w:r>
      <w:r w:rsidR="00D02E39">
        <w:t>,</w:t>
      </w:r>
      <w:r>
        <w:t xml:space="preserve"> especially in a society where women could not hold land. The financial value of virginity can be seen in the payments linked to virginity such as </w:t>
      </w:r>
      <w:proofErr w:type="spellStart"/>
      <w:r>
        <w:rPr>
          <w:i/>
          <w:iCs/>
        </w:rPr>
        <w:t>amobr</w:t>
      </w:r>
      <w:proofErr w:type="spellEnd"/>
      <w:r>
        <w:t xml:space="preserve"> and </w:t>
      </w:r>
      <w:proofErr w:type="spellStart"/>
      <w:r>
        <w:rPr>
          <w:i/>
          <w:iCs/>
        </w:rPr>
        <w:t>cowyll</w:t>
      </w:r>
      <w:proofErr w:type="spellEnd"/>
      <w:r>
        <w:rPr>
          <w:i/>
          <w:iCs/>
        </w:rPr>
        <w:t xml:space="preserve">. </w:t>
      </w:r>
      <w:r>
        <w:t xml:space="preserve">It is interesting that </w:t>
      </w:r>
      <w:r w:rsidR="00D02E39">
        <w:t>over time</w:t>
      </w:r>
      <w:r>
        <w:t xml:space="preserve"> </w:t>
      </w:r>
      <w:proofErr w:type="spellStart"/>
      <w:r>
        <w:rPr>
          <w:i/>
          <w:iCs/>
        </w:rPr>
        <w:t>amobr</w:t>
      </w:r>
      <w:proofErr w:type="spellEnd"/>
      <w:r>
        <w:t xml:space="preserve"> was claimed for all marriages not just for virginity, this suggests that the monetising beyond just virginity rather than holding virginity up as a single taxable asset. </w:t>
      </w:r>
      <w:proofErr w:type="spellStart"/>
      <w:r>
        <w:rPr>
          <w:i/>
          <w:iCs/>
        </w:rPr>
        <w:t>Amobr</w:t>
      </w:r>
      <w:proofErr w:type="spellEnd"/>
      <w:r>
        <w:t xml:space="preserve"> also shows that it was the person in control of the deflowering who paid whether it was a father who arranged the marriage, a rapist, or the woman herself if she eloped. The fact that the acceptance of unions outside of the gift of kin are included in the law codes shows that the ideal was not always possible for example of mature maidens through elopement which allowed a woman to take control of her sexuality and </w:t>
      </w:r>
      <w:r w:rsidR="00D02E39">
        <w:t>whom</w:t>
      </w:r>
      <w:r>
        <w:t xml:space="preserve"> she married, but by going against what was desired she suffered consequences such as having to pay her own </w:t>
      </w:r>
      <w:proofErr w:type="spellStart"/>
      <w:r>
        <w:rPr>
          <w:i/>
          <w:iCs/>
        </w:rPr>
        <w:t>amobr</w:t>
      </w:r>
      <w:proofErr w:type="spellEnd"/>
      <w:r>
        <w:rPr>
          <w:i/>
          <w:iCs/>
        </w:rPr>
        <w:t xml:space="preserve"> </w:t>
      </w:r>
      <w:r w:rsidRPr="007675BF">
        <w:t>and lacking the insurance</w:t>
      </w:r>
      <w:r>
        <w:t xml:space="preserve"> that a woman in a gift of kin union had, should a marriage fail. If a woman who eloped is left by her husband the punishment is like that of a false virgin as both </w:t>
      </w:r>
      <w:r w:rsidR="00D02E39">
        <w:t>must</w:t>
      </w:r>
      <w:r>
        <w:t xml:space="preserve"> hold the tail of a bull and in the case of the false virgin are left with nothing, if they cannot hold it whereas a woman after elopement is allowed to keep any tallow left on her hands. In both cases the woman is kept in line through social pressure to keep them </w:t>
      </w:r>
      <w:r w:rsidR="00D02E39">
        <w:t>in line</w:t>
      </w:r>
      <w:r>
        <w:t xml:space="preserve">. </w:t>
      </w:r>
    </w:p>
    <w:p w14:paraId="22CD3214" w14:textId="3506DC98" w:rsidR="002B79B4" w:rsidRDefault="002B79B4" w:rsidP="006D2566">
      <w:pPr>
        <w:spacing w:line="480" w:lineRule="auto"/>
        <w:rPr>
          <w:color w:val="000000" w:themeColor="text1"/>
        </w:rPr>
      </w:pPr>
    </w:p>
    <w:p w14:paraId="012EE32C" w14:textId="77777777" w:rsidR="00E54AD7" w:rsidRDefault="00E54AD7" w:rsidP="006D2566">
      <w:pPr>
        <w:spacing w:line="480" w:lineRule="auto"/>
        <w:rPr>
          <w:rFonts w:cstheme="minorHAnsi"/>
          <w:b/>
          <w:bCs/>
          <w:sz w:val="28"/>
          <w:szCs w:val="28"/>
        </w:rPr>
      </w:pPr>
      <w:r>
        <w:rPr>
          <w:rFonts w:cstheme="minorHAnsi"/>
          <w:b/>
          <w:bCs/>
          <w:sz w:val="28"/>
          <w:szCs w:val="28"/>
        </w:rPr>
        <w:br w:type="page"/>
      </w:r>
    </w:p>
    <w:p w14:paraId="14655046" w14:textId="6C1BCA5B" w:rsidR="002B79B4" w:rsidRDefault="002B79B4" w:rsidP="002B79B4">
      <w:pPr>
        <w:rPr>
          <w:rFonts w:cstheme="minorHAnsi"/>
          <w:b/>
          <w:bCs/>
        </w:rPr>
      </w:pPr>
      <w:r>
        <w:rPr>
          <w:rFonts w:cstheme="minorHAnsi"/>
          <w:b/>
          <w:bCs/>
          <w:sz w:val="28"/>
          <w:szCs w:val="28"/>
        </w:rPr>
        <w:lastRenderedPageBreak/>
        <w:t>Bibliography</w:t>
      </w:r>
    </w:p>
    <w:p w14:paraId="0DC55AE9" w14:textId="77777777" w:rsidR="002B79B4" w:rsidRDefault="002B79B4" w:rsidP="002B79B4">
      <w:pPr>
        <w:rPr>
          <w:rFonts w:cstheme="minorHAnsi"/>
          <w:b/>
          <w:bCs/>
        </w:rPr>
      </w:pPr>
    </w:p>
    <w:p w14:paraId="673D4913" w14:textId="77777777" w:rsidR="002B79B4" w:rsidRDefault="002B79B4" w:rsidP="002B79B4">
      <w:pPr>
        <w:autoSpaceDE w:val="0"/>
        <w:autoSpaceDN w:val="0"/>
        <w:adjustRightInd w:val="0"/>
        <w:spacing w:after="240"/>
        <w:ind w:left="720" w:hanging="720"/>
        <w:rPr>
          <w:rFonts w:ascii="Helvetica" w:hAnsi="Helvetica" w:cs="Helvetica"/>
        </w:rPr>
      </w:pPr>
      <w:proofErr w:type="spellStart"/>
      <w:r>
        <w:rPr>
          <w:rFonts w:ascii="Helvetica" w:hAnsi="Helvetica" w:cs="Helvetica"/>
        </w:rPr>
        <w:t>Blamires</w:t>
      </w:r>
      <w:proofErr w:type="spellEnd"/>
      <w:r>
        <w:rPr>
          <w:rFonts w:ascii="Helvetica" w:hAnsi="Helvetica" w:cs="Helvetica"/>
        </w:rPr>
        <w:t xml:space="preserve">, Alcuin, </w:t>
      </w:r>
      <w:r>
        <w:rPr>
          <w:rFonts w:ascii="Helvetica" w:hAnsi="Helvetica" w:cs="Helvetica"/>
          <w:i/>
          <w:iCs/>
        </w:rPr>
        <w:t>The Case for Women in Medieval Culture</w:t>
      </w:r>
      <w:r>
        <w:rPr>
          <w:rFonts w:ascii="Helvetica" w:hAnsi="Helvetica" w:cs="Helvetica"/>
        </w:rPr>
        <w:t xml:space="preserve"> (</w:t>
      </w:r>
      <w:proofErr w:type="gramStart"/>
      <w:r>
        <w:rPr>
          <w:rFonts w:ascii="Helvetica" w:hAnsi="Helvetica" w:cs="Helvetica"/>
        </w:rPr>
        <w:t>Oxford :</w:t>
      </w:r>
      <w:proofErr w:type="gramEnd"/>
      <w:r>
        <w:rPr>
          <w:rFonts w:ascii="Helvetica" w:hAnsi="Helvetica" w:cs="Helvetica"/>
        </w:rPr>
        <w:t xml:space="preserve"> New York: Clarendon Press ; Oxford University Press, 1997)</w:t>
      </w:r>
    </w:p>
    <w:p w14:paraId="35295317" w14:textId="77777777" w:rsidR="002B79B4" w:rsidRDefault="002B79B4" w:rsidP="002B79B4">
      <w:pPr>
        <w:autoSpaceDE w:val="0"/>
        <w:autoSpaceDN w:val="0"/>
        <w:adjustRightInd w:val="0"/>
        <w:spacing w:after="240"/>
        <w:ind w:left="720" w:hanging="720"/>
        <w:rPr>
          <w:rFonts w:ascii="Helvetica" w:hAnsi="Helvetica" w:cs="Helvetica"/>
        </w:rPr>
      </w:pPr>
      <w:r>
        <w:rPr>
          <w:rFonts w:ascii="Helvetica" w:hAnsi="Helvetica" w:cs="Helvetica"/>
        </w:rPr>
        <w:t xml:space="preserve">Cartwright, Jane, ‘Virginity and Chastity Tests in Medieval Welsh Prose’, in </w:t>
      </w:r>
      <w:r>
        <w:rPr>
          <w:rFonts w:ascii="Helvetica" w:hAnsi="Helvetica" w:cs="Helvetica"/>
          <w:i/>
          <w:iCs/>
        </w:rPr>
        <w:t>Medieval Virginities</w:t>
      </w:r>
      <w:r>
        <w:rPr>
          <w:rFonts w:ascii="Helvetica" w:hAnsi="Helvetica" w:cs="Helvetica"/>
        </w:rPr>
        <w:t xml:space="preserve">, ed. by </w:t>
      </w:r>
      <w:proofErr w:type="spellStart"/>
      <w:r>
        <w:rPr>
          <w:rFonts w:ascii="Helvetica" w:hAnsi="Helvetica" w:cs="Helvetica"/>
        </w:rPr>
        <w:t>Anke</w:t>
      </w:r>
      <w:proofErr w:type="spellEnd"/>
      <w:r>
        <w:rPr>
          <w:rFonts w:ascii="Helvetica" w:hAnsi="Helvetica" w:cs="Helvetica"/>
        </w:rPr>
        <w:t xml:space="preserve"> </w:t>
      </w:r>
      <w:proofErr w:type="spellStart"/>
      <w:r>
        <w:rPr>
          <w:rFonts w:ascii="Helvetica" w:hAnsi="Helvetica" w:cs="Helvetica"/>
        </w:rPr>
        <w:t>Bernau</w:t>
      </w:r>
      <w:proofErr w:type="spellEnd"/>
      <w:r>
        <w:rPr>
          <w:rFonts w:ascii="Helvetica" w:hAnsi="Helvetica" w:cs="Helvetica"/>
        </w:rPr>
        <w:t>, Ruth Evans, and Sarah Salih, Religion and Culture in the Middle Ages (Cardiff: Univ. of Wales Press, 2003), pp. 56–79 &lt;https://moodle.uwtsd.ac.uk/pluginfile.php/172791/mod_resource/content/6/CYCS7005CAR56.pdf&gt; [accessed 1 May 2022]</w:t>
      </w:r>
    </w:p>
    <w:p w14:paraId="0D65767F" w14:textId="77777777" w:rsidR="002B79B4" w:rsidRDefault="002B79B4" w:rsidP="002B79B4">
      <w:pPr>
        <w:autoSpaceDE w:val="0"/>
        <w:autoSpaceDN w:val="0"/>
        <w:adjustRightInd w:val="0"/>
        <w:spacing w:after="240"/>
        <w:ind w:left="720" w:hanging="720"/>
        <w:rPr>
          <w:rFonts w:ascii="Helvetica" w:hAnsi="Helvetica" w:cs="Helvetica"/>
        </w:rPr>
      </w:pPr>
      <w:r>
        <w:rPr>
          <w:rFonts w:ascii="Helvetica" w:hAnsi="Helvetica" w:cs="Helvetica"/>
        </w:rPr>
        <w:t xml:space="preserve">Gilbert, Rosalie, </w:t>
      </w:r>
      <w:r>
        <w:rPr>
          <w:rFonts w:ascii="Helvetica" w:hAnsi="Helvetica" w:cs="Helvetica"/>
          <w:i/>
          <w:iCs/>
        </w:rPr>
        <w:t>The Very Secret Sex Lives of Medieval Women: An Inside Look at Women and Sex in Medieval Times</w:t>
      </w:r>
      <w:r>
        <w:rPr>
          <w:rFonts w:ascii="Helvetica" w:hAnsi="Helvetica" w:cs="Helvetica"/>
        </w:rPr>
        <w:t>, Kindle ebook (Mango Publishing Group, 2020) &lt;https://www.amazon.co.uk/gp/product/B096GWBNGJ/ref=ppx_yo_dt_b_d_asin_title_o04?ie=UTF8&amp;psc=1&gt; [accessed 10 May 2022]</w:t>
      </w:r>
    </w:p>
    <w:p w14:paraId="087F9126" w14:textId="77777777" w:rsidR="002B79B4" w:rsidRDefault="002B79B4" w:rsidP="002B79B4">
      <w:pPr>
        <w:autoSpaceDE w:val="0"/>
        <w:autoSpaceDN w:val="0"/>
        <w:adjustRightInd w:val="0"/>
        <w:spacing w:after="240"/>
        <w:ind w:left="720" w:hanging="720"/>
        <w:rPr>
          <w:rFonts w:ascii="Helvetica" w:hAnsi="Helvetica" w:cs="Helvetica"/>
        </w:rPr>
      </w:pPr>
      <w:r>
        <w:rPr>
          <w:rFonts w:ascii="Helvetica" w:hAnsi="Helvetica" w:cs="Helvetica"/>
        </w:rPr>
        <w:t xml:space="preserve">Green, Monica H, ed., </w:t>
      </w:r>
      <w:r>
        <w:rPr>
          <w:rFonts w:ascii="Helvetica" w:hAnsi="Helvetica" w:cs="Helvetica"/>
          <w:i/>
          <w:iCs/>
        </w:rPr>
        <w:t xml:space="preserve">The </w:t>
      </w:r>
      <w:proofErr w:type="spellStart"/>
      <w:r>
        <w:rPr>
          <w:rFonts w:ascii="Helvetica" w:hAnsi="Helvetica" w:cs="Helvetica"/>
          <w:i/>
          <w:iCs/>
        </w:rPr>
        <w:t>Trotula</w:t>
      </w:r>
      <w:proofErr w:type="spellEnd"/>
      <w:r>
        <w:rPr>
          <w:rFonts w:ascii="Helvetica" w:hAnsi="Helvetica" w:cs="Helvetica"/>
          <w:i/>
          <w:iCs/>
        </w:rPr>
        <w:t>: A Medieval Compendium of Women’s Medicine</w:t>
      </w:r>
      <w:r>
        <w:rPr>
          <w:rFonts w:ascii="Helvetica" w:hAnsi="Helvetica" w:cs="Helvetica"/>
        </w:rPr>
        <w:t>, trans. by Monica H Green (</w:t>
      </w:r>
      <w:proofErr w:type="spellStart"/>
      <w:r>
        <w:rPr>
          <w:rFonts w:ascii="Helvetica" w:hAnsi="Helvetica" w:cs="Helvetica"/>
        </w:rPr>
        <w:t>Philadelpia</w:t>
      </w:r>
      <w:proofErr w:type="spellEnd"/>
      <w:r>
        <w:rPr>
          <w:rFonts w:ascii="Helvetica" w:hAnsi="Helvetica" w:cs="Helvetica"/>
        </w:rPr>
        <w:t>: University of Pennsylvania Press, 2001)</w:t>
      </w:r>
    </w:p>
    <w:p w14:paraId="20F01C53" w14:textId="77777777" w:rsidR="002B79B4" w:rsidRDefault="002B79B4" w:rsidP="002B79B4">
      <w:pPr>
        <w:autoSpaceDE w:val="0"/>
        <w:autoSpaceDN w:val="0"/>
        <w:adjustRightInd w:val="0"/>
        <w:spacing w:after="240"/>
        <w:ind w:left="720" w:hanging="720"/>
        <w:rPr>
          <w:rFonts w:ascii="Helvetica" w:hAnsi="Helvetica" w:cs="Helvetica"/>
        </w:rPr>
      </w:pPr>
      <w:r>
        <w:rPr>
          <w:rFonts w:ascii="Helvetica" w:hAnsi="Helvetica" w:cs="Helvetica"/>
        </w:rPr>
        <w:t xml:space="preserve">Jenkins, </w:t>
      </w:r>
      <w:proofErr w:type="spellStart"/>
      <w:r>
        <w:rPr>
          <w:rFonts w:ascii="Helvetica" w:hAnsi="Helvetica" w:cs="Helvetica"/>
        </w:rPr>
        <w:t>Dafydd</w:t>
      </w:r>
      <w:proofErr w:type="spellEnd"/>
      <w:r>
        <w:rPr>
          <w:rFonts w:ascii="Helvetica" w:hAnsi="Helvetica" w:cs="Helvetica"/>
        </w:rPr>
        <w:t xml:space="preserve">, ‘The Laws of Women’, in </w:t>
      </w:r>
      <w:r>
        <w:rPr>
          <w:rFonts w:ascii="Helvetica" w:hAnsi="Helvetica" w:cs="Helvetica"/>
          <w:i/>
          <w:iCs/>
        </w:rPr>
        <w:t xml:space="preserve">The Law of Hywel </w:t>
      </w:r>
      <w:proofErr w:type="spellStart"/>
      <w:r>
        <w:rPr>
          <w:rFonts w:ascii="Helvetica" w:hAnsi="Helvetica" w:cs="Helvetica"/>
          <w:i/>
          <w:iCs/>
        </w:rPr>
        <w:t>Dda</w:t>
      </w:r>
      <w:proofErr w:type="spellEnd"/>
      <w:r>
        <w:rPr>
          <w:rFonts w:ascii="Helvetica" w:hAnsi="Helvetica" w:cs="Helvetica"/>
          <w:i/>
          <w:iCs/>
        </w:rPr>
        <w:t>: Law Texts from Medieval Wales</w:t>
      </w:r>
      <w:r>
        <w:rPr>
          <w:rFonts w:ascii="Helvetica" w:hAnsi="Helvetica" w:cs="Helvetica"/>
        </w:rPr>
        <w:t xml:space="preserve">, ed. by </w:t>
      </w:r>
      <w:proofErr w:type="spellStart"/>
      <w:r>
        <w:rPr>
          <w:rFonts w:ascii="Helvetica" w:hAnsi="Helvetica" w:cs="Helvetica"/>
        </w:rPr>
        <w:t>Dafydd</w:t>
      </w:r>
      <w:proofErr w:type="spellEnd"/>
      <w:r>
        <w:rPr>
          <w:rFonts w:ascii="Helvetica" w:hAnsi="Helvetica" w:cs="Helvetica"/>
        </w:rPr>
        <w:t xml:space="preserve"> Jenkins (Llandysul: Gomer, 1999), pp. 45–61 &lt;https://moodle.uwtsd.ac.uk/pluginfile.php/172803/mod_resource/content/1/CYCS7005JEN45.pdf&gt; [accessed 1 May 2022]</w:t>
      </w:r>
    </w:p>
    <w:p w14:paraId="367B5480" w14:textId="77777777" w:rsidR="002B79B4" w:rsidRDefault="002B79B4" w:rsidP="002B79B4">
      <w:pPr>
        <w:autoSpaceDE w:val="0"/>
        <w:autoSpaceDN w:val="0"/>
        <w:adjustRightInd w:val="0"/>
        <w:spacing w:after="240"/>
        <w:ind w:left="720" w:hanging="720"/>
        <w:rPr>
          <w:rFonts w:ascii="Helvetica" w:hAnsi="Helvetica" w:cs="Helvetica"/>
        </w:rPr>
      </w:pPr>
      <w:r>
        <w:rPr>
          <w:rFonts w:ascii="Helvetica" w:hAnsi="Helvetica" w:cs="Helvetica"/>
        </w:rPr>
        <w:t xml:space="preserve">Lucas, Angela M., </w:t>
      </w:r>
      <w:r>
        <w:rPr>
          <w:rFonts w:ascii="Helvetica" w:hAnsi="Helvetica" w:cs="Helvetica"/>
          <w:i/>
          <w:iCs/>
        </w:rPr>
        <w:t>Women in the Middle Ages: Religion, Marriage, and Letters</w:t>
      </w:r>
      <w:r>
        <w:rPr>
          <w:rFonts w:ascii="Helvetica" w:hAnsi="Helvetica" w:cs="Helvetica"/>
        </w:rPr>
        <w:t xml:space="preserve"> (Brighton, Sussex: Harvester Press, 1983)</w:t>
      </w:r>
    </w:p>
    <w:p w14:paraId="34657CC1" w14:textId="77777777" w:rsidR="002B79B4" w:rsidRDefault="002B79B4" w:rsidP="002B79B4">
      <w:pPr>
        <w:autoSpaceDE w:val="0"/>
        <w:autoSpaceDN w:val="0"/>
        <w:adjustRightInd w:val="0"/>
        <w:spacing w:after="240"/>
        <w:ind w:left="720" w:hanging="720"/>
        <w:rPr>
          <w:rFonts w:ascii="Helvetica" w:hAnsi="Helvetica" w:cs="Helvetica"/>
        </w:rPr>
      </w:pPr>
      <w:r>
        <w:rPr>
          <w:rFonts w:ascii="Helvetica" w:hAnsi="Helvetica" w:cs="Helvetica"/>
        </w:rPr>
        <w:t xml:space="preserve">Owen, </w:t>
      </w:r>
      <w:proofErr w:type="spellStart"/>
      <w:r>
        <w:rPr>
          <w:rFonts w:ascii="Helvetica" w:hAnsi="Helvetica" w:cs="Helvetica"/>
        </w:rPr>
        <w:t>Morfydd</w:t>
      </w:r>
      <w:proofErr w:type="spellEnd"/>
      <w:r>
        <w:rPr>
          <w:rFonts w:ascii="Helvetica" w:hAnsi="Helvetica" w:cs="Helvetica"/>
        </w:rPr>
        <w:t xml:space="preserve"> E., and </w:t>
      </w:r>
      <w:proofErr w:type="spellStart"/>
      <w:r>
        <w:rPr>
          <w:rFonts w:ascii="Helvetica" w:hAnsi="Helvetica" w:cs="Helvetica"/>
        </w:rPr>
        <w:t>Dafydd</w:t>
      </w:r>
      <w:proofErr w:type="spellEnd"/>
      <w:r>
        <w:rPr>
          <w:rFonts w:ascii="Helvetica" w:hAnsi="Helvetica" w:cs="Helvetica"/>
        </w:rPr>
        <w:t xml:space="preserve"> Jenkins, eds., </w:t>
      </w:r>
      <w:r>
        <w:rPr>
          <w:rFonts w:ascii="Helvetica" w:hAnsi="Helvetica" w:cs="Helvetica"/>
          <w:i/>
          <w:iCs/>
        </w:rPr>
        <w:t>The Welsh Law of Women</w:t>
      </w:r>
      <w:r>
        <w:rPr>
          <w:rFonts w:ascii="Helvetica" w:hAnsi="Helvetica" w:cs="Helvetica"/>
        </w:rPr>
        <w:t xml:space="preserve"> (Cardiff: University of Wales Press, 2017)</w:t>
      </w:r>
    </w:p>
    <w:p w14:paraId="346FD22E" w14:textId="77777777" w:rsidR="002B79B4" w:rsidRDefault="002B79B4" w:rsidP="002B79B4">
      <w:pPr>
        <w:autoSpaceDE w:val="0"/>
        <w:autoSpaceDN w:val="0"/>
        <w:adjustRightInd w:val="0"/>
        <w:spacing w:after="240"/>
        <w:ind w:left="720" w:hanging="720"/>
        <w:rPr>
          <w:rFonts w:ascii="Helvetica" w:hAnsi="Helvetica" w:cs="Helvetica"/>
        </w:rPr>
      </w:pPr>
      <w:r>
        <w:rPr>
          <w:rFonts w:ascii="Helvetica" w:hAnsi="Helvetica" w:cs="Helvetica"/>
        </w:rPr>
        <w:t xml:space="preserve">Patterson, </w:t>
      </w:r>
      <w:proofErr w:type="spellStart"/>
      <w:r>
        <w:rPr>
          <w:rFonts w:ascii="Helvetica" w:hAnsi="Helvetica" w:cs="Helvetica"/>
        </w:rPr>
        <w:t>Nerys</w:t>
      </w:r>
      <w:proofErr w:type="spellEnd"/>
      <w:r>
        <w:rPr>
          <w:rFonts w:ascii="Helvetica" w:hAnsi="Helvetica" w:cs="Helvetica"/>
        </w:rPr>
        <w:t xml:space="preserve"> W., ‘</w:t>
      </w:r>
      <w:proofErr w:type="spellStart"/>
      <w:r>
        <w:rPr>
          <w:rFonts w:ascii="Helvetica" w:hAnsi="Helvetica" w:cs="Helvetica"/>
        </w:rPr>
        <w:t>Homour</w:t>
      </w:r>
      <w:proofErr w:type="spellEnd"/>
      <w:r>
        <w:rPr>
          <w:rFonts w:ascii="Helvetica" w:hAnsi="Helvetica" w:cs="Helvetica"/>
        </w:rPr>
        <w:t xml:space="preserve"> and Shame in Medieval Welsh Society: A Study of the Role of Burlesque in the Welsh Laws’, </w:t>
      </w:r>
      <w:r>
        <w:rPr>
          <w:rFonts w:ascii="Helvetica" w:hAnsi="Helvetica" w:cs="Helvetica"/>
          <w:i/>
          <w:iCs/>
        </w:rPr>
        <w:t xml:space="preserve">Studia </w:t>
      </w:r>
      <w:proofErr w:type="spellStart"/>
      <w:r>
        <w:rPr>
          <w:rFonts w:ascii="Helvetica" w:hAnsi="Helvetica" w:cs="Helvetica"/>
          <w:i/>
          <w:iCs/>
        </w:rPr>
        <w:t>Celtica</w:t>
      </w:r>
      <w:proofErr w:type="spellEnd"/>
      <w:r>
        <w:rPr>
          <w:rFonts w:ascii="Helvetica" w:hAnsi="Helvetica" w:cs="Helvetica"/>
        </w:rPr>
        <w:t>, 1981, 73–103 &lt;http://cyfraith-hywel.cymru.ac.uk/uploads/honour_and_shame.pdf&gt; [accessed 1 May 2022]</w:t>
      </w:r>
    </w:p>
    <w:p w14:paraId="40DEEEED" w14:textId="77777777" w:rsidR="002B79B4" w:rsidRDefault="002B79B4" w:rsidP="002B79B4">
      <w:pPr>
        <w:autoSpaceDE w:val="0"/>
        <w:autoSpaceDN w:val="0"/>
        <w:adjustRightInd w:val="0"/>
        <w:spacing w:after="240"/>
        <w:ind w:left="720" w:hanging="720"/>
        <w:rPr>
          <w:rFonts w:ascii="Helvetica" w:hAnsi="Helvetica" w:cs="Helvetica"/>
        </w:rPr>
      </w:pPr>
      <w:r>
        <w:rPr>
          <w:rFonts w:ascii="Helvetica" w:hAnsi="Helvetica" w:cs="Helvetica"/>
        </w:rPr>
        <w:t xml:space="preserve">Power, Eileen, </w:t>
      </w:r>
      <w:r>
        <w:rPr>
          <w:rFonts w:ascii="Helvetica" w:hAnsi="Helvetica" w:cs="Helvetica"/>
          <w:i/>
          <w:iCs/>
        </w:rPr>
        <w:t>Medieval Women</w:t>
      </w:r>
      <w:r>
        <w:rPr>
          <w:rFonts w:ascii="Helvetica" w:hAnsi="Helvetica" w:cs="Helvetica"/>
        </w:rPr>
        <w:t xml:space="preserve">, ed. by M. M. </w:t>
      </w:r>
      <w:proofErr w:type="spellStart"/>
      <w:r>
        <w:rPr>
          <w:rFonts w:ascii="Helvetica" w:hAnsi="Helvetica" w:cs="Helvetica"/>
        </w:rPr>
        <w:t>Postan</w:t>
      </w:r>
      <w:proofErr w:type="spellEnd"/>
      <w:r>
        <w:rPr>
          <w:rFonts w:ascii="Helvetica" w:hAnsi="Helvetica" w:cs="Helvetica"/>
        </w:rPr>
        <w:t xml:space="preserve"> (Cambridge [Eng.</w:t>
      </w:r>
      <w:proofErr w:type="gramStart"/>
      <w:r>
        <w:rPr>
          <w:rFonts w:ascii="Helvetica" w:hAnsi="Helvetica" w:cs="Helvetica"/>
        </w:rPr>
        <w:t>] ;</w:t>
      </w:r>
      <w:proofErr w:type="gramEnd"/>
      <w:r>
        <w:rPr>
          <w:rFonts w:ascii="Helvetica" w:hAnsi="Helvetica" w:cs="Helvetica"/>
        </w:rPr>
        <w:t xml:space="preserve"> New York: Cambridge University Press, 1975)</w:t>
      </w:r>
    </w:p>
    <w:p w14:paraId="4380C720" w14:textId="77777777" w:rsidR="002B79B4" w:rsidRDefault="002B79B4" w:rsidP="002B79B4">
      <w:pPr>
        <w:autoSpaceDE w:val="0"/>
        <w:autoSpaceDN w:val="0"/>
        <w:adjustRightInd w:val="0"/>
        <w:spacing w:after="240"/>
        <w:ind w:left="720" w:hanging="720"/>
        <w:rPr>
          <w:rFonts w:ascii="Helvetica" w:hAnsi="Helvetica" w:cs="Helvetica"/>
        </w:rPr>
      </w:pPr>
      <w:r>
        <w:rPr>
          <w:rFonts w:ascii="Helvetica" w:hAnsi="Helvetica" w:cs="Helvetica"/>
        </w:rPr>
        <w:t xml:space="preserve">Watt, Diane, ‘Introduction: Medieval Women in Their Communities’, in </w:t>
      </w:r>
      <w:r>
        <w:rPr>
          <w:rFonts w:ascii="Helvetica" w:hAnsi="Helvetica" w:cs="Helvetica"/>
          <w:i/>
          <w:iCs/>
        </w:rPr>
        <w:t>Medieval Women in Their Communities</w:t>
      </w:r>
      <w:r>
        <w:rPr>
          <w:rFonts w:ascii="Helvetica" w:hAnsi="Helvetica" w:cs="Helvetica"/>
        </w:rPr>
        <w:t>, ed. by Diane Watt (Cardiff: University Press of Wales, 1997), pp. 1–19 &lt;https://moodle.uwtsd.ac.uk/pluginfile.php/172791/mod_resource/content/6/CYCS7005CAR56.pdf&gt; [accessed 1 May 2022]</w:t>
      </w:r>
    </w:p>
    <w:p w14:paraId="3E63E5F9" w14:textId="77777777" w:rsidR="002B79B4" w:rsidRPr="00200D7B" w:rsidRDefault="002B79B4" w:rsidP="002B79B4">
      <w:pPr>
        <w:rPr>
          <w:rFonts w:cstheme="minorHAnsi"/>
          <w:b/>
          <w:bCs/>
        </w:rPr>
      </w:pPr>
    </w:p>
    <w:p w14:paraId="634976F4" w14:textId="77777777" w:rsidR="002B79B4" w:rsidRPr="00B45EAD" w:rsidRDefault="002B79B4">
      <w:pPr>
        <w:rPr>
          <w:color w:val="000000" w:themeColor="text1"/>
        </w:rPr>
      </w:pPr>
    </w:p>
    <w:sectPr w:rsidR="002B79B4" w:rsidRPr="00B45EAD">
      <w:footerReference w:type="even"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F0DD23" w14:textId="77777777" w:rsidR="002603AD" w:rsidRDefault="002603AD" w:rsidP="00750339">
      <w:r>
        <w:separator/>
      </w:r>
    </w:p>
  </w:endnote>
  <w:endnote w:type="continuationSeparator" w:id="0">
    <w:p w14:paraId="0C4D1E2B" w14:textId="77777777" w:rsidR="002603AD" w:rsidRDefault="002603AD" w:rsidP="007503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135891"/>
      <w:docPartObj>
        <w:docPartGallery w:val="Page Numbers (Bottom of Page)"/>
        <w:docPartUnique/>
      </w:docPartObj>
    </w:sdtPr>
    <w:sdtEndPr>
      <w:rPr>
        <w:rStyle w:val="PageNumber"/>
      </w:rPr>
    </w:sdtEndPr>
    <w:sdtContent>
      <w:p w14:paraId="1228013F" w14:textId="45C31186" w:rsidR="00852FFF" w:rsidRDefault="00852FFF" w:rsidP="0032702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9C553AE" w14:textId="77777777" w:rsidR="00852FFF" w:rsidRDefault="00852FFF" w:rsidP="00852FF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17636389"/>
      <w:docPartObj>
        <w:docPartGallery w:val="Page Numbers (Bottom of Page)"/>
        <w:docPartUnique/>
      </w:docPartObj>
    </w:sdtPr>
    <w:sdtEndPr>
      <w:rPr>
        <w:rStyle w:val="PageNumber"/>
      </w:rPr>
    </w:sdtEndPr>
    <w:sdtContent>
      <w:p w14:paraId="282438E4" w14:textId="4B20480E" w:rsidR="00852FFF" w:rsidRDefault="00852FFF" w:rsidP="0032702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23C2355" w14:textId="77777777" w:rsidR="00852FFF" w:rsidRDefault="00852FFF" w:rsidP="00852FF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1CCC1B" w14:textId="77777777" w:rsidR="002603AD" w:rsidRDefault="002603AD" w:rsidP="00750339">
      <w:r>
        <w:separator/>
      </w:r>
    </w:p>
  </w:footnote>
  <w:footnote w:type="continuationSeparator" w:id="0">
    <w:p w14:paraId="513D1D76" w14:textId="77777777" w:rsidR="002603AD" w:rsidRDefault="002603AD" w:rsidP="00750339">
      <w:r>
        <w:continuationSeparator/>
      </w:r>
    </w:p>
  </w:footnote>
  <w:footnote w:id="1">
    <w:p w14:paraId="4B33B843" w14:textId="4BA4A952" w:rsidR="00522D95" w:rsidRPr="00522D95" w:rsidRDefault="00522D95">
      <w:pPr>
        <w:pStyle w:val="FootnoteText"/>
      </w:pPr>
      <w:r>
        <w:rPr>
          <w:rStyle w:val="FootnoteReference"/>
        </w:rPr>
        <w:footnoteRef/>
      </w:r>
      <w:r>
        <w:t xml:space="preserve"> Diane Watt, ‘Introduction: Medieval Women in Their Communities’,</w:t>
      </w:r>
      <w:r w:rsidR="002403E3">
        <w:t xml:space="preserve"> in</w:t>
      </w:r>
      <w:r>
        <w:t xml:space="preserve"> </w:t>
      </w:r>
      <w:r>
        <w:rPr>
          <w:i/>
          <w:iCs/>
        </w:rPr>
        <w:t>Medieval Women in Their Communities</w:t>
      </w:r>
      <w:r>
        <w:t xml:space="preserve"> </w:t>
      </w:r>
      <w:r w:rsidR="002403E3">
        <w:t>ed, Watt</w:t>
      </w:r>
      <w:r w:rsidR="00C61B30">
        <w:t>, D.</w:t>
      </w:r>
      <w:r w:rsidR="002403E3">
        <w:t xml:space="preserve"> </w:t>
      </w:r>
      <w:r>
        <w:t>(</w:t>
      </w:r>
      <w:r w:rsidR="002403E3">
        <w:t xml:space="preserve">University Press of Wales, </w:t>
      </w:r>
      <w:r>
        <w:t>1</w:t>
      </w:r>
      <w:r w:rsidR="002403E3">
        <w:t>997) p.9</w:t>
      </w:r>
    </w:p>
  </w:footnote>
  <w:footnote w:id="2">
    <w:p w14:paraId="5AF3ABE8" w14:textId="528AB37D" w:rsidR="00852FFF" w:rsidRPr="00454B53" w:rsidRDefault="00852FFF">
      <w:pPr>
        <w:pStyle w:val="FootnoteText"/>
        <w:rPr>
          <w:color w:val="000000" w:themeColor="text1"/>
        </w:rPr>
      </w:pPr>
      <w:r>
        <w:rPr>
          <w:rStyle w:val="FootnoteReference"/>
        </w:rPr>
        <w:footnoteRef/>
      </w:r>
      <w:r>
        <w:t xml:space="preserve"> </w:t>
      </w:r>
      <w:r w:rsidR="00DF0A4B">
        <w:t>E</w:t>
      </w:r>
      <w:r w:rsidR="00957A3B">
        <w:t xml:space="preserve">ileen </w:t>
      </w:r>
      <w:r w:rsidR="00995B37">
        <w:t xml:space="preserve">Power, </w:t>
      </w:r>
      <w:r w:rsidRPr="00454B53">
        <w:rPr>
          <w:i/>
          <w:iCs/>
          <w:color w:val="000000" w:themeColor="text1"/>
        </w:rPr>
        <w:t>Medieval Woman</w:t>
      </w:r>
      <w:r w:rsidR="00957A3B" w:rsidRPr="00454B53">
        <w:rPr>
          <w:color w:val="000000" w:themeColor="text1"/>
        </w:rPr>
        <w:t xml:space="preserve"> (Cambridge: Cambridge University Press, 1975) </w:t>
      </w:r>
      <w:r w:rsidRPr="00454B53">
        <w:rPr>
          <w:color w:val="000000" w:themeColor="text1"/>
        </w:rPr>
        <w:t>p.9</w:t>
      </w:r>
      <w:r w:rsidR="00957A3B" w:rsidRPr="00454B53">
        <w:rPr>
          <w:color w:val="000000" w:themeColor="text1"/>
        </w:rPr>
        <w:t>.</w:t>
      </w:r>
    </w:p>
  </w:footnote>
  <w:footnote w:id="3">
    <w:p w14:paraId="4BA77854" w14:textId="48DAB302" w:rsidR="00995B37" w:rsidRDefault="00995B37">
      <w:pPr>
        <w:pStyle w:val="FootnoteText"/>
      </w:pPr>
      <w:r>
        <w:rPr>
          <w:rStyle w:val="FootnoteReference"/>
        </w:rPr>
        <w:footnoteRef/>
      </w:r>
      <w:r>
        <w:t xml:space="preserve"> Angela M. Lucas, </w:t>
      </w:r>
      <w:r>
        <w:rPr>
          <w:i/>
          <w:iCs/>
        </w:rPr>
        <w:t xml:space="preserve">Women in the Middle Ages, Religion, </w:t>
      </w:r>
      <w:proofErr w:type="gramStart"/>
      <w:r>
        <w:rPr>
          <w:i/>
          <w:iCs/>
        </w:rPr>
        <w:t>Marriage</w:t>
      </w:r>
      <w:proofErr w:type="gramEnd"/>
      <w:r>
        <w:rPr>
          <w:i/>
          <w:iCs/>
        </w:rPr>
        <w:t xml:space="preserve"> and Letters</w:t>
      </w:r>
      <w:r w:rsidR="00246313">
        <w:rPr>
          <w:i/>
          <w:iCs/>
        </w:rPr>
        <w:t xml:space="preserve"> </w:t>
      </w:r>
      <w:r>
        <w:t>(Brighton: The Harvester Press Limited, 1983), p.15</w:t>
      </w:r>
      <w:r w:rsidR="000E0F5A">
        <w:t>.</w:t>
      </w:r>
    </w:p>
  </w:footnote>
  <w:footnote w:id="4">
    <w:p w14:paraId="5A876C21" w14:textId="18375330" w:rsidR="00750339" w:rsidRDefault="00750339" w:rsidP="00750339">
      <w:pPr>
        <w:pStyle w:val="FootnoteText"/>
      </w:pPr>
      <w:r>
        <w:rPr>
          <w:rStyle w:val="FootnoteReference"/>
        </w:rPr>
        <w:footnoteRef/>
      </w:r>
      <w:bookmarkStart w:id="0" w:name="OLE_LINK1"/>
      <w:bookmarkStart w:id="1" w:name="OLE_LINK2"/>
      <w:r>
        <w:t>A</w:t>
      </w:r>
      <w:r w:rsidR="0080021A">
        <w:t xml:space="preserve">ngela </w:t>
      </w:r>
      <w:r>
        <w:t xml:space="preserve">M. Lucas, </w:t>
      </w:r>
      <w:r>
        <w:rPr>
          <w:i/>
          <w:iCs/>
        </w:rPr>
        <w:t>Women in the Middle Ages</w:t>
      </w:r>
      <w:r w:rsidR="00813B00">
        <w:rPr>
          <w:i/>
          <w:iCs/>
        </w:rPr>
        <w:t xml:space="preserve"> </w:t>
      </w:r>
      <w:r>
        <w:t>p.23</w:t>
      </w:r>
      <w:r w:rsidR="00DC69D4">
        <w:t>,25.</w:t>
      </w:r>
    </w:p>
    <w:bookmarkEnd w:id="0"/>
    <w:bookmarkEnd w:id="1"/>
  </w:footnote>
  <w:footnote w:id="5">
    <w:p w14:paraId="0298DE13" w14:textId="2B990523" w:rsidR="009D1540" w:rsidRDefault="009D1540">
      <w:pPr>
        <w:pStyle w:val="FootnoteText"/>
      </w:pPr>
      <w:r>
        <w:rPr>
          <w:rStyle w:val="FootnoteReference"/>
        </w:rPr>
        <w:footnoteRef/>
      </w:r>
      <w:r>
        <w:t xml:space="preserve"> </w:t>
      </w:r>
      <w:r w:rsidR="00813B00">
        <w:rPr>
          <w:i/>
          <w:iCs/>
        </w:rPr>
        <w:t>Ibid.</w:t>
      </w:r>
      <w:r>
        <w:t xml:space="preserve"> p.23.</w:t>
      </w:r>
    </w:p>
  </w:footnote>
  <w:footnote w:id="6">
    <w:p w14:paraId="5C615D72" w14:textId="4E275B35" w:rsidR="000807D2" w:rsidRDefault="000807D2">
      <w:pPr>
        <w:pStyle w:val="FootnoteText"/>
      </w:pPr>
      <w:r>
        <w:rPr>
          <w:rStyle w:val="FootnoteReference"/>
        </w:rPr>
        <w:footnoteRef/>
      </w:r>
      <w:r>
        <w:t xml:space="preserve"> </w:t>
      </w:r>
      <w:proofErr w:type="spellStart"/>
      <w:r>
        <w:t>Morfydd.E</w:t>
      </w:r>
      <w:proofErr w:type="spellEnd"/>
      <w:r>
        <w:t xml:space="preserve">. Owen and </w:t>
      </w:r>
      <w:proofErr w:type="spellStart"/>
      <w:r>
        <w:t>Dafydd</w:t>
      </w:r>
      <w:proofErr w:type="spellEnd"/>
      <w:r>
        <w:t xml:space="preserve"> Jenkins, </w:t>
      </w:r>
      <w:r>
        <w:rPr>
          <w:i/>
          <w:iCs/>
        </w:rPr>
        <w:t xml:space="preserve">The Welsh Law </w:t>
      </w:r>
      <w:proofErr w:type="gramStart"/>
      <w:r>
        <w:rPr>
          <w:i/>
          <w:iCs/>
        </w:rPr>
        <w:t>Of</w:t>
      </w:r>
      <w:proofErr w:type="gramEnd"/>
      <w:r>
        <w:rPr>
          <w:i/>
          <w:iCs/>
        </w:rPr>
        <w:t xml:space="preserve"> Women </w:t>
      </w:r>
      <w:r>
        <w:t>(Cardiff, University of Wales Press, 2017) p.9.</w:t>
      </w:r>
    </w:p>
  </w:footnote>
  <w:footnote w:id="7">
    <w:p w14:paraId="0E67FA61" w14:textId="56E2DEE3" w:rsidR="0011308D" w:rsidRDefault="0011308D">
      <w:pPr>
        <w:pStyle w:val="FootnoteText"/>
      </w:pPr>
      <w:r>
        <w:rPr>
          <w:rStyle w:val="FootnoteReference"/>
        </w:rPr>
        <w:footnoteRef/>
      </w:r>
      <w:r>
        <w:t xml:space="preserve"> </w:t>
      </w:r>
      <w:proofErr w:type="spellStart"/>
      <w:r w:rsidR="00DF5CC1">
        <w:t>Morfydd.E</w:t>
      </w:r>
      <w:proofErr w:type="spellEnd"/>
      <w:r w:rsidR="00DF5CC1">
        <w:t xml:space="preserve">. Owen and </w:t>
      </w:r>
      <w:proofErr w:type="spellStart"/>
      <w:r w:rsidR="00DF5CC1">
        <w:t>Dafydd</w:t>
      </w:r>
      <w:proofErr w:type="spellEnd"/>
      <w:r w:rsidR="00DF5CC1">
        <w:t xml:space="preserve"> Jenkins, </w:t>
      </w:r>
      <w:r w:rsidR="00DF5CC1">
        <w:rPr>
          <w:i/>
          <w:iCs/>
        </w:rPr>
        <w:t xml:space="preserve">The Welsh Law </w:t>
      </w:r>
      <w:proofErr w:type="gramStart"/>
      <w:r w:rsidR="00DF5CC1">
        <w:rPr>
          <w:i/>
          <w:iCs/>
        </w:rPr>
        <w:t>Of</w:t>
      </w:r>
      <w:proofErr w:type="gramEnd"/>
      <w:r w:rsidR="00DF5CC1">
        <w:rPr>
          <w:i/>
          <w:iCs/>
        </w:rPr>
        <w:t xml:space="preserve"> Women</w:t>
      </w:r>
      <w:r w:rsidR="0064695D">
        <w:rPr>
          <w:i/>
          <w:iCs/>
        </w:rPr>
        <w:t>,</w:t>
      </w:r>
      <w:r w:rsidR="00DF5CC1">
        <w:rPr>
          <w:i/>
          <w:iCs/>
        </w:rPr>
        <w:t xml:space="preserve"> </w:t>
      </w:r>
      <w:r w:rsidR="00DF5CC1">
        <w:t>p.165.</w:t>
      </w:r>
    </w:p>
  </w:footnote>
  <w:footnote w:id="8">
    <w:p w14:paraId="030B4DD2" w14:textId="7BDEFB17" w:rsidR="003068FE" w:rsidRDefault="003068FE">
      <w:pPr>
        <w:pStyle w:val="FootnoteText"/>
      </w:pPr>
      <w:r>
        <w:rPr>
          <w:rStyle w:val="FootnoteReference"/>
        </w:rPr>
        <w:footnoteRef/>
      </w:r>
      <w:r>
        <w:t xml:space="preserve"> </w:t>
      </w:r>
      <w:r w:rsidR="00246313">
        <w:rPr>
          <w:i/>
          <w:iCs/>
        </w:rPr>
        <w:t xml:space="preserve">Ibid. </w:t>
      </w:r>
      <w:r>
        <w:t>p.189.</w:t>
      </w:r>
    </w:p>
  </w:footnote>
  <w:footnote w:id="9">
    <w:p w14:paraId="0973623B" w14:textId="30C981C5" w:rsidR="00E63EBD" w:rsidRDefault="00E63EBD" w:rsidP="00E63EBD">
      <w:pPr>
        <w:pStyle w:val="FootnoteText"/>
      </w:pPr>
      <w:r>
        <w:rPr>
          <w:rStyle w:val="FootnoteReference"/>
        </w:rPr>
        <w:footnoteRef/>
      </w:r>
      <w:r>
        <w:t xml:space="preserve"> </w:t>
      </w:r>
      <w:r w:rsidR="00246313">
        <w:rPr>
          <w:i/>
          <w:iCs/>
        </w:rPr>
        <w:t xml:space="preserve">Ibid. </w:t>
      </w:r>
      <w:r w:rsidR="00246313">
        <w:t xml:space="preserve">p.8. </w:t>
      </w:r>
    </w:p>
  </w:footnote>
  <w:footnote w:id="10">
    <w:p w14:paraId="12CE14D6" w14:textId="0831BF48" w:rsidR="003068FE" w:rsidRDefault="003068FE">
      <w:pPr>
        <w:pStyle w:val="FootnoteText"/>
      </w:pPr>
      <w:r>
        <w:rPr>
          <w:rStyle w:val="FootnoteReference"/>
        </w:rPr>
        <w:footnoteRef/>
      </w:r>
      <w:r>
        <w:t xml:space="preserve"> </w:t>
      </w:r>
      <w:r w:rsidR="00246313">
        <w:rPr>
          <w:i/>
          <w:iCs/>
        </w:rPr>
        <w:t xml:space="preserve">Ibid. </w:t>
      </w:r>
      <w:r w:rsidR="00246313">
        <w:t xml:space="preserve">p.11. </w:t>
      </w:r>
    </w:p>
  </w:footnote>
  <w:footnote w:id="11">
    <w:p w14:paraId="1732580A" w14:textId="750017C2" w:rsidR="00AF6DB9" w:rsidRPr="006B5CA6" w:rsidRDefault="00AF6DB9">
      <w:pPr>
        <w:pStyle w:val="FootnoteText"/>
      </w:pPr>
      <w:r>
        <w:rPr>
          <w:rStyle w:val="FootnoteReference"/>
        </w:rPr>
        <w:footnoteRef/>
      </w:r>
      <w:r>
        <w:t xml:space="preserve"> </w:t>
      </w:r>
      <w:r w:rsidR="00ED4CB8">
        <w:t>Monica</w:t>
      </w:r>
      <w:r w:rsidR="006B5CA6">
        <w:t xml:space="preserve"> H. Green, </w:t>
      </w:r>
      <w:r w:rsidR="006B5CA6">
        <w:rPr>
          <w:i/>
          <w:iCs/>
        </w:rPr>
        <w:t xml:space="preserve">The </w:t>
      </w:r>
      <w:proofErr w:type="spellStart"/>
      <w:r w:rsidR="006B5CA6">
        <w:rPr>
          <w:i/>
          <w:iCs/>
        </w:rPr>
        <w:t>Trotula</w:t>
      </w:r>
      <w:proofErr w:type="spellEnd"/>
      <w:r w:rsidR="00F36E91">
        <w:rPr>
          <w:i/>
          <w:iCs/>
        </w:rPr>
        <w:t xml:space="preserve">: A Medieval Compendium </w:t>
      </w:r>
      <w:proofErr w:type="gramStart"/>
      <w:r w:rsidR="00F36E91">
        <w:rPr>
          <w:i/>
          <w:iCs/>
        </w:rPr>
        <w:t>Of</w:t>
      </w:r>
      <w:proofErr w:type="gramEnd"/>
      <w:r w:rsidR="00F36E91">
        <w:rPr>
          <w:i/>
          <w:iCs/>
        </w:rPr>
        <w:t xml:space="preserve"> Women’s Medicine</w:t>
      </w:r>
      <w:r w:rsidR="006B5CA6">
        <w:t xml:space="preserve"> (Philadelphia, University of Pen</w:t>
      </w:r>
      <w:r w:rsidR="00F36E91">
        <w:t>n</w:t>
      </w:r>
      <w:r w:rsidR="006B5CA6">
        <w:t>sylvania Press, 2001) p.42-43,145.</w:t>
      </w:r>
    </w:p>
  </w:footnote>
  <w:footnote w:id="12">
    <w:p w14:paraId="55FC6A8C" w14:textId="77777777" w:rsidR="00F53946" w:rsidRPr="004D068D" w:rsidRDefault="00F53946" w:rsidP="00F53946">
      <w:pPr>
        <w:pStyle w:val="FootnoteText"/>
      </w:pPr>
      <w:r>
        <w:rPr>
          <w:rStyle w:val="FootnoteReference"/>
        </w:rPr>
        <w:footnoteRef/>
      </w:r>
      <w:r>
        <w:t xml:space="preserve"> Rosalie Gilbert, </w:t>
      </w:r>
      <w:r w:rsidRPr="004D068D">
        <w:rPr>
          <w:i/>
          <w:iCs/>
        </w:rPr>
        <w:t>The Very Secret Sex Lives of Medieval Women: An Inside Look at Women and Sex in Medieval Times</w:t>
      </w:r>
      <w:r>
        <w:t xml:space="preserve"> (Mango Publishing Group, 2020) p.14.</w:t>
      </w:r>
    </w:p>
  </w:footnote>
  <w:footnote w:id="13">
    <w:p w14:paraId="3982E41A" w14:textId="2806C683" w:rsidR="00AF6DB9" w:rsidRPr="00DB47B3" w:rsidRDefault="00AF6DB9">
      <w:pPr>
        <w:pStyle w:val="FootnoteText"/>
      </w:pPr>
      <w:r>
        <w:rPr>
          <w:rStyle w:val="FootnoteReference"/>
        </w:rPr>
        <w:footnoteRef/>
      </w:r>
      <w:r>
        <w:t xml:space="preserve"> </w:t>
      </w:r>
      <w:r w:rsidR="00EB26BF">
        <w:t xml:space="preserve">Jane Cartwright ‘Virginity and Chastity Tests in Medieval Welsh Prose’, in </w:t>
      </w:r>
      <w:proofErr w:type="spellStart"/>
      <w:r w:rsidR="00EB26BF">
        <w:t>Bernau</w:t>
      </w:r>
      <w:proofErr w:type="spellEnd"/>
      <w:r w:rsidR="00EB26BF">
        <w:t xml:space="preserve">, A. </w:t>
      </w:r>
      <w:r w:rsidR="000F78EE">
        <w:t>et al.</w:t>
      </w:r>
      <w:r w:rsidR="00EB26BF">
        <w:t xml:space="preserve"> </w:t>
      </w:r>
      <w:r w:rsidR="00EB26BF">
        <w:rPr>
          <w:i/>
          <w:iCs/>
        </w:rPr>
        <w:t>Medieval Virginities</w:t>
      </w:r>
      <w:r w:rsidR="00DB47B3">
        <w:t xml:space="preserve"> (University of Wales Press) p.</w:t>
      </w:r>
      <w:r w:rsidR="009E1C75">
        <w:t>63,</w:t>
      </w:r>
      <w:r w:rsidR="00DB47B3">
        <w:t>65.</w:t>
      </w:r>
    </w:p>
  </w:footnote>
  <w:footnote w:id="14">
    <w:p w14:paraId="13B93B2E" w14:textId="588D941D" w:rsidR="002B2D88" w:rsidRDefault="002B2D88">
      <w:pPr>
        <w:pStyle w:val="FootnoteText"/>
      </w:pPr>
      <w:r>
        <w:rPr>
          <w:rStyle w:val="FootnoteReference"/>
        </w:rPr>
        <w:footnoteRef/>
      </w:r>
      <w:r>
        <w:t xml:space="preserve"> </w:t>
      </w:r>
      <w:proofErr w:type="spellStart"/>
      <w:r w:rsidR="00346107">
        <w:t>Morfydd.E</w:t>
      </w:r>
      <w:proofErr w:type="spellEnd"/>
      <w:r w:rsidR="00346107">
        <w:t xml:space="preserve">. Owen and </w:t>
      </w:r>
      <w:proofErr w:type="spellStart"/>
      <w:r w:rsidR="00346107">
        <w:t>Dafydd</w:t>
      </w:r>
      <w:proofErr w:type="spellEnd"/>
      <w:r w:rsidR="00346107">
        <w:t xml:space="preserve"> Jenkins, </w:t>
      </w:r>
      <w:r w:rsidR="00346107">
        <w:rPr>
          <w:i/>
          <w:iCs/>
        </w:rPr>
        <w:t xml:space="preserve">The Welsh Law </w:t>
      </w:r>
      <w:proofErr w:type="gramStart"/>
      <w:r w:rsidR="00346107">
        <w:rPr>
          <w:i/>
          <w:iCs/>
        </w:rPr>
        <w:t>Of</w:t>
      </w:r>
      <w:proofErr w:type="gramEnd"/>
      <w:r w:rsidR="00346107">
        <w:rPr>
          <w:i/>
          <w:iCs/>
        </w:rPr>
        <w:t xml:space="preserve"> Women</w:t>
      </w:r>
      <w:r w:rsidR="0064695D">
        <w:rPr>
          <w:i/>
          <w:iCs/>
        </w:rPr>
        <w:t>,</w:t>
      </w:r>
      <w:r w:rsidR="00346107">
        <w:t xml:space="preserve"> p.9.</w:t>
      </w:r>
    </w:p>
  </w:footnote>
  <w:footnote w:id="15">
    <w:p w14:paraId="03FE9ECE" w14:textId="4B52366B" w:rsidR="0019216C" w:rsidRDefault="0019216C">
      <w:pPr>
        <w:pStyle w:val="FootnoteText"/>
      </w:pPr>
      <w:r>
        <w:rPr>
          <w:rStyle w:val="FootnoteReference"/>
        </w:rPr>
        <w:footnoteRef/>
      </w:r>
      <w:r>
        <w:t xml:space="preserve"> </w:t>
      </w:r>
      <w:r w:rsidR="00477603">
        <w:rPr>
          <w:i/>
          <w:iCs/>
        </w:rPr>
        <w:t xml:space="preserve">Ibid. </w:t>
      </w:r>
      <w:r w:rsidR="00477603">
        <w:t>p.173</w:t>
      </w:r>
      <w:r w:rsidR="000E0F5A">
        <w:t>.</w:t>
      </w:r>
    </w:p>
  </w:footnote>
  <w:footnote w:id="16">
    <w:p w14:paraId="0CC9695F" w14:textId="3ECD557C" w:rsidR="003A4D64" w:rsidRDefault="003A4D64">
      <w:pPr>
        <w:pStyle w:val="FootnoteText"/>
      </w:pPr>
      <w:r>
        <w:rPr>
          <w:rStyle w:val="FootnoteReference"/>
        </w:rPr>
        <w:footnoteRef/>
      </w:r>
      <w:r>
        <w:t xml:space="preserve"> Jane Cartwright ‘Virginity and Chastity Tests in Medieval Welsh Prose’, in </w:t>
      </w:r>
      <w:proofErr w:type="spellStart"/>
      <w:r>
        <w:t>Bernau</w:t>
      </w:r>
      <w:proofErr w:type="spellEnd"/>
      <w:r>
        <w:t xml:space="preserve">, A. et al. </w:t>
      </w:r>
      <w:r>
        <w:rPr>
          <w:i/>
          <w:iCs/>
        </w:rPr>
        <w:t>Medieval Virginities</w:t>
      </w:r>
      <w:r>
        <w:t xml:space="preserve"> (University of Wales Press) p.63.</w:t>
      </w:r>
    </w:p>
  </w:footnote>
  <w:footnote w:id="17">
    <w:p w14:paraId="523A50E8" w14:textId="4A77FAB8" w:rsidR="002D4658" w:rsidRDefault="002D4658">
      <w:pPr>
        <w:pStyle w:val="FootnoteText"/>
      </w:pPr>
      <w:r>
        <w:rPr>
          <w:rStyle w:val="FootnoteReference"/>
        </w:rPr>
        <w:footnoteRef/>
      </w:r>
      <w:r>
        <w:t xml:space="preserve"> </w:t>
      </w:r>
      <w:proofErr w:type="spellStart"/>
      <w:r>
        <w:t>Morfydd.E</w:t>
      </w:r>
      <w:proofErr w:type="spellEnd"/>
      <w:r>
        <w:t xml:space="preserve">. Owen and </w:t>
      </w:r>
      <w:proofErr w:type="spellStart"/>
      <w:r>
        <w:t>Dafydd</w:t>
      </w:r>
      <w:proofErr w:type="spellEnd"/>
      <w:r>
        <w:t xml:space="preserve"> Jenkins, </w:t>
      </w:r>
      <w:r>
        <w:rPr>
          <w:i/>
          <w:iCs/>
        </w:rPr>
        <w:t xml:space="preserve">The Welsh Law </w:t>
      </w:r>
      <w:proofErr w:type="gramStart"/>
      <w:r>
        <w:rPr>
          <w:i/>
          <w:iCs/>
        </w:rPr>
        <w:t>Of</w:t>
      </w:r>
      <w:proofErr w:type="gramEnd"/>
      <w:r>
        <w:rPr>
          <w:i/>
          <w:iCs/>
        </w:rPr>
        <w:t xml:space="preserve"> Women</w:t>
      </w:r>
      <w:r w:rsidR="0064695D">
        <w:rPr>
          <w:i/>
          <w:iCs/>
        </w:rPr>
        <w:t>,</w:t>
      </w:r>
      <w:r>
        <w:rPr>
          <w:i/>
          <w:iCs/>
        </w:rPr>
        <w:t xml:space="preserve"> </w:t>
      </w:r>
      <w:r>
        <w:t>p.175</w:t>
      </w:r>
      <w:r w:rsidR="009F7F93">
        <w:t>.</w:t>
      </w:r>
    </w:p>
  </w:footnote>
  <w:footnote w:id="18">
    <w:p w14:paraId="06BF8A53" w14:textId="56AC256F" w:rsidR="005F6D96" w:rsidRPr="005E4714" w:rsidRDefault="005F6D96" w:rsidP="005E4714">
      <w:pPr>
        <w:rPr>
          <w:rFonts w:ascii="Times New Roman" w:eastAsia="Times New Roman" w:hAnsi="Times New Roman" w:cs="Times New Roman"/>
          <w:sz w:val="20"/>
          <w:szCs w:val="20"/>
          <w:lang w:eastAsia="en-GB"/>
        </w:rPr>
      </w:pPr>
      <w:r>
        <w:rPr>
          <w:rStyle w:val="FootnoteReference"/>
        </w:rPr>
        <w:footnoteRef/>
      </w:r>
      <w:r>
        <w:t xml:space="preserve"> </w:t>
      </w:r>
      <w:proofErr w:type="spellStart"/>
      <w:r w:rsidR="00CA2BCB" w:rsidRPr="005E4714">
        <w:rPr>
          <w:sz w:val="20"/>
          <w:szCs w:val="20"/>
        </w:rPr>
        <w:t>Nerys</w:t>
      </w:r>
      <w:proofErr w:type="spellEnd"/>
      <w:r w:rsidR="00CA2BCB" w:rsidRPr="005E4714">
        <w:rPr>
          <w:sz w:val="20"/>
          <w:szCs w:val="20"/>
        </w:rPr>
        <w:t xml:space="preserve"> W. Patterson</w:t>
      </w:r>
      <w:r w:rsidR="008D2958" w:rsidRPr="005E4714">
        <w:rPr>
          <w:sz w:val="20"/>
          <w:szCs w:val="20"/>
        </w:rPr>
        <w:t>, ‘Honour and Shame in Medieval Welsh Society</w:t>
      </w:r>
      <w:r w:rsidR="00FC53C5" w:rsidRPr="005E4714">
        <w:rPr>
          <w:sz w:val="20"/>
          <w:szCs w:val="20"/>
        </w:rPr>
        <w:t>: A Study of the Role of Burlesque in the Welsh Laws</w:t>
      </w:r>
      <w:r w:rsidR="008D2958" w:rsidRPr="005E4714">
        <w:rPr>
          <w:sz w:val="20"/>
          <w:szCs w:val="20"/>
        </w:rPr>
        <w:t>’</w:t>
      </w:r>
      <w:r w:rsidR="00FC53C5" w:rsidRPr="005E4714">
        <w:rPr>
          <w:sz w:val="20"/>
          <w:szCs w:val="20"/>
        </w:rPr>
        <w:t xml:space="preserve">, </w:t>
      </w:r>
      <w:r w:rsidR="00FC53C5" w:rsidRPr="005E4714">
        <w:rPr>
          <w:i/>
          <w:iCs/>
          <w:sz w:val="20"/>
          <w:szCs w:val="20"/>
        </w:rPr>
        <w:t xml:space="preserve">Studia </w:t>
      </w:r>
      <w:proofErr w:type="spellStart"/>
      <w:r w:rsidR="00FC53C5" w:rsidRPr="005E4714">
        <w:rPr>
          <w:i/>
          <w:iCs/>
          <w:sz w:val="20"/>
          <w:szCs w:val="20"/>
        </w:rPr>
        <w:t>Cletica</w:t>
      </w:r>
      <w:proofErr w:type="spellEnd"/>
      <w:r w:rsidR="00FC53C5" w:rsidRPr="005E4714">
        <w:rPr>
          <w:i/>
          <w:iCs/>
          <w:sz w:val="20"/>
          <w:szCs w:val="20"/>
        </w:rPr>
        <w:t xml:space="preserve"> </w:t>
      </w:r>
      <w:r w:rsidR="000A3F6B">
        <w:rPr>
          <w:sz w:val="20"/>
          <w:szCs w:val="20"/>
        </w:rPr>
        <w:t>1</w:t>
      </w:r>
      <w:r w:rsidR="00FC53C5" w:rsidRPr="005E4714">
        <w:rPr>
          <w:sz w:val="20"/>
          <w:szCs w:val="20"/>
        </w:rPr>
        <w:t>6/17 (1981) p.</w:t>
      </w:r>
      <w:r w:rsidR="005E4714" w:rsidRPr="005E4714">
        <w:rPr>
          <w:sz w:val="20"/>
          <w:szCs w:val="20"/>
        </w:rPr>
        <w:t>76</w:t>
      </w:r>
      <w:r w:rsidR="00CE1D3F">
        <w:rPr>
          <w:sz w:val="20"/>
          <w:szCs w:val="20"/>
        </w:rPr>
        <w:t>.</w:t>
      </w:r>
    </w:p>
  </w:footnote>
  <w:footnote w:id="19">
    <w:p w14:paraId="494E012B" w14:textId="0E18AB39" w:rsidR="0019216C" w:rsidRDefault="0019216C">
      <w:pPr>
        <w:pStyle w:val="FootnoteText"/>
      </w:pPr>
      <w:r>
        <w:rPr>
          <w:rStyle w:val="FootnoteReference"/>
        </w:rPr>
        <w:footnoteRef/>
      </w:r>
      <w:r>
        <w:t xml:space="preserve"> </w:t>
      </w:r>
      <w:proofErr w:type="spellStart"/>
      <w:r w:rsidR="00B536EB">
        <w:t>Morfydd.E</w:t>
      </w:r>
      <w:proofErr w:type="spellEnd"/>
      <w:r w:rsidR="00B536EB">
        <w:t xml:space="preserve">. Owen and </w:t>
      </w:r>
      <w:proofErr w:type="spellStart"/>
      <w:r w:rsidR="00B536EB">
        <w:t>Dafydd</w:t>
      </w:r>
      <w:proofErr w:type="spellEnd"/>
      <w:r w:rsidR="00B536EB">
        <w:t xml:space="preserve"> Jenkins, </w:t>
      </w:r>
      <w:r w:rsidR="00B536EB">
        <w:rPr>
          <w:i/>
          <w:iCs/>
        </w:rPr>
        <w:t xml:space="preserve">The Welsh Law </w:t>
      </w:r>
      <w:proofErr w:type="gramStart"/>
      <w:r w:rsidR="00B536EB">
        <w:rPr>
          <w:i/>
          <w:iCs/>
        </w:rPr>
        <w:t>Of</w:t>
      </w:r>
      <w:proofErr w:type="gramEnd"/>
      <w:r w:rsidR="00B536EB">
        <w:rPr>
          <w:i/>
          <w:iCs/>
        </w:rPr>
        <w:t xml:space="preserve"> Women</w:t>
      </w:r>
      <w:r w:rsidR="0064695D">
        <w:rPr>
          <w:i/>
          <w:iCs/>
        </w:rPr>
        <w:t>,</w:t>
      </w:r>
      <w:r w:rsidR="00B536EB">
        <w:rPr>
          <w:i/>
          <w:iCs/>
        </w:rPr>
        <w:t xml:space="preserve"> </w:t>
      </w:r>
      <w:r w:rsidR="00B536EB">
        <w:t>p.193.</w:t>
      </w:r>
    </w:p>
  </w:footnote>
  <w:footnote w:id="20">
    <w:p w14:paraId="3B4C86DD" w14:textId="57145BBB" w:rsidR="00D863BC" w:rsidRDefault="00D863BC">
      <w:pPr>
        <w:pStyle w:val="FootnoteText"/>
      </w:pPr>
      <w:r>
        <w:rPr>
          <w:rStyle w:val="FootnoteReference"/>
        </w:rPr>
        <w:footnoteRef/>
      </w:r>
      <w:r>
        <w:t xml:space="preserve"> </w:t>
      </w:r>
      <w:r w:rsidR="0064695D">
        <w:rPr>
          <w:i/>
          <w:iCs/>
        </w:rPr>
        <w:t xml:space="preserve">Ibid. </w:t>
      </w:r>
      <w:r w:rsidR="0064695D">
        <w:t>p.201.</w:t>
      </w:r>
    </w:p>
  </w:footnote>
  <w:footnote w:id="21">
    <w:p w14:paraId="6B76A440" w14:textId="430FF06C" w:rsidR="003002BE" w:rsidRDefault="003002BE">
      <w:pPr>
        <w:pStyle w:val="FootnoteText"/>
      </w:pPr>
      <w:r>
        <w:rPr>
          <w:rStyle w:val="FootnoteReference"/>
        </w:rPr>
        <w:footnoteRef/>
      </w:r>
      <w:r>
        <w:t xml:space="preserve"> </w:t>
      </w:r>
      <w:r w:rsidR="0064695D">
        <w:rPr>
          <w:i/>
          <w:iCs/>
        </w:rPr>
        <w:t xml:space="preserve">Ibid. </w:t>
      </w:r>
      <w:r w:rsidR="0064695D">
        <w:t>p.201, 226.</w:t>
      </w:r>
    </w:p>
  </w:footnote>
  <w:footnote w:id="22">
    <w:p w14:paraId="0ACD1D05" w14:textId="3E6E5F3F" w:rsidR="00674095" w:rsidRDefault="00674095">
      <w:pPr>
        <w:pStyle w:val="FootnoteText"/>
      </w:pPr>
      <w:r>
        <w:rPr>
          <w:rStyle w:val="FootnoteReference"/>
        </w:rPr>
        <w:footnoteRef/>
      </w:r>
      <w:r>
        <w:t xml:space="preserve"> Jane Cartwright ‘Virginity and Chastity Tests in Medieval Welsh Prose’, in </w:t>
      </w:r>
      <w:proofErr w:type="spellStart"/>
      <w:r>
        <w:t>Bernau</w:t>
      </w:r>
      <w:proofErr w:type="spellEnd"/>
      <w:r>
        <w:t xml:space="preserve">, A. et al. </w:t>
      </w:r>
      <w:r>
        <w:rPr>
          <w:i/>
          <w:iCs/>
        </w:rPr>
        <w:t>Medieval Virginities</w:t>
      </w:r>
      <w:r>
        <w:t xml:space="preserve"> (University of Wales Press) p.70.</w:t>
      </w:r>
    </w:p>
  </w:footnote>
  <w:footnote w:id="23">
    <w:p w14:paraId="337D9546" w14:textId="43E9657A" w:rsidR="00A1231B" w:rsidRDefault="00A1231B">
      <w:pPr>
        <w:pStyle w:val="FootnoteText"/>
      </w:pPr>
      <w:r>
        <w:rPr>
          <w:rStyle w:val="FootnoteReference"/>
        </w:rPr>
        <w:footnoteRef/>
      </w:r>
      <w:r>
        <w:t xml:space="preserve"> </w:t>
      </w:r>
      <w:proofErr w:type="spellStart"/>
      <w:r w:rsidR="00813B00">
        <w:t>Morfydd.E</w:t>
      </w:r>
      <w:proofErr w:type="spellEnd"/>
      <w:r w:rsidR="00813B00">
        <w:t xml:space="preserve">. Owen and </w:t>
      </w:r>
      <w:proofErr w:type="spellStart"/>
      <w:r w:rsidR="00813B00">
        <w:t>Dafydd</w:t>
      </w:r>
      <w:proofErr w:type="spellEnd"/>
      <w:r w:rsidR="00813B00">
        <w:t xml:space="preserve"> Jenkins, </w:t>
      </w:r>
      <w:r w:rsidR="00813B00">
        <w:rPr>
          <w:i/>
          <w:iCs/>
        </w:rPr>
        <w:t xml:space="preserve">The Welsh Law </w:t>
      </w:r>
      <w:proofErr w:type="gramStart"/>
      <w:r w:rsidR="00813B00">
        <w:rPr>
          <w:i/>
          <w:iCs/>
        </w:rPr>
        <w:t>Of</w:t>
      </w:r>
      <w:proofErr w:type="gramEnd"/>
      <w:r w:rsidR="00813B00">
        <w:rPr>
          <w:i/>
          <w:iCs/>
        </w:rPr>
        <w:t xml:space="preserve"> Women</w:t>
      </w:r>
      <w:r w:rsidR="0064695D">
        <w:rPr>
          <w:i/>
          <w:iCs/>
        </w:rPr>
        <w:t>,</w:t>
      </w:r>
      <w:r w:rsidR="00813B00">
        <w:t xml:space="preserve"> p.201</w:t>
      </w:r>
      <w:r w:rsidR="0064695D">
        <w:t>.</w:t>
      </w:r>
    </w:p>
  </w:footnote>
  <w:footnote w:id="24">
    <w:p w14:paraId="025346DE" w14:textId="68DF8B1F" w:rsidR="00A1231B" w:rsidRDefault="00A1231B">
      <w:pPr>
        <w:pStyle w:val="FootnoteText"/>
      </w:pPr>
      <w:r>
        <w:rPr>
          <w:rStyle w:val="FootnoteReference"/>
        </w:rPr>
        <w:footnoteRef/>
      </w:r>
      <w:r w:rsidR="0064695D">
        <w:rPr>
          <w:i/>
          <w:iCs/>
        </w:rPr>
        <w:t xml:space="preserve">Ibid. </w:t>
      </w:r>
      <w:r w:rsidR="0064695D">
        <w:t>p.54.</w:t>
      </w:r>
    </w:p>
  </w:footnote>
  <w:footnote w:id="25">
    <w:p w14:paraId="0463D84E" w14:textId="1648038B" w:rsidR="002E2424" w:rsidRPr="002E2424" w:rsidRDefault="002E2424">
      <w:pPr>
        <w:pStyle w:val="FootnoteText"/>
      </w:pPr>
      <w:r>
        <w:rPr>
          <w:rStyle w:val="FootnoteReference"/>
        </w:rPr>
        <w:footnoteRef/>
      </w:r>
      <w:r>
        <w:t xml:space="preserve"> Alcuin </w:t>
      </w:r>
      <w:proofErr w:type="spellStart"/>
      <w:r>
        <w:t>Blamires</w:t>
      </w:r>
      <w:proofErr w:type="spellEnd"/>
      <w:r>
        <w:t xml:space="preserve">, </w:t>
      </w:r>
      <w:r>
        <w:rPr>
          <w:i/>
          <w:iCs/>
        </w:rPr>
        <w:t xml:space="preserve">The Case </w:t>
      </w:r>
      <w:proofErr w:type="gramStart"/>
      <w:r>
        <w:rPr>
          <w:i/>
          <w:iCs/>
        </w:rPr>
        <w:t>For</w:t>
      </w:r>
      <w:proofErr w:type="gramEnd"/>
      <w:r>
        <w:rPr>
          <w:i/>
          <w:iCs/>
        </w:rPr>
        <w:t xml:space="preserve"> Women in Medieval Culture</w:t>
      </w:r>
      <w:r>
        <w:t xml:space="preserve"> (Oxford, Clarendon Press, 1977) p.137.</w:t>
      </w:r>
    </w:p>
  </w:footnote>
  <w:footnote w:id="26">
    <w:p w14:paraId="59C67D49" w14:textId="400D06E3" w:rsidR="005F6D96" w:rsidRDefault="005F6D96">
      <w:pPr>
        <w:pStyle w:val="FootnoteText"/>
      </w:pPr>
      <w:r>
        <w:rPr>
          <w:rStyle w:val="FootnoteReference"/>
        </w:rPr>
        <w:footnoteRef/>
      </w:r>
      <w:r>
        <w:t xml:space="preserve"> </w:t>
      </w:r>
      <w:proofErr w:type="spellStart"/>
      <w:r w:rsidR="00AD7C3B">
        <w:t>Morfydd.E</w:t>
      </w:r>
      <w:proofErr w:type="spellEnd"/>
      <w:r w:rsidR="00AD7C3B">
        <w:t xml:space="preserve">. Owen and </w:t>
      </w:r>
      <w:proofErr w:type="spellStart"/>
      <w:r w:rsidR="00AD7C3B">
        <w:t>Dafydd</w:t>
      </w:r>
      <w:proofErr w:type="spellEnd"/>
      <w:r w:rsidR="00AD7C3B">
        <w:t xml:space="preserve"> Jenkins, </w:t>
      </w:r>
      <w:r w:rsidR="00AD7C3B">
        <w:rPr>
          <w:i/>
          <w:iCs/>
        </w:rPr>
        <w:t xml:space="preserve">The Welsh Law </w:t>
      </w:r>
      <w:proofErr w:type="gramStart"/>
      <w:r w:rsidR="00AD7C3B">
        <w:rPr>
          <w:i/>
          <w:iCs/>
        </w:rPr>
        <w:t>Of</w:t>
      </w:r>
      <w:proofErr w:type="gramEnd"/>
      <w:r w:rsidR="00AD7C3B">
        <w:rPr>
          <w:i/>
          <w:iCs/>
        </w:rPr>
        <w:t xml:space="preserve"> Women</w:t>
      </w:r>
      <w:r w:rsidR="00DB5C40">
        <w:rPr>
          <w:i/>
          <w:iCs/>
        </w:rPr>
        <w:t xml:space="preserve">, </w:t>
      </w:r>
      <w:r w:rsidR="00AD7C3B">
        <w:t>p.193.</w:t>
      </w:r>
    </w:p>
  </w:footnote>
  <w:footnote w:id="27">
    <w:p w14:paraId="44B29E23" w14:textId="24FF8091" w:rsidR="004D143F" w:rsidRPr="00357806" w:rsidRDefault="004D143F" w:rsidP="004D143F">
      <w:pPr>
        <w:pStyle w:val="FootnoteText"/>
        <w:rPr>
          <w:color w:val="FF0000"/>
        </w:rPr>
      </w:pPr>
      <w:r>
        <w:rPr>
          <w:rStyle w:val="FootnoteReference"/>
        </w:rPr>
        <w:footnoteRef/>
      </w:r>
      <w:r>
        <w:t xml:space="preserve"> </w:t>
      </w:r>
      <w:r w:rsidR="00DB5C40">
        <w:rPr>
          <w:i/>
          <w:iCs/>
        </w:rPr>
        <w:t xml:space="preserve">Ibid. </w:t>
      </w:r>
      <w:r w:rsidR="00DB5C40">
        <w:t>p.1</w:t>
      </w:r>
      <w:r w:rsidR="007B4ABE">
        <w:t>63.</w:t>
      </w:r>
    </w:p>
  </w:footnote>
  <w:footnote w:id="28">
    <w:p w14:paraId="21987DFE" w14:textId="23F5A032" w:rsidR="00FC53C5" w:rsidRDefault="004D143F" w:rsidP="004D143F">
      <w:pPr>
        <w:pStyle w:val="FootnoteText"/>
      </w:pPr>
      <w:r>
        <w:rPr>
          <w:rStyle w:val="FootnoteReference"/>
        </w:rPr>
        <w:footnoteRef/>
      </w:r>
      <w:r>
        <w:t xml:space="preserve"> </w:t>
      </w:r>
      <w:r w:rsidR="007B4ABE">
        <w:rPr>
          <w:i/>
          <w:iCs/>
        </w:rPr>
        <w:t xml:space="preserve">Ibid. </w:t>
      </w:r>
      <w:r w:rsidR="007B4ABE">
        <w:t>p.163</w:t>
      </w:r>
      <w:r>
        <w:t>.</w:t>
      </w:r>
    </w:p>
  </w:footnote>
  <w:footnote w:id="29">
    <w:p w14:paraId="2494F17E" w14:textId="7D423F21" w:rsidR="00BE66BD" w:rsidRDefault="00BE66BD">
      <w:pPr>
        <w:pStyle w:val="FootnoteText"/>
      </w:pPr>
      <w:r>
        <w:rPr>
          <w:rStyle w:val="FootnoteReference"/>
        </w:rPr>
        <w:footnoteRef/>
      </w:r>
      <w:r>
        <w:t xml:space="preserve"> </w:t>
      </w:r>
      <w:r w:rsidR="002C6B6D">
        <w:t xml:space="preserve">Jane Cartwright ‘Virginity and Chastity Tests in Medieval Welsh Prose’, in </w:t>
      </w:r>
      <w:proofErr w:type="spellStart"/>
      <w:r w:rsidR="002C6B6D">
        <w:t>Bernau</w:t>
      </w:r>
      <w:proofErr w:type="spellEnd"/>
      <w:r w:rsidR="002C6B6D">
        <w:t xml:space="preserve">, A. et al. </w:t>
      </w:r>
      <w:r w:rsidR="002C6B6D">
        <w:rPr>
          <w:i/>
          <w:iCs/>
        </w:rPr>
        <w:t>Medieval Virginities</w:t>
      </w:r>
      <w:r w:rsidR="002C6B6D">
        <w:t xml:space="preserve"> (University of Wales Press) p.65.</w:t>
      </w:r>
    </w:p>
  </w:footnote>
  <w:footnote w:id="30">
    <w:p w14:paraId="2763E4B8" w14:textId="0246E2D2" w:rsidR="00A8285C" w:rsidRPr="00264FB0" w:rsidRDefault="00A8285C">
      <w:pPr>
        <w:pStyle w:val="FootnoteText"/>
        <w:rPr>
          <w:color w:val="000000" w:themeColor="text1"/>
        </w:rPr>
      </w:pPr>
      <w:r>
        <w:rPr>
          <w:rStyle w:val="FootnoteReference"/>
        </w:rPr>
        <w:footnoteRef/>
      </w:r>
      <w:r>
        <w:t xml:space="preserve"> Eileen Power, ‘</w:t>
      </w:r>
      <w:r w:rsidRPr="00454B53">
        <w:rPr>
          <w:i/>
          <w:iCs/>
          <w:color w:val="000000" w:themeColor="text1"/>
        </w:rPr>
        <w:t>Medieval Woman</w:t>
      </w:r>
      <w:r w:rsidRPr="00454B53">
        <w:rPr>
          <w:color w:val="000000" w:themeColor="text1"/>
        </w:rPr>
        <w:t>’ (Cambridge: Cambridge University Press, 1975) p.9.</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47D7"/>
    <w:rsid w:val="000007B0"/>
    <w:rsid w:val="00025422"/>
    <w:rsid w:val="00030746"/>
    <w:rsid w:val="00035FB2"/>
    <w:rsid w:val="000807D2"/>
    <w:rsid w:val="00096BD8"/>
    <w:rsid w:val="000A148E"/>
    <w:rsid w:val="000A1D57"/>
    <w:rsid w:val="000A3F6B"/>
    <w:rsid w:val="000B18D6"/>
    <w:rsid w:val="000C33A0"/>
    <w:rsid w:val="000E0F5A"/>
    <w:rsid w:val="000F1A33"/>
    <w:rsid w:val="000F3AA8"/>
    <w:rsid w:val="000F78EE"/>
    <w:rsid w:val="0011308D"/>
    <w:rsid w:val="001139C0"/>
    <w:rsid w:val="00133AF5"/>
    <w:rsid w:val="00136D26"/>
    <w:rsid w:val="00166887"/>
    <w:rsid w:val="0019216C"/>
    <w:rsid w:val="001D09A2"/>
    <w:rsid w:val="0021281B"/>
    <w:rsid w:val="002208AD"/>
    <w:rsid w:val="002403E3"/>
    <w:rsid w:val="00246313"/>
    <w:rsid w:val="00246663"/>
    <w:rsid w:val="00254AA4"/>
    <w:rsid w:val="002603AD"/>
    <w:rsid w:val="002641D2"/>
    <w:rsid w:val="00264FB0"/>
    <w:rsid w:val="002A197F"/>
    <w:rsid w:val="002A509F"/>
    <w:rsid w:val="002B2D88"/>
    <w:rsid w:val="002B386E"/>
    <w:rsid w:val="002B79B4"/>
    <w:rsid w:val="002B7ED5"/>
    <w:rsid w:val="002C4359"/>
    <w:rsid w:val="002C6B6D"/>
    <w:rsid w:val="002D4658"/>
    <w:rsid w:val="002D5AEE"/>
    <w:rsid w:val="002E2424"/>
    <w:rsid w:val="002E7B7C"/>
    <w:rsid w:val="003002BE"/>
    <w:rsid w:val="003068FE"/>
    <w:rsid w:val="00312308"/>
    <w:rsid w:val="0031272E"/>
    <w:rsid w:val="003147D7"/>
    <w:rsid w:val="00325736"/>
    <w:rsid w:val="00346107"/>
    <w:rsid w:val="00357806"/>
    <w:rsid w:val="003770B7"/>
    <w:rsid w:val="003843FE"/>
    <w:rsid w:val="00387F8F"/>
    <w:rsid w:val="003A4D64"/>
    <w:rsid w:val="003A6827"/>
    <w:rsid w:val="003B150A"/>
    <w:rsid w:val="003C50D1"/>
    <w:rsid w:val="003C74E5"/>
    <w:rsid w:val="003D41C3"/>
    <w:rsid w:val="003D47AC"/>
    <w:rsid w:val="003E0D98"/>
    <w:rsid w:val="00424C77"/>
    <w:rsid w:val="004302EC"/>
    <w:rsid w:val="00440530"/>
    <w:rsid w:val="00454B53"/>
    <w:rsid w:val="00470807"/>
    <w:rsid w:val="00477603"/>
    <w:rsid w:val="00481D8A"/>
    <w:rsid w:val="004A0696"/>
    <w:rsid w:val="004A0775"/>
    <w:rsid w:val="004A1EDB"/>
    <w:rsid w:val="004B38E7"/>
    <w:rsid w:val="004C138F"/>
    <w:rsid w:val="004D0245"/>
    <w:rsid w:val="004D068D"/>
    <w:rsid w:val="004D143F"/>
    <w:rsid w:val="004D7D7C"/>
    <w:rsid w:val="00505109"/>
    <w:rsid w:val="00522D95"/>
    <w:rsid w:val="00523BA8"/>
    <w:rsid w:val="00525382"/>
    <w:rsid w:val="005318C0"/>
    <w:rsid w:val="005367FB"/>
    <w:rsid w:val="00540B84"/>
    <w:rsid w:val="00563187"/>
    <w:rsid w:val="00580C9E"/>
    <w:rsid w:val="0059552F"/>
    <w:rsid w:val="005B05A1"/>
    <w:rsid w:val="005C3570"/>
    <w:rsid w:val="005E019A"/>
    <w:rsid w:val="005E0688"/>
    <w:rsid w:val="005E1F9E"/>
    <w:rsid w:val="005E25CE"/>
    <w:rsid w:val="005E4714"/>
    <w:rsid w:val="005E7E66"/>
    <w:rsid w:val="005F2221"/>
    <w:rsid w:val="005F6D96"/>
    <w:rsid w:val="00606C52"/>
    <w:rsid w:val="006113F4"/>
    <w:rsid w:val="00615A49"/>
    <w:rsid w:val="00621638"/>
    <w:rsid w:val="00624A2E"/>
    <w:rsid w:val="00635D6B"/>
    <w:rsid w:val="00636932"/>
    <w:rsid w:val="0064695D"/>
    <w:rsid w:val="00674095"/>
    <w:rsid w:val="00685C86"/>
    <w:rsid w:val="006929A7"/>
    <w:rsid w:val="00697CB8"/>
    <w:rsid w:val="006A1123"/>
    <w:rsid w:val="006A2CCC"/>
    <w:rsid w:val="006A410C"/>
    <w:rsid w:val="006B5CA6"/>
    <w:rsid w:val="006D2566"/>
    <w:rsid w:val="006D481C"/>
    <w:rsid w:val="006E7323"/>
    <w:rsid w:val="006E7E65"/>
    <w:rsid w:val="0071523E"/>
    <w:rsid w:val="00721C05"/>
    <w:rsid w:val="00725A7A"/>
    <w:rsid w:val="00730F42"/>
    <w:rsid w:val="007357C2"/>
    <w:rsid w:val="00750339"/>
    <w:rsid w:val="007863A5"/>
    <w:rsid w:val="007B4619"/>
    <w:rsid w:val="007B4ABE"/>
    <w:rsid w:val="007C145B"/>
    <w:rsid w:val="007E1B1B"/>
    <w:rsid w:val="007E4E17"/>
    <w:rsid w:val="007F5FA5"/>
    <w:rsid w:val="007F7684"/>
    <w:rsid w:val="0080021A"/>
    <w:rsid w:val="008019C5"/>
    <w:rsid w:val="00813B00"/>
    <w:rsid w:val="00852FFF"/>
    <w:rsid w:val="0085343F"/>
    <w:rsid w:val="00873CBC"/>
    <w:rsid w:val="008768E7"/>
    <w:rsid w:val="00880978"/>
    <w:rsid w:val="0088685C"/>
    <w:rsid w:val="00892987"/>
    <w:rsid w:val="00892CA6"/>
    <w:rsid w:val="008B5A24"/>
    <w:rsid w:val="008D2958"/>
    <w:rsid w:val="008D7CAB"/>
    <w:rsid w:val="00902234"/>
    <w:rsid w:val="009146CB"/>
    <w:rsid w:val="00917C1C"/>
    <w:rsid w:val="00923447"/>
    <w:rsid w:val="00923798"/>
    <w:rsid w:val="00937E07"/>
    <w:rsid w:val="00957A3B"/>
    <w:rsid w:val="00995B37"/>
    <w:rsid w:val="00995B3F"/>
    <w:rsid w:val="009963CE"/>
    <w:rsid w:val="009A6BFB"/>
    <w:rsid w:val="009A7198"/>
    <w:rsid w:val="009B369E"/>
    <w:rsid w:val="009C0512"/>
    <w:rsid w:val="009C3A56"/>
    <w:rsid w:val="009D1540"/>
    <w:rsid w:val="009E1C75"/>
    <w:rsid w:val="009F7F93"/>
    <w:rsid w:val="00A06282"/>
    <w:rsid w:val="00A1231B"/>
    <w:rsid w:val="00A12D97"/>
    <w:rsid w:val="00A31FB7"/>
    <w:rsid w:val="00A348BE"/>
    <w:rsid w:val="00A553A8"/>
    <w:rsid w:val="00A62C43"/>
    <w:rsid w:val="00A81865"/>
    <w:rsid w:val="00A8285C"/>
    <w:rsid w:val="00A95C17"/>
    <w:rsid w:val="00AA0F22"/>
    <w:rsid w:val="00AA40FC"/>
    <w:rsid w:val="00AC2C51"/>
    <w:rsid w:val="00AD7C3B"/>
    <w:rsid w:val="00AF6DB9"/>
    <w:rsid w:val="00B116BF"/>
    <w:rsid w:val="00B149CD"/>
    <w:rsid w:val="00B35ED1"/>
    <w:rsid w:val="00B42D4D"/>
    <w:rsid w:val="00B45B3C"/>
    <w:rsid w:val="00B45EAD"/>
    <w:rsid w:val="00B536EB"/>
    <w:rsid w:val="00B64DAB"/>
    <w:rsid w:val="00B65A8C"/>
    <w:rsid w:val="00B959AB"/>
    <w:rsid w:val="00BA15DC"/>
    <w:rsid w:val="00BC037D"/>
    <w:rsid w:val="00BC145F"/>
    <w:rsid w:val="00BC406D"/>
    <w:rsid w:val="00BD0903"/>
    <w:rsid w:val="00BD2850"/>
    <w:rsid w:val="00BE23B5"/>
    <w:rsid w:val="00BE5078"/>
    <w:rsid w:val="00BE513C"/>
    <w:rsid w:val="00BE66BD"/>
    <w:rsid w:val="00BF0E25"/>
    <w:rsid w:val="00BF6366"/>
    <w:rsid w:val="00C02297"/>
    <w:rsid w:val="00C15848"/>
    <w:rsid w:val="00C178B5"/>
    <w:rsid w:val="00C20FEC"/>
    <w:rsid w:val="00C410A0"/>
    <w:rsid w:val="00C52CD7"/>
    <w:rsid w:val="00C614D7"/>
    <w:rsid w:val="00C61B30"/>
    <w:rsid w:val="00C64CBF"/>
    <w:rsid w:val="00C655F2"/>
    <w:rsid w:val="00C750DE"/>
    <w:rsid w:val="00C86EEC"/>
    <w:rsid w:val="00C9210E"/>
    <w:rsid w:val="00C94A1D"/>
    <w:rsid w:val="00C97C6F"/>
    <w:rsid w:val="00CA2BCB"/>
    <w:rsid w:val="00CB0A54"/>
    <w:rsid w:val="00CB221D"/>
    <w:rsid w:val="00CE1D3F"/>
    <w:rsid w:val="00D02E39"/>
    <w:rsid w:val="00D07C88"/>
    <w:rsid w:val="00D34445"/>
    <w:rsid w:val="00D55080"/>
    <w:rsid w:val="00D60029"/>
    <w:rsid w:val="00D643ED"/>
    <w:rsid w:val="00D65B27"/>
    <w:rsid w:val="00D65D1D"/>
    <w:rsid w:val="00D7416A"/>
    <w:rsid w:val="00D82106"/>
    <w:rsid w:val="00D863BC"/>
    <w:rsid w:val="00D90111"/>
    <w:rsid w:val="00D901E1"/>
    <w:rsid w:val="00DA1D3A"/>
    <w:rsid w:val="00DA48B9"/>
    <w:rsid w:val="00DA4CBA"/>
    <w:rsid w:val="00DB47B3"/>
    <w:rsid w:val="00DB5C40"/>
    <w:rsid w:val="00DB6EF3"/>
    <w:rsid w:val="00DC5798"/>
    <w:rsid w:val="00DC69D4"/>
    <w:rsid w:val="00DD3D52"/>
    <w:rsid w:val="00DE0CD2"/>
    <w:rsid w:val="00DF0A4B"/>
    <w:rsid w:val="00DF2435"/>
    <w:rsid w:val="00DF5CC1"/>
    <w:rsid w:val="00DF5E3B"/>
    <w:rsid w:val="00E074D6"/>
    <w:rsid w:val="00E16264"/>
    <w:rsid w:val="00E22A76"/>
    <w:rsid w:val="00E27D5D"/>
    <w:rsid w:val="00E42FAD"/>
    <w:rsid w:val="00E46008"/>
    <w:rsid w:val="00E54AD7"/>
    <w:rsid w:val="00E55786"/>
    <w:rsid w:val="00E55DA2"/>
    <w:rsid w:val="00E63EBD"/>
    <w:rsid w:val="00E85C30"/>
    <w:rsid w:val="00EA2557"/>
    <w:rsid w:val="00EB26BF"/>
    <w:rsid w:val="00ED04FC"/>
    <w:rsid w:val="00ED4CB8"/>
    <w:rsid w:val="00EF37E1"/>
    <w:rsid w:val="00F01C5D"/>
    <w:rsid w:val="00F13E43"/>
    <w:rsid w:val="00F15641"/>
    <w:rsid w:val="00F3244E"/>
    <w:rsid w:val="00F36E91"/>
    <w:rsid w:val="00F53946"/>
    <w:rsid w:val="00F57430"/>
    <w:rsid w:val="00F60FE6"/>
    <w:rsid w:val="00F70209"/>
    <w:rsid w:val="00F97048"/>
    <w:rsid w:val="00FB3167"/>
    <w:rsid w:val="00FB74BB"/>
    <w:rsid w:val="00FC53C5"/>
    <w:rsid w:val="00FD0FA4"/>
    <w:rsid w:val="00FE6A8D"/>
    <w:rsid w:val="00FF20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2AB3EF8"/>
  <w15:chartTrackingRefBased/>
  <w15:docId w15:val="{F9E2F470-7908-AD45-8E94-469E5DC034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8768E7"/>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750339"/>
    <w:rPr>
      <w:sz w:val="20"/>
      <w:szCs w:val="20"/>
    </w:rPr>
  </w:style>
  <w:style w:type="character" w:customStyle="1" w:styleId="FootnoteTextChar">
    <w:name w:val="Footnote Text Char"/>
    <w:basedOn w:val="DefaultParagraphFont"/>
    <w:link w:val="FootnoteText"/>
    <w:uiPriority w:val="99"/>
    <w:semiHidden/>
    <w:rsid w:val="00750339"/>
    <w:rPr>
      <w:sz w:val="20"/>
      <w:szCs w:val="20"/>
    </w:rPr>
  </w:style>
  <w:style w:type="character" w:styleId="FootnoteReference">
    <w:name w:val="footnote reference"/>
    <w:basedOn w:val="DefaultParagraphFont"/>
    <w:uiPriority w:val="99"/>
    <w:semiHidden/>
    <w:unhideWhenUsed/>
    <w:rsid w:val="00750339"/>
    <w:rPr>
      <w:vertAlign w:val="superscript"/>
    </w:rPr>
  </w:style>
  <w:style w:type="paragraph" w:styleId="Footer">
    <w:name w:val="footer"/>
    <w:basedOn w:val="Normal"/>
    <w:link w:val="FooterChar"/>
    <w:uiPriority w:val="99"/>
    <w:unhideWhenUsed/>
    <w:rsid w:val="00852FFF"/>
    <w:pPr>
      <w:tabs>
        <w:tab w:val="center" w:pos="4513"/>
        <w:tab w:val="right" w:pos="9026"/>
      </w:tabs>
    </w:pPr>
  </w:style>
  <w:style w:type="character" w:customStyle="1" w:styleId="FooterChar">
    <w:name w:val="Footer Char"/>
    <w:basedOn w:val="DefaultParagraphFont"/>
    <w:link w:val="Footer"/>
    <w:uiPriority w:val="99"/>
    <w:rsid w:val="00852FFF"/>
  </w:style>
  <w:style w:type="character" w:styleId="PageNumber">
    <w:name w:val="page number"/>
    <w:basedOn w:val="DefaultParagraphFont"/>
    <w:uiPriority w:val="99"/>
    <w:semiHidden/>
    <w:unhideWhenUsed/>
    <w:rsid w:val="00852FFF"/>
  </w:style>
  <w:style w:type="character" w:customStyle="1" w:styleId="apple-converted-space">
    <w:name w:val="apple-converted-space"/>
    <w:basedOn w:val="DefaultParagraphFont"/>
    <w:rsid w:val="00FC53C5"/>
  </w:style>
  <w:style w:type="character" w:customStyle="1" w:styleId="Heading1Char">
    <w:name w:val="Heading 1 Char"/>
    <w:basedOn w:val="DefaultParagraphFont"/>
    <w:link w:val="Heading1"/>
    <w:uiPriority w:val="9"/>
    <w:rsid w:val="008768E7"/>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7392514">
      <w:bodyDiv w:val="1"/>
      <w:marLeft w:val="0"/>
      <w:marRight w:val="0"/>
      <w:marTop w:val="0"/>
      <w:marBottom w:val="0"/>
      <w:divBdr>
        <w:top w:val="none" w:sz="0" w:space="0" w:color="auto"/>
        <w:left w:val="none" w:sz="0" w:space="0" w:color="auto"/>
        <w:bottom w:val="none" w:sz="0" w:space="0" w:color="auto"/>
        <w:right w:val="none" w:sz="0" w:space="0" w:color="auto"/>
      </w:divBdr>
    </w:div>
    <w:div w:id="1229144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7FE87D-1656-C742-8055-8A84D93FC6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295</TotalTime>
  <Pages>14</Pages>
  <Words>3484</Words>
  <Characters>19865</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Blackburn (2111668)</dc:creator>
  <cp:keywords/>
  <dc:description/>
  <cp:lastModifiedBy>Sarah Blackburn (2111668)</cp:lastModifiedBy>
  <cp:revision>55</cp:revision>
  <cp:lastPrinted>2022-05-28T21:15:00Z</cp:lastPrinted>
  <dcterms:created xsi:type="dcterms:W3CDTF">2022-05-28T12:11:00Z</dcterms:created>
  <dcterms:modified xsi:type="dcterms:W3CDTF">2022-05-29T15:47:00Z</dcterms:modified>
</cp:coreProperties>
</file>