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18503541"/>
        <w:docPartObj>
          <w:docPartGallery w:val="Cover Pages"/>
          <w:docPartUnique/>
        </w:docPartObj>
      </w:sdtPr>
      <w:sdtEndPr>
        <w:rPr>
          <w:rFonts w:ascii="Arial" w:hAnsi="Arial" w:cs="Arial"/>
        </w:rPr>
      </w:sdtEndPr>
      <w:sdtContent>
        <w:p w:rsidR="0034669A" w:rsidRDefault="0034669A">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4669A" w:rsidRDefault="0034669A" w:rsidP="007E00C6">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4669A" w:rsidRPr="0034669A" w:rsidRDefault="0034669A" w:rsidP="0034669A">
                                  <w:pPr>
                                    <w:pStyle w:val="Heading3"/>
                                    <w:shd w:val="clear" w:color="auto" w:fill="FFFFFF"/>
                                    <w:spacing w:before="480" w:beforeAutospacing="0" w:after="240" w:afterAutospacing="0" w:line="360" w:lineRule="auto"/>
                                    <w:rPr>
                                      <w:rFonts w:ascii="Arial" w:hAnsi="Arial" w:cs="Arial"/>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Toc213019084"/>
                                  <w:r w:rsidRPr="0034669A">
                                    <w:rPr>
                                      <w:rStyle w:val="Strong"/>
                                      <w:rFonts w:ascii="Arial" w:hAnsi="Arial" w:cs="Arial"/>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From Hobby to Disorder: A Critical Analysis of the </w:t>
                                  </w:r>
                                  <w:proofErr w:type="spellStart"/>
                                  <w:r w:rsidRPr="0034669A">
                                    <w:rPr>
                                      <w:rStyle w:val="Strong"/>
                                      <w:rFonts w:ascii="Arial" w:hAnsi="Arial" w:cs="Arial"/>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Pathologisation</w:t>
                                  </w:r>
                                  <w:proofErr w:type="spellEnd"/>
                                  <w:r w:rsidRPr="0034669A">
                                    <w:rPr>
                                      <w:rStyle w:val="Strong"/>
                                      <w:rFonts w:ascii="Arial" w:hAnsi="Arial" w:cs="Arial"/>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of Problematic Gaming</w:t>
                                  </w:r>
                                  <w:bookmarkEnd w:id="0"/>
                                </w:p>
                                <w:p w:rsidR="0034669A" w:rsidRDefault="00FC7ACC">
                                  <w:pPr>
                                    <w:pStyle w:val="NoSpacing"/>
                                    <w:jc w:val="center"/>
                                    <w:rPr>
                                      <w:rFonts w:asciiTheme="majorHAnsi" w:eastAsiaTheme="majorEastAsia" w:hAnsiTheme="majorHAnsi" w:cstheme="majorBidi"/>
                                      <w:caps/>
                                      <w:color w:val="5B9BD5" w:themeColor="accent1"/>
                                      <w:sz w:val="72"/>
                                      <w:szCs w:val="72"/>
                                    </w:rPr>
                                  </w:pPr>
                                  <w:r>
                                    <w:rPr>
                                      <w:rStyle w:val="Strong"/>
                                      <w:rFonts w:ascii="Segoe UI" w:hAnsi="Segoe UI" w:cs="Segoe UI"/>
                                      <w:color w:val="0F1115"/>
                                      <w:shd w:val="clear" w:color="auto" w:fill="FFFFFF"/>
                                    </w:rPr>
                                    <w:t>Student Name: Adnan Sayeed</w:t>
                                  </w:r>
                                  <w:bookmarkStart w:id="1" w:name="_GoBack"/>
                                  <w:bookmarkEnd w:id="1"/>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34669A" w:rsidRDefault="0034669A" w:rsidP="007E00C6">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34669A" w:rsidRPr="0034669A" w:rsidRDefault="0034669A" w:rsidP="0034669A">
                            <w:pPr>
                              <w:pStyle w:val="Heading3"/>
                              <w:shd w:val="clear" w:color="auto" w:fill="FFFFFF"/>
                              <w:spacing w:before="480" w:beforeAutospacing="0" w:after="240" w:afterAutospacing="0" w:line="360" w:lineRule="auto"/>
                              <w:rPr>
                                <w:rFonts w:ascii="Arial" w:hAnsi="Arial" w:cs="Arial"/>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2" w:name="_Toc213019084"/>
                            <w:r w:rsidRPr="0034669A">
                              <w:rPr>
                                <w:rStyle w:val="Strong"/>
                                <w:rFonts w:ascii="Arial" w:hAnsi="Arial" w:cs="Arial"/>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From Hobby to Disorder: A Critical Analysis of the </w:t>
                            </w:r>
                            <w:proofErr w:type="spellStart"/>
                            <w:r w:rsidRPr="0034669A">
                              <w:rPr>
                                <w:rStyle w:val="Strong"/>
                                <w:rFonts w:ascii="Arial" w:hAnsi="Arial" w:cs="Arial"/>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Pathologisation</w:t>
                            </w:r>
                            <w:proofErr w:type="spellEnd"/>
                            <w:r w:rsidRPr="0034669A">
                              <w:rPr>
                                <w:rStyle w:val="Strong"/>
                                <w:rFonts w:ascii="Arial" w:hAnsi="Arial" w:cs="Arial"/>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of Problematic Gaming</w:t>
                            </w:r>
                            <w:bookmarkEnd w:id="2"/>
                          </w:p>
                          <w:p w:rsidR="0034669A" w:rsidRDefault="00FC7ACC">
                            <w:pPr>
                              <w:pStyle w:val="NoSpacing"/>
                              <w:jc w:val="center"/>
                              <w:rPr>
                                <w:rFonts w:asciiTheme="majorHAnsi" w:eastAsiaTheme="majorEastAsia" w:hAnsiTheme="majorHAnsi" w:cstheme="majorBidi"/>
                                <w:caps/>
                                <w:color w:val="5B9BD5" w:themeColor="accent1"/>
                                <w:sz w:val="72"/>
                                <w:szCs w:val="72"/>
                              </w:rPr>
                            </w:pPr>
                            <w:r>
                              <w:rPr>
                                <w:rStyle w:val="Strong"/>
                                <w:rFonts w:ascii="Segoe UI" w:hAnsi="Segoe UI" w:cs="Segoe UI"/>
                                <w:color w:val="0F1115"/>
                                <w:shd w:val="clear" w:color="auto" w:fill="FFFFFF"/>
                              </w:rPr>
                              <w:t>Student Name: Adnan Sayeed</w:t>
                            </w:r>
                            <w:bookmarkStart w:id="3" w:name="_GoBack"/>
                            <w:bookmarkEnd w:id="3"/>
                          </w:p>
                        </w:txbxContent>
                      </v:textbox>
                    </v:shape>
                    <w10:wrap anchorx="page" anchory="page"/>
                  </v:group>
                </w:pict>
              </mc:Fallback>
            </mc:AlternateContent>
          </w:r>
        </w:p>
        <w:p w:rsidR="006A64BE" w:rsidRPr="006A64BE" w:rsidRDefault="0034669A" w:rsidP="0034669A">
          <w:pPr>
            <w:rPr>
              <w:rFonts w:ascii="Arial" w:hAnsi="Arial" w:cs="Arial"/>
            </w:rPr>
          </w:pPr>
          <w:r>
            <w:rPr>
              <w:rFonts w:ascii="Arial" w:hAnsi="Arial" w:cs="Arial"/>
            </w:rPr>
            <w:br w:type="page"/>
          </w:r>
        </w:p>
      </w:sdtContent>
    </w:sdt>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sdt>
      <w:sdtPr>
        <w:id w:val="79209516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34669A" w:rsidRDefault="0034669A">
          <w:pPr>
            <w:pStyle w:val="TOCHeading"/>
          </w:pPr>
          <w:r>
            <w:t>Table of Contents</w:t>
          </w:r>
        </w:p>
        <w:p w:rsidR="0034669A" w:rsidRDefault="0034669A">
          <w:pPr>
            <w:pStyle w:val="TOC3"/>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13019084" w:history="1">
            <w:r w:rsidRPr="00DB0B37">
              <w:rPr>
                <w:rStyle w:val="Hyperlink"/>
                <w:rFonts w:ascii="Arial" w:hAnsi="Arial" w:cs="Arial"/>
                <w:noProof/>
              </w:rPr>
              <w:t>From Hobby to Disorder: A Critical Analysis of the Pathologisation of Problematic Gaming</w:t>
            </w:r>
            <w:r>
              <w:rPr>
                <w:noProof/>
                <w:webHidden/>
              </w:rPr>
              <w:tab/>
            </w:r>
            <w:r>
              <w:rPr>
                <w:noProof/>
                <w:webHidden/>
              </w:rPr>
              <w:fldChar w:fldCharType="begin"/>
            </w:r>
            <w:r>
              <w:rPr>
                <w:noProof/>
                <w:webHidden/>
              </w:rPr>
              <w:instrText xml:space="preserve"> PAGEREF _Toc213019084 \h </w:instrText>
            </w:r>
            <w:r>
              <w:rPr>
                <w:noProof/>
                <w:webHidden/>
              </w:rPr>
            </w:r>
            <w:r>
              <w:rPr>
                <w:noProof/>
                <w:webHidden/>
              </w:rPr>
              <w:fldChar w:fldCharType="separate"/>
            </w:r>
            <w:r>
              <w:rPr>
                <w:noProof/>
                <w:webHidden/>
              </w:rPr>
              <w:t>1</w:t>
            </w:r>
            <w:r>
              <w:rPr>
                <w:noProof/>
                <w:webHidden/>
              </w:rPr>
              <w:fldChar w:fldCharType="end"/>
            </w:r>
          </w:hyperlink>
        </w:p>
        <w:p w:rsidR="0034669A" w:rsidRDefault="0034669A">
          <w:pPr>
            <w:pStyle w:val="TOC1"/>
            <w:tabs>
              <w:tab w:val="right" w:leader="dot" w:pos="9350"/>
            </w:tabs>
            <w:rPr>
              <w:noProof/>
            </w:rPr>
          </w:pPr>
          <w:hyperlink w:anchor="_Toc213019085" w:history="1">
            <w:r w:rsidRPr="00DB0B37">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_Toc213019085 \h </w:instrText>
            </w:r>
            <w:r>
              <w:rPr>
                <w:noProof/>
                <w:webHidden/>
              </w:rPr>
            </w:r>
            <w:r>
              <w:rPr>
                <w:noProof/>
                <w:webHidden/>
              </w:rPr>
              <w:fldChar w:fldCharType="separate"/>
            </w:r>
            <w:r>
              <w:rPr>
                <w:noProof/>
                <w:webHidden/>
              </w:rPr>
              <w:t>3</w:t>
            </w:r>
            <w:r>
              <w:rPr>
                <w:noProof/>
                <w:webHidden/>
              </w:rPr>
              <w:fldChar w:fldCharType="end"/>
            </w:r>
          </w:hyperlink>
        </w:p>
        <w:p w:rsidR="0034669A" w:rsidRDefault="0034669A">
          <w:pPr>
            <w:pStyle w:val="TOC1"/>
            <w:tabs>
              <w:tab w:val="right" w:leader="dot" w:pos="9350"/>
            </w:tabs>
            <w:rPr>
              <w:noProof/>
            </w:rPr>
          </w:pPr>
          <w:hyperlink w:anchor="_Toc213019086" w:history="1">
            <w:r w:rsidRPr="00DB0B37">
              <w:rPr>
                <w:rStyle w:val="Hyperlink"/>
                <w:rFonts w:ascii="Arial" w:eastAsia="Times New Roman" w:hAnsi="Arial" w:cs="Arial"/>
                <w:noProof/>
              </w:rPr>
              <w:t>2. Historical and Social Context: From Moral Panic to Medicalization</w:t>
            </w:r>
            <w:r>
              <w:rPr>
                <w:noProof/>
                <w:webHidden/>
              </w:rPr>
              <w:tab/>
            </w:r>
            <w:r>
              <w:rPr>
                <w:noProof/>
                <w:webHidden/>
              </w:rPr>
              <w:fldChar w:fldCharType="begin"/>
            </w:r>
            <w:r>
              <w:rPr>
                <w:noProof/>
                <w:webHidden/>
              </w:rPr>
              <w:instrText xml:space="preserve"> PAGEREF _Toc213019086 \h </w:instrText>
            </w:r>
            <w:r>
              <w:rPr>
                <w:noProof/>
                <w:webHidden/>
              </w:rPr>
            </w:r>
            <w:r>
              <w:rPr>
                <w:noProof/>
                <w:webHidden/>
              </w:rPr>
              <w:fldChar w:fldCharType="separate"/>
            </w:r>
            <w:r>
              <w:rPr>
                <w:noProof/>
                <w:webHidden/>
              </w:rPr>
              <w:t>3</w:t>
            </w:r>
            <w:r>
              <w:rPr>
                <w:noProof/>
                <w:webHidden/>
              </w:rPr>
              <w:fldChar w:fldCharType="end"/>
            </w:r>
          </w:hyperlink>
        </w:p>
        <w:p w:rsidR="0034669A" w:rsidRDefault="0034669A">
          <w:pPr>
            <w:pStyle w:val="TOC2"/>
            <w:tabs>
              <w:tab w:val="right" w:leader="dot" w:pos="9350"/>
            </w:tabs>
            <w:rPr>
              <w:noProof/>
            </w:rPr>
          </w:pPr>
          <w:hyperlink w:anchor="_Toc213019087" w:history="1">
            <w:r w:rsidRPr="00DB0B37">
              <w:rPr>
                <w:rStyle w:val="Hyperlink"/>
                <w:rFonts w:ascii="Arial" w:hAnsi="Arial" w:cs="Arial"/>
                <w:noProof/>
              </w:rPr>
              <w:t>2.1. The Generational Divide and the Era of "Moral Panic"</w:t>
            </w:r>
            <w:r>
              <w:rPr>
                <w:noProof/>
                <w:webHidden/>
              </w:rPr>
              <w:tab/>
            </w:r>
            <w:r>
              <w:rPr>
                <w:noProof/>
                <w:webHidden/>
              </w:rPr>
              <w:fldChar w:fldCharType="begin"/>
            </w:r>
            <w:r>
              <w:rPr>
                <w:noProof/>
                <w:webHidden/>
              </w:rPr>
              <w:instrText xml:space="preserve"> PAGEREF _Toc213019087 \h </w:instrText>
            </w:r>
            <w:r>
              <w:rPr>
                <w:noProof/>
                <w:webHidden/>
              </w:rPr>
            </w:r>
            <w:r>
              <w:rPr>
                <w:noProof/>
                <w:webHidden/>
              </w:rPr>
              <w:fldChar w:fldCharType="separate"/>
            </w:r>
            <w:r>
              <w:rPr>
                <w:noProof/>
                <w:webHidden/>
              </w:rPr>
              <w:t>3</w:t>
            </w:r>
            <w:r>
              <w:rPr>
                <w:noProof/>
                <w:webHidden/>
              </w:rPr>
              <w:fldChar w:fldCharType="end"/>
            </w:r>
          </w:hyperlink>
        </w:p>
        <w:p w:rsidR="0034669A" w:rsidRDefault="0034669A">
          <w:pPr>
            <w:pStyle w:val="TOC2"/>
            <w:tabs>
              <w:tab w:val="right" w:leader="dot" w:pos="9350"/>
            </w:tabs>
            <w:rPr>
              <w:noProof/>
            </w:rPr>
          </w:pPr>
          <w:hyperlink w:anchor="_Toc213019088" w:history="1">
            <w:r w:rsidRPr="00DB0B37">
              <w:rPr>
                <w:rStyle w:val="Hyperlink"/>
                <w:rFonts w:ascii="Arial" w:hAnsi="Arial" w:cs="Arial"/>
                <w:noProof/>
              </w:rPr>
              <w:t>3. The ICD-11 and its Discontents: The Diagnostic Revolution</w:t>
            </w:r>
            <w:r>
              <w:rPr>
                <w:noProof/>
                <w:webHidden/>
              </w:rPr>
              <w:tab/>
            </w:r>
            <w:r>
              <w:rPr>
                <w:noProof/>
                <w:webHidden/>
              </w:rPr>
              <w:fldChar w:fldCharType="begin"/>
            </w:r>
            <w:r>
              <w:rPr>
                <w:noProof/>
                <w:webHidden/>
              </w:rPr>
              <w:instrText xml:space="preserve"> PAGEREF _Toc213019088 \h </w:instrText>
            </w:r>
            <w:r>
              <w:rPr>
                <w:noProof/>
                <w:webHidden/>
              </w:rPr>
            </w:r>
            <w:r>
              <w:rPr>
                <w:noProof/>
                <w:webHidden/>
              </w:rPr>
              <w:fldChar w:fldCharType="separate"/>
            </w:r>
            <w:r>
              <w:rPr>
                <w:noProof/>
                <w:webHidden/>
              </w:rPr>
              <w:t>5</w:t>
            </w:r>
            <w:r>
              <w:rPr>
                <w:noProof/>
                <w:webHidden/>
              </w:rPr>
              <w:fldChar w:fldCharType="end"/>
            </w:r>
          </w:hyperlink>
        </w:p>
        <w:p w:rsidR="0034669A" w:rsidRDefault="0034669A">
          <w:pPr>
            <w:pStyle w:val="TOC1"/>
            <w:tabs>
              <w:tab w:val="right" w:leader="dot" w:pos="9350"/>
            </w:tabs>
            <w:rPr>
              <w:noProof/>
            </w:rPr>
          </w:pPr>
          <w:hyperlink w:anchor="_Toc213019089" w:history="1">
            <w:r w:rsidRPr="00DB0B37">
              <w:rPr>
                <w:rStyle w:val="Hyperlink"/>
                <w:rFonts w:ascii="Arial" w:hAnsi="Arial" w:cs="Arial"/>
                <w:noProof/>
              </w:rPr>
              <w:t>4. The Provision of Care and the Current Understanding</w:t>
            </w:r>
            <w:r>
              <w:rPr>
                <w:noProof/>
                <w:webHidden/>
              </w:rPr>
              <w:tab/>
            </w:r>
            <w:r>
              <w:rPr>
                <w:noProof/>
                <w:webHidden/>
              </w:rPr>
              <w:fldChar w:fldCharType="begin"/>
            </w:r>
            <w:r>
              <w:rPr>
                <w:noProof/>
                <w:webHidden/>
              </w:rPr>
              <w:instrText xml:space="preserve"> PAGEREF _Toc213019089 \h </w:instrText>
            </w:r>
            <w:r>
              <w:rPr>
                <w:noProof/>
                <w:webHidden/>
              </w:rPr>
            </w:r>
            <w:r>
              <w:rPr>
                <w:noProof/>
                <w:webHidden/>
              </w:rPr>
              <w:fldChar w:fldCharType="separate"/>
            </w:r>
            <w:r>
              <w:rPr>
                <w:noProof/>
                <w:webHidden/>
              </w:rPr>
              <w:t>6</w:t>
            </w:r>
            <w:r>
              <w:rPr>
                <w:noProof/>
                <w:webHidden/>
              </w:rPr>
              <w:fldChar w:fldCharType="end"/>
            </w:r>
          </w:hyperlink>
        </w:p>
        <w:p w:rsidR="0034669A" w:rsidRDefault="0034669A">
          <w:pPr>
            <w:pStyle w:val="TOC1"/>
            <w:tabs>
              <w:tab w:val="right" w:leader="dot" w:pos="9350"/>
            </w:tabs>
            <w:rPr>
              <w:noProof/>
            </w:rPr>
          </w:pPr>
          <w:hyperlink w:anchor="_Toc213019090" w:history="1">
            <w:r w:rsidRPr="00DB0B37">
              <w:rPr>
                <w:rStyle w:val="Hyperlink"/>
                <w:rFonts w:ascii="Arial" w:hAnsi="Arial" w:cs="Arial"/>
                <w:noProof/>
              </w:rPr>
              <w:t>5. Critical Analysis: Inequality, Commercial Conflict, and Unique Stigmas</w:t>
            </w:r>
            <w:r>
              <w:rPr>
                <w:noProof/>
                <w:webHidden/>
              </w:rPr>
              <w:tab/>
            </w:r>
            <w:r>
              <w:rPr>
                <w:noProof/>
                <w:webHidden/>
              </w:rPr>
              <w:fldChar w:fldCharType="begin"/>
            </w:r>
            <w:r>
              <w:rPr>
                <w:noProof/>
                <w:webHidden/>
              </w:rPr>
              <w:instrText xml:space="preserve"> PAGEREF _Toc213019090 \h </w:instrText>
            </w:r>
            <w:r>
              <w:rPr>
                <w:noProof/>
                <w:webHidden/>
              </w:rPr>
            </w:r>
            <w:r>
              <w:rPr>
                <w:noProof/>
                <w:webHidden/>
              </w:rPr>
              <w:fldChar w:fldCharType="separate"/>
            </w:r>
            <w:r>
              <w:rPr>
                <w:noProof/>
                <w:webHidden/>
              </w:rPr>
              <w:t>7</w:t>
            </w:r>
            <w:r>
              <w:rPr>
                <w:noProof/>
                <w:webHidden/>
              </w:rPr>
              <w:fldChar w:fldCharType="end"/>
            </w:r>
          </w:hyperlink>
        </w:p>
        <w:p w:rsidR="0034669A" w:rsidRDefault="0034669A">
          <w:pPr>
            <w:pStyle w:val="TOC1"/>
            <w:tabs>
              <w:tab w:val="right" w:leader="dot" w:pos="9350"/>
            </w:tabs>
            <w:rPr>
              <w:noProof/>
            </w:rPr>
          </w:pPr>
          <w:hyperlink w:anchor="_Toc213019091" w:history="1">
            <w:r w:rsidRPr="00DB0B37">
              <w:rPr>
                <w:rStyle w:val="Hyperlink"/>
                <w:rFonts w:ascii="Arial" w:hAnsi="Arial" w:cs="Arial"/>
                <w:noProof/>
              </w:rPr>
              <w:t>6. Suggestions for Future Policy and Practice</w:t>
            </w:r>
            <w:r>
              <w:rPr>
                <w:noProof/>
                <w:webHidden/>
              </w:rPr>
              <w:tab/>
            </w:r>
            <w:r>
              <w:rPr>
                <w:noProof/>
                <w:webHidden/>
              </w:rPr>
              <w:fldChar w:fldCharType="begin"/>
            </w:r>
            <w:r>
              <w:rPr>
                <w:noProof/>
                <w:webHidden/>
              </w:rPr>
              <w:instrText xml:space="preserve"> PAGEREF _Toc213019091 \h </w:instrText>
            </w:r>
            <w:r>
              <w:rPr>
                <w:noProof/>
                <w:webHidden/>
              </w:rPr>
            </w:r>
            <w:r>
              <w:rPr>
                <w:noProof/>
                <w:webHidden/>
              </w:rPr>
              <w:fldChar w:fldCharType="separate"/>
            </w:r>
            <w:r>
              <w:rPr>
                <w:noProof/>
                <w:webHidden/>
              </w:rPr>
              <w:t>8</w:t>
            </w:r>
            <w:r>
              <w:rPr>
                <w:noProof/>
                <w:webHidden/>
              </w:rPr>
              <w:fldChar w:fldCharType="end"/>
            </w:r>
          </w:hyperlink>
        </w:p>
        <w:p w:rsidR="0034669A" w:rsidRDefault="0034669A">
          <w:pPr>
            <w:pStyle w:val="TOC1"/>
            <w:tabs>
              <w:tab w:val="right" w:leader="dot" w:pos="9350"/>
            </w:tabs>
            <w:rPr>
              <w:noProof/>
            </w:rPr>
          </w:pPr>
          <w:hyperlink w:anchor="_Toc213019092" w:history="1">
            <w:r w:rsidRPr="00DB0B37">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_Toc213019092 \h </w:instrText>
            </w:r>
            <w:r>
              <w:rPr>
                <w:noProof/>
                <w:webHidden/>
              </w:rPr>
            </w:r>
            <w:r>
              <w:rPr>
                <w:noProof/>
                <w:webHidden/>
              </w:rPr>
              <w:fldChar w:fldCharType="separate"/>
            </w:r>
            <w:r>
              <w:rPr>
                <w:noProof/>
                <w:webHidden/>
              </w:rPr>
              <w:t>9</w:t>
            </w:r>
            <w:r>
              <w:rPr>
                <w:noProof/>
                <w:webHidden/>
              </w:rPr>
              <w:fldChar w:fldCharType="end"/>
            </w:r>
          </w:hyperlink>
        </w:p>
        <w:p w:rsidR="0034669A" w:rsidRDefault="0034669A">
          <w:pPr>
            <w:pStyle w:val="TOC1"/>
            <w:tabs>
              <w:tab w:val="right" w:leader="dot" w:pos="9350"/>
            </w:tabs>
            <w:rPr>
              <w:noProof/>
            </w:rPr>
          </w:pPr>
          <w:hyperlink w:anchor="_Toc213019093" w:history="1">
            <w:r w:rsidRPr="00DB0B37">
              <w:rPr>
                <w:rStyle w:val="Hyperlink"/>
                <w:rFonts w:ascii="Arial" w:hAnsi="Arial" w:cs="Arial"/>
                <w:noProof/>
              </w:rPr>
              <w:t>7. Reference</w:t>
            </w:r>
            <w:r>
              <w:rPr>
                <w:noProof/>
                <w:webHidden/>
              </w:rPr>
              <w:tab/>
            </w:r>
            <w:r>
              <w:rPr>
                <w:noProof/>
                <w:webHidden/>
              </w:rPr>
              <w:fldChar w:fldCharType="begin"/>
            </w:r>
            <w:r>
              <w:rPr>
                <w:noProof/>
                <w:webHidden/>
              </w:rPr>
              <w:instrText xml:space="preserve"> PAGEREF _Toc213019093 \h </w:instrText>
            </w:r>
            <w:r>
              <w:rPr>
                <w:noProof/>
                <w:webHidden/>
              </w:rPr>
            </w:r>
            <w:r>
              <w:rPr>
                <w:noProof/>
                <w:webHidden/>
              </w:rPr>
              <w:fldChar w:fldCharType="separate"/>
            </w:r>
            <w:r>
              <w:rPr>
                <w:noProof/>
                <w:webHidden/>
              </w:rPr>
              <w:t>10</w:t>
            </w:r>
            <w:r>
              <w:rPr>
                <w:noProof/>
                <w:webHidden/>
              </w:rPr>
              <w:fldChar w:fldCharType="end"/>
            </w:r>
          </w:hyperlink>
        </w:p>
        <w:p w:rsidR="0034669A" w:rsidRDefault="0034669A">
          <w:r>
            <w:rPr>
              <w:b/>
              <w:bCs/>
              <w:noProof/>
            </w:rPr>
            <w:fldChar w:fldCharType="end"/>
          </w:r>
        </w:p>
      </w:sdtContent>
    </w:sdt>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6A64BE" w:rsidRPr="006A64BE" w:rsidRDefault="006A64BE"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3F3447" w:rsidRDefault="003F3447" w:rsidP="006A64BE">
      <w:pPr>
        <w:spacing w:after="0" w:line="360" w:lineRule="auto"/>
        <w:rPr>
          <w:rFonts w:ascii="Arial" w:eastAsia="Times New Roman" w:hAnsi="Arial" w:cs="Arial"/>
        </w:rPr>
      </w:pPr>
      <w:bookmarkStart w:id="4" w:name="_Toc213019085"/>
      <w:r w:rsidRPr="006A64BE">
        <w:rPr>
          <w:rStyle w:val="Heading1Char"/>
          <w:rFonts w:ascii="Arial" w:hAnsi="Arial" w:cs="Arial"/>
          <w:sz w:val="22"/>
          <w:szCs w:val="22"/>
        </w:rPr>
        <w:t>1. Introduction</w:t>
      </w:r>
      <w:bookmarkEnd w:id="4"/>
      <w:r w:rsidRPr="003F3447">
        <w:rPr>
          <w:rFonts w:ascii="Arial" w:eastAsia="Times New Roman" w:hAnsi="Arial" w:cs="Arial"/>
        </w:rPr>
        <w:br/>
      </w:r>
      <w:proofErr w:type="gramStart"/>
      <w:r w:rsidRPr="003F3447">
        <w:rPr>
          <w:rFonts w:ascii="Arial" w:eastAsia="Times New Roman" w:hAnsi="Arial" w:cs="Arial"/>
        </w:rPr>
        <w:t>A</w:t>
      </w:r>
      <w:proofErr w:type="gramEnd"/>
      <w:r w:rsidRPr="003F3447">
        <w:rPr>
          <w:rFonts w:ascii="Arial" w:eastAsia="Times New Roman" w:hAnsi="Arial" w:cs="Arial"/>
        </w:rPr>
        <w:t xml:space="preserve"> new frontier in mental health has emerged as a result of the rapid integration of digital technology into daily life: the phenomenon of problematic engagement with the internet and video games. In 2019, the World Health Organization (WHO) formally acknowledged this issue by incorporating Gaming Disorder (6C51) into the 11th revision of the International Classification of Diseases (ICD-11). It is defined by a pattern of persistent or recurrent gaming behavior, which is characterized by impaired control over gaming, an increasing priority of gaming over other life interests and daily activities, and the continuation or escalation of gaming despite the occurrence of negative consequences (WHO, 2019). </w:t>
      </w:r>
      <w:r w:rsidRPr="003F3447">
        <w:rPr>
          <w:rFonts w:ascii="Arial" w:eastAsia="Times New Roman" w:hAnsi="Arial" w:cs="Arial"/>
        </w:rPr>
        <w:br/>
      </w:r>
      <w:r w:rsidRPr="003F3447">
        <w:rPr>
          <w:rFonts w:ascii="Arial" w:eastAsia="Times New Roman" w:hAnsi="Arial" w:cs="Arial"/>
        </w:rPr>
        <w:br/>
        <w:t>This report will offer a critical examination of the progression of problematic gaming from a perceived moral failing of sloth to a formal diagnostic status. This trajectory provides a compelling case study of how society addresses and medicalizes new behavioral patterns that are the result of technological advancement. The historical and social context that preceded the medical diagnosis will be the first focus of the analysis. It will subsequently conduct a critical analysis of the diagnostic revolution that the ICD-11 has instigated, examining the intense debates it has provoked. Subsequently, the report will explore the current biopsychosocial comprehension of the condition and the developing treatment landscape. A critical analysis will subsequently address the distinctive stigmas, commercial influences, and treatment inequalities that are associated with Gaming Disorder. Subsequently, the report will conclude with prospective suggestions for research, practice, and policy.</w:t>
      </w:r>
    </w:p>
    <w:p w:rsidR="003F3447" w:rsidRPr="006A64BE" w:rsidRDefault="003F3447" w:rsidP="006A64BE">
      <w:pPr>
        <w:spacing w:line="360" w:lineRule="auto"/>
        <w:rPr>
          <w:rFonts w:ascii="Arial" w:hAnsi="Arial" w:cs="Arial"/>
        </w:rPr>
      </w:pPr>
    </w:p>
    <w:p w:rsidR="006A64BE" w:rsidRPr="006A64BE" w:rsidRDefault="003F3447" w:rsidP="006A64BE">
      <w:pPr>
        <w:pStyle w:val="Heading1"/>
        <w:spacing w:line="360" w:lineRule="auto"/>
        <w:rPr>
          <w:rFonts w:ascii="Arial" w:eastAsia="Times New Roman" w:hAnsi="Arial" w:cs="Arial"/>
          <w:sz w:val="22"/>
          <w:szCs w:val="22"/>
        </w:rPr>
      </w:pPr>
      <w:bookmarkStart w:id="5" w:name="_Toc213019086"/>
      <w:r w:rsidRPr="006A64BE">
        <w:rPr>
          <w:rFonts w:ascii="Arial" w:eastAsia="Times New Roman" w:hAnsi="Arial" w:cs="Arial"/>
          <w:sz w:val="22"/>
          <w:szCs w:val="22"/>
        </w:rPr>
        <w:t>2. Historical and Social Context: From Moral Panic to Medicalization</w:t>
      </w:r>
      <w:bookmarkEnd w:id="5"/>
      <w:r w:rsidRPr="006A64BE">
        <w:rPr>
          <w:rFonts w:ascii="Arial" w:eastAsia="Times New Roman" w:hAnsi="Arial" w:cs="Arial"/>
          <w:sz w:val="22"/>
          <w:szCs w:val="22"/>
        </w:rPr>
        <w:t xml:space="preserve">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For decades, the comprehension of technology usage patterns was primarily based on social and moral considerations, rather than medical ones.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r>
      <w:r w:rsidRPr="003F3447">
        <w:rPr>
          <w:rFonts w:ascii="Arial" w:eastAsia="Times New Roman" w:hAnsi="Arial" w:cs="Arial"/>
        </w:rPr>
        <w:br/>
      </w:r>
      <w:bookmarkStart w:id="6" w:name="_Toc213019087"/>
      <w:r w:rsidRPr="006A64BE">
        <w:rPr>
          <w:rStyle w:val="Heading2Char"/>
          <w:rFonts w:ascii="Arial" w:hAnsi="Arial" w:cs="Arial"/>
          <w:sz w:val="22"/>
          <w:szCs w:val="22"/>
        </w:rPr>
        <w:t>2.1. The Generational Divide and the Era of "Moral Panic"</w:t>
      </w:r>
      <w:bookmarkEnd w:id="6"/>
      <w:r w:rsidRPr="003F3447">
        <w:rPr>
          <w:rFonts w:ascii="Arial" w:eastAsia="Times New Roman" w:hAnsi="Arial" w:cs="Arial"/>
        </w:rPr>
        <w:t xml:space="preserve">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Throughout history, societal anxiety and "moral panic" have frequently been the result of excessive engagement with new media forms, such as comic books in the 1950s and television </w:t>
      </w:r>
      <w:r w:rsidRPr="003F3447">
        <w:rPr>
          <w:rFonts w:ascii="Arial" w:eastAsia="Times New Roman" w:hAnsi="Arial" w:cs="Arial"/>
        </w:rPr>
        <w:lastRenderedPageBreak/>
        <w:t>in the 1980s (</w:t>
      </w:r>
      <w:proofErr w:type="spellStart"/>
      <w:r w:rsidRPr="003F3447">
        <w:rPr>
          <w:rFonts w:ascii="Arial" w:eastAsia="Times New Roman" w:hAnsi="Arial" w:cs="Arial"/>
        </w:rPr>
        <w:t>Critcher</w:t>
      </w:r>
      <w:proofErr w:type="spellEnd"/>
      <w:r w:rsidRPr="003F3447">
        <w:rPr>
          <w:rFonts w:ascii="Arial" w:eastAsia="Times New Roman" w:hAnsi="Arial" w:cs="Arial"/>
        </w:rPr>
        <w:t xml:space="preserve">, 2008). This context was the initial context in which problematic gaming was framed. It was regarded as a sign of sloth and poor discipline, a waste of time, or a harmful habit, particularly among adolescents. The profound engagement and potential distress experienced by individuals were trivialized as a result of this generational divide. Parents and educators were advised to impose more stringent time limits, disregarding the potential psychological compulsions that may be underlying the behavior. The absence of formal support structures and a lack of clinical comprehension characterized this period, resulting in individuals and families being left to navigate the issue independently. </w:t>
      </w:r>
      <w:r w:rsidRPr="003F3447">
        <w:rPr>
          <w:rFonts w:ascii="Arial" w:eastAsia="Times New Roman" w:hAnsi="Arial" w:cs="Arial"/>
        </w:rPr>
        <w:br/>
      </w:r>
      <w:r w:rsidRPr="003F3447">
        <w:rPr>
          <w:rFonts w:ascii="Arial" w:eastAsia="Times New Roman" w:hAnsi="Arial" w:cs="Arial"/>
        </w:rPr>
        <w:br/>
      </w:r>
      <w:r w:rsidRPr="006A64BE">
        <w:rPr>
          <w:rStyle w:val="Heading2Char"/>
          <w:rFonts w:ascii="Arial" w:hAnsi="Arial" w:cs="Arial"/>
          <w:sz w:val="22"/>
          <w:szCs w:val="22"/>
        </w:rPr>
        <w:t>2.2. The Impact of the Growth of the Internet and Gaming Industry</w:t>
      </w:r>
      <w:r w:rsidRPr="003F3447">
        <w:rPr>
          <w:rFonts w:ascii="Arial" w:eastAsia="Times New Roman" w:hAnsi="Arial" w:cs="Arial"/>
        </w:rPr>
        <w:t xml:space="preserve">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The context of problematic use was profoundly altered by the transition of gaming from a niche hobby to a dominant global industry. Massively Multiplayer Online Role-Playing Games (MMORPGs) and, latterly, competitive </w:t>
      </w:r>
      <w:proofErr w:type="spellStart"/>
      <w:r w:rsidRPr="003F3447">
        <w:rPr>
          <w:rFonts w:ascii="Arial" w:eastAsia="Times New Roman" w:hAnsi="Arial" w:cs="Arial"/>
        </w:rPr>
        <w:t>esports</w:t>
      </w:r>
      <w:proofErr w:type="spellEnd"/>
      <w:r w:rsidRPr="003F3447">
        <w:rPr>
          <w:rFonts w:ascii="Arial" w:eastAsia="Times New Roman" w:hAnsi="Arial" w:cs="Arial"/>
        </w:rPr>
        <w:t xml:space="preserve"> and mobile gaming, were facilitated by the emergence of the internet. It was of the utmost importance that business models transitioned from one-time purchases to "games-as-a-service," which included design elements that were specifically engineered to increase engagement and expenditure. Variable ratio reinforcement schedules—a psychological principle that is highly addictive and is similar to that employed in slot machines—are the foundation of features such as treasure boxes (virtual items with randomized contents), battle passes, and limitless progression systems (King &amp; </w:t>
      </w:r>
      <w:proofErr w:type="spellStart"/>
      <w:r w:rsidRPr="003F3447">
        <w:rPr>
          <w:rFonts w:ascii="Arial" w:eastAsia="Times New Roman" w:hAnsi="Arial" w:cs="Arial"/>
        </w:rPr>
        <w:t>Delfabbro</w:t>
      </w:r>
      <w:proofErr w:type="spellEnd"/>
      <w:r w:rsidRPr="003F3447">
        <w:rPr>
          <w:rFonts w:ascii="Arial" w:eastAsia="Times New Roman" w:hAnsi="Arial" w:cs="Arial"/>
        </w:rPr>
        <w:t xml:space="preserve">, 2018). Through this commercialization, an environment was established in which excessive play was not merely a user preference, but rather a behavior that was actively promoted and monetized by corporate design. </w:t>
      </w:r>
      <w:r w:rsidRPr="003F3447">
        <w:rPr>
          <w:rFonts w:ascii="Arial" w:eastAsia="Times New Roman" w:hAnsi="Arial" w:cs="Arial"/>
        </w:rPr>
        <w:br/>
      </w:r>
      <w:r w:rsidRPr="003F3447">
        <w:rPr>
          <w:rFonts w:ascii="Arial" w:eastAsia="Times New Roman" w:hAnsi="Arial" w:cs="Arial"/>
        </w:rPr>
        <w:br/>
      </w:r>
      <w:r w:rsidRPr="006A64BE">
        <w:rPr>
          <w:rStyle w:val="Heading2Char"/>
          <w:rFonts w:ascii="Arial" w:hAnsi="Arial" w:cs="Arial"/>
          <w:sz w:val="22"/>
          <w:szCs w:val="22"/>
        </w:rPr>
        <w:t>2.3. A Conceptual Void: The Pre-Diagnostic Landscape</w:t>
      </w:r>
      <w:r w:rsidRPr="003F3447">
        <w:rPr>
          <w:rFonts w:ascii="Arial" w:eastAsia="Times New Roman" w:hAnsi="Arial" w:cs="Arial"/>
        </w:rPr>
        <w:t xml:space="preserve"> </w:t>
      </w:r>
    </w:p>
    <w:p w:rsidR="003F3447"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Clinicians were without a standardized framework for diagnosing severe cases prior to the implementation of the ICD-11. Despite the fact that terms such as "video game addiction" were employed in colloquial and research contexts, treatment access was inconsistent due to the absence of official diagnostic criteria. Insurance companies refused to reimburse for treatment, and research funding was restricted. Patients who presented with symptoms were frequently misdiagnosed with conditions such as ADHD, social anxiety, or depression, which, although frequently co-morbid, failed to capture the fundamental behavioral pathology. This conceptual </w:t>
      </w:r>
      <w:r w:rsidRPr="003F3447">
        <w:rPr>
          <w:rFonts w:ascii="Arial" w:eastAsia="Times New Roman" w:hAnsi="Arial" w:cs="Arial"/>
        </w:rPr>
        <w:lastRenderedPageBreak/>
        <w:t>vacuum resulted in a substantial deficit in healthcare provision and exacerbated the stigma, as the lack of a formal diagnosis implicitly reinforced the notion that it was not a "real" disorder.</w:t>
      </w:r>
    </w:p>
    <w:p w:rsidR="006A64BE" w:rsidRPr="006A64BE" w:rsidRDefault="006A64BE" w:rsidP="006A64BE">
      <w:pPr>
        <w:spacing w:line="360" w:lineRule="auto"/>
        <w:rPr>
          <w:rFonts w:ascii="Arial" w:hAnsi="Arial" w:cs="Arial"/>
        </w:rPr>
      </w:pPr>
    </w:p>
    <w:p w:rsidR="006A64BE" w:rsidRPr="006A64BE" w:rsidRDefault="003F3447" w:rsidP="006A64BE">
      <w:pPr>
        <w:spacing w:after="0" w:line="360" w:lineRule="auto"/>
        <w:rPr>
          <w:rStyle w:val="Heading2Char"/>
          <w:rFonts w:ascii="Arial" w:hAnsi="Arial" w:cs="Arial"/>
          <w:sz w:val="22"/>
          <w:szCs w:val="22"/>
        </w:rPr>
      </w:pPr>
      <w:bookmarkStart w:id="7" w:name="_Toc213019088"/>
      <w:r w:rsidRPr="006A64BE">
        <w:rPr>
          <w:rStyle w:val="Heading2Char"/>
          <w:rFonts w:ascii="Arial" w:hAnsi="Arial" w:cs="Arial"/>
          <w:sz w:val="22"/>
          <w:szCs w:val="22"/>
        </w:rPr>
        <w:t>3. The ICD-11 and its Discontents: The Diagnostic Revolution</w:t>
      </w:r>
      <w:bookmarkEnd w:id="7"/>
      <w:r w:rsidRPr="006A64BE">
        <w:rPr>
          <w:rStyle w:val="Heading2Char"/>
          <w:rFonts w:ascii="Arial" w:hAnsi="Arial" w:cs="Arial"/>
          <w:sz w:val="22"/>
          <w:szCs w:val="22"/>
        </w:rPr>
        <w:t xml:space="preserve">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The inclusion of Gaming Disorder in the ICD-11 represented a significant paradigm shift; however, it was and continues to be a topic of intense controversy. </w:t>
      </w:r>
      <w:r w:rsidRPr="003F3447">
        <w:rPr>
          <w:rFonts w:ascii="Arial" w:eastAsia="Times New Roman" w:hAnsi="Arial" w:cs="Arial"/>
        </w:rPr>
        <w:br/>
      </w:r>
      <w:r w:rsidRPr="003F3447">
        <w:rPr>
          <w:rFonts w:ascii="Arial" w:eastAsia="Times New Roman" w:hAnsi="Arial" w:cs="Arial"/>
        </w:rPr>
        <w:br/>
      </w:r>
      <w:r w:rsidRPr="006A64BE">
        <w:rPr>
          <w:rStyle w:val="Heading2Char"/>
          <w:rFonts w:ascii="Arial" w:hAnsi="Arial" w:cs="Arial"/>
          <w:sz w:val="22"/>
          <w:szCs w:val="22"/>
        </w:rPr>
        <w:t>3.1. The Critical Inclusion in ICD-11</w:t>
      </w:r>
      <w:r w:rsidRPr="003F3447">
        <w:rPr>
          <w:rFonts w:ascii="Arial" w:eastAsia="Times New Roman" w:hAnsi="Arial" w:cs="Arial"/>
        </w:rPr>
        <w:t xml:space="preserve"> </w:t>
      </w:r>
    </w:p>
    <w:p w:rsidR="006A64BE" w:rsidRPr="006A64BE" w:rsidRDefault="003F3447" w:rsidP="006A64BE">
      <w:pPr>
        <w:pStyle w:val="ListParagraph"/>
        <w:numPr>
          <w:ilvl w:val="0"/>
          <w:numId w:val="2"/>
        </w:numPr>
        <w:spacing w:after="0" w:line="360" w:lineRule="auto"/>
        <w:rPr>
          <w:rFonts w:ascii="Arial" w:eastAsia="Times New Roman" w:hAnsi="Arial" w:cs="Arial"/>
        </w:rPr>
      </w:pPr>
      <w:r w:rsidRPr="006A64BE">
        <w:rPr>
          <w:rFonts w:ascii="Arial" w:eastAsia="Times New Roman" w:hAnsi="Arial" w:cs="Arial"/>
        </w:rPr>
        <w:t xml:space="preserve">The World Health Organization's determination was predicated on an assessment of existing evidence and a global consensus-building process among experts. The formal criteria for Gaming Disorder (6C51) necessitate a pattern of behavior that is severe enough to cause a substantial impairment in personal, family, social, educational, occupational, or other critical areas of functioning. This pattern should be apparent for a minimum of 12 months, although the duration may be reduced if all diagnostic requirements are satisfied and symptoms are severe (WHO, 2019). This facilitated the necessary standardization of treatment protocols, research, and diagnosis. </w:t>
      </w:r>
      <w:r w:rsidRPr="006A64BE">
        <w:rPr>
          <w:rFonts w:ascii="Arial" w:eastAsia="Times New Roman" w:hAnsi="Arial" w:cs="Arial"/>
        </w:rPr>
        <w:br/>
      </w:r>
      <w:r w:rsidRPr="006A64BE">
        <w:rPr>
          <w:rFonts w:ascii="Arial" w:eastAsia="Times New Roman" w:hAnsi="Arial" w:cs="Arial"/>
        </w:rPr>
        <w:br/>
      </w:r>
      <w:r w:rsidRPr="006A64BE">
        <w:rPr>
          <w:rStyle w:val="Heading2Char"/>
          <w:rFonts w:ascii="Arial" w:hAnsi="Arial" w:cs="Arial"/>
          <w:sz w:val="22"/>
          <w:szCs w:val="22"/>
        </w:rPr>
        <w:t xml:space="preserve">3.2. The Scientific and Scholarly Debate </w:t>
      </w:r>
      <w:r w:rsidRPr="006A64BE">
        <w:rPr>
          <w:rFonts w:ascii="Arial" w:eastAsia="Times New Roman" w:hAnsi="Arial" w:cs="Arial"/>
        </w:rPr>
        <w:br/>
      </w:r>
      <w:proofErr w:type="gramStart"/>
      <w:r w:rsidRPr="006A64BE">
        <w:rPr>
          <w:rFonts w:ascii="Arial" w:eastAsia="Times New Roman" w:hAnsi="Arial" w:cs="Arial"/>
        </w:rPr>
        <w:t>A</w:t>
      </w:r>
      <w:proofErr w:type="gramEnd"/>
      <w:r w:rsidRPr="006A64BE">
        <w:rPr>
          <w:rFonts w:ascii="Arial" w:eastAsia="Times New Roman" w:hAnsi="Arial" w:cs="Arial"/>
        </w:rPr>
        <w:t xml:space="preserve"> contingent of academicians and segments of the gaming industry expressed substantial opposition to the decision. The primary criticism is centered on the potential for imprudent </w:t>
      </w:r>
      <w:proofErr w:type="spellStart"/>
      <w:r w:rsidRPr="006A64BE">
        <w:rPr>
          <w:rFonts w:ascii="Arial" w:eastAsia="Times New Roman" w:hAnsi="Arial" w:cs="Arial"/>
        </w:rPr>
        <w:t>pathologization</w:t>
      </w:r>
      <w:proofErr w:type="spellEnd"/>
      <w:r w:rsidRPr="006A64BE">
        <w:rPr>
          <w:rFonts w:ascii="Arial" w:eastAsia="Times New Roman" w:hAnsi="Arial" w:cs="Arial"/>
        </w:rPr>
        <w:t xml:space="preserve"> and low-quality ev</w:t>
      </w:r>
      <w:r w:rsidR="006A64BE" w:rsidRPr="006A64BE">
        <w:rPr>
          <w:rFonts w:ascii="Arial" w:eastAsia="Times New Roman" w:hAnsi="Arial" w:cs="Arial"/>
        </w:rPr>
        <w:t xml:space="preserve">idence. Critics contend that: </w:t>
      </w:r>
    </w:p>
    <w:p w:rsidR="006A64BE" w:rsidRPr="006A64BE" w:rsidRDefault="003F3447" w:rsidP="006A64BE">
      <w:pPr>
        <w:pStyle w:val="ListParagraph"/>
        <w:numPr>
          <w:ilvl w:val="0"/>
          <w:numId w:val="2"/>
        </w:numPr>
        <w:spacing w:after="0" w:line="360" w:lineRule="auto"/>
        <w:rPr>
          <w:rFonts w:ascii="Arial" w:eastAsia="Times New Roman" w:hAnsi="Arial" w:cs="Arial"/>
        </w:rPr>
      </w:pPr>
      <w:r w:rsidRPr="006A64BE">
        <w:rPr>
          <w:rFonts w:ascii="Arial" w:eastAsia="Times New Roman" w:hAnsi="Arial" w:cs="Arial"/>
        </w:rPr>
        <w:t xml:space="preserve">The current research is frequently founded on self-report measures and non-representative samples, which </w:t>
      </w:r>
      <w:proofErr w:type="spellStart"/>
      <w:r w:rsidRPr="006A64BE">
        <w:rPr>
          <w:rFonts w:ascii="Arial" w:eastAsia="Times New Roman" w:hAnsi="Arial" w:cs="Arial"/>
        </w:rPr>
        <w:t>pathologize</w:t>
      </w:r>
      <w:proofErr w:type="spellEnd"/>
      <w:r w:rsidRPr="006A64BE">
        <w:rPr>
          <w:rFonts w:ascii="Arial" w:eastAsia="Times New Roman" w:hAnsi="Arial" w:cs="Arial"/>
        </w:rPr>
        <w:t xml:space="preserve"> high engagement rather than clinical impai</w:t>
      </w:r>
      <w:r w:rsidR="006A64BE" w:rsidRPr="006A64BE">
        <w:rPr>
          <w:rFonts w:ascii="Arial" w:eastAsia="Times New Roman" w:hAnsi="Arial" w:cs="Arial"/>
        </w:rPr>
        <w:t>rment (</w:t>
      </w:r>
      <w:proofErr w:type="spellStart"/>
      <w:r w:rsidR="006A64BE" w:rsidRPr="006A64BE">
        <w:rPr>
          <w:rFonts w:ascii="Arial" w:eastAsia="Times New Roman" w:hAnsi="Arial" w:cs="Arial"/>
        </w:rPr>
        <w:t>Aarseth</w:t>
      </w:r>
      <w:proofErr w:type="spellEnd"/>
      <w:r w:rsidR="006A64BE" w:rsidRPr="006A64BE">
        <w:rPr>
          <w:rFonts w:ascii="Arial" w:eastAsia="Times New Roman" w:hAnsi="Arial" w:cs="Arial"/>
        </w:rPr>
        <w:t xml:space="preserve"> et al., 2017). </w:t>
      </w:r>
    </w:p>
    <w:p w:rsidR="006A64BE" w:rsidRPr="006A64BE" w:rsidRDefault="003F3447" w:rsidP="006A64BE">
      <w:pPr>
        <w:pStyle w:val="ListParagraph"/>
        <w:numPr>
          <w:ilvl w:val="0"/>
          <w:numId w:val="2"/>
        </w:numPr>
        <w:spacing w:after="0" w:line="360" w:lineRule="auto"/>
        <w:rPr>
          <w:rFonts w:ascii="Arial" w:eastAsia="Times New Roman" w:hAnsi="Arial" w:cs="Arial"/>
        </w:rPr>
      </w:pPr>
      <w:r w:rsidRPr="006A64BE">
        <w:rPr>
          <w:rFonts w:ascii="Arial" w:eastAsia="Times New Roman" w:hAnsi="Arial" w:cs="Arial"/>
        </w:rPr>
        <w:t>The formalization of the diagnosis may result in a "screening effect," in which concerned well-informed or highly engaged gamers are mistakenly classified as having a disorder, resulting in un</w:t>
      </w:r>
      <w:r w:rsidR="006A64BE" w:rsidRPr="006A64BE">
        <w:rPr>
          <w:rFonts w:ascii="Arial" w:eastAsia="Times New Roman" w:hAnsi="Arial" w:cs="Arial"/>
        </w:rPr>
        <w:t xml:space="preserve">necessary anxiety and stigma. </w:t>
      </w:r>
    </w:p>
    <w:p w:rsidR="006A64BE" w:rsidRPr="006A64BE" w:rsidRDefault="003F3447" w:rsidP="006A64BE">
      <w:pPr>
        <w:pStyle w:val="ListParagraph"/>
        <w:numPr>
          <w:ilvl w:val="0"/>
          <w:numId w:val="2"/>
        </w:numPr>
        <w:spacing w:after="0" w:line="360" w:lineRule="auto"/>
        <w:rPr>
          <w:rFonts w:ascii="Arial" w:eastAsia="Times New Roman" w:hAnsi="Arial" w:cs="Arial"/>
        </w:rPr>
      </w:pPr>
      <w:r w:rsidRPr="006A64BE">
        <w:rPr>
          <w:rFonts w:ascii="Arial" w:eastAsia="Times New Roman" w:hAnsi="Arial" w:cs="Arial"/>
        </w:rPr>
        <w:t>The "symptom versus disorder" debate is a concept that suggests that the behaviors may be a symptom of underlying conditions (e.g., depression, social anxiety) rather</w:t>
      </w:r>
      <w:r w:rsidR="006A64BE" w:rsidRPr="006A64BE">
        <w:rPr>
          <w:rFonts w:ascii="Arial" w:eastAsia="Times New Roman" w:hAnsi="Arial" w:cs="Arial"/>
        </w:rPr>
        <w:t xml:space="preserve"> than a fundamental disorder. </w:t>
      </w:r>
    </w:p>
    <w:p w:rsidR="006A64BE" w:rsidRPr="006A64BE" w:rsidRDefault="003F3447" w:rsidP="006A64BE">
      <w:pPr>
        <w:pStyle w:val="ListParagraph"/>
        <w:numPr>
          <w:ilvl w:val="0"/>
          <w:numId w:val="2"/>
        </w:numPr>
        <w:spacing w:after="0" w:line="360" w:lineRule="auto"/>
        <w:rPr>
          <w:rFonts w:ascii="Arial" w:eastAsia="Times New Roman" w:hAnsi="Arial" w:cs="Arial"/>
        </w:rPr>
      </w:pPr>
      <w:r w:rsidRPr="006A64BE">
        <w:rPr>
          <w:rFonts w:ascii="Arial" w:eastAsia="Times New Roman" w:hAnsi="Arial" w:cs="Arial"/>
        </w:rPr>
        <w:t xml:space="preserve">Proponents argue that the diagnostic criteria explicitly necessitate substantial functional impairment, which prevents the over-diagnosis of enthusiastic gamers. They contend that </w:t>
      </w:r>
      <w:r w:rsidRPr="006A64BE">
        <w:rPr>
          <w:rFonts w:ascii="Arial" w:eastAsia="Times New Roman" w:hAnsi="Arial" w:cs="Arial"/>
        </w:rPr>
        <w:lastRenderedPageBreak/>
        <w:t xml:space="preserve">formal recognition is an essential initial stage in the process of promoting the high-quality research necessary to validate and refine the diagnosis, as well as, most importantly, to facilitate the seeking of help and treatment for those who are authentically suffering. </w:t>
      </w:r>
      <w:r w:rsidRPr="006A64BE">
        <w:rPr>
          <w:rFonts w:ascii="Arial" w:eastAsia="Times New Roman" w:hAnsi="Arial" w:cs="Arial"/>
        </w:rPr>
        <w:br/>
      </w:r>
      <w:r w:rsidRPr="006A64BE">
        <w:rPr>
          <w:rFonts w:ascii="Arial" w:eastAsia="Times New Roman" w:hAnsi="Arial" w:cs="Arial"/>
        </w:rPr>
        <w:br/>
      </w:r>
      <w:r w:rsidRPr="006A64BE">
        <w:rPr>
          <w:rStyle w:val="Heading2Char"/>
          <w:rFonts w:ascii="Arial" w:hAnsi="Arial" w:cs="Arial"/>
          <w:sz w:val="22"/>
          <w:szCs w:val="22"/>
        </w:rPr>
        <w:t xml:space="preserve">3.3. The Critical Boundary: Pathological Disorder vs. High Engagement </w:t>
      </w:r>
    </w:p>
    <w:p w:rsidR="003F3447" w:rsidRPr="006A64BE" w:rsidRDefault="003F3447" w:rsidP="006A64BE">
      <w:pPr>
        <w:pStyle w:val="ListParagraph"/>
        <w:spacing w:after="0" w:line="360" w:lineRule="auto"/>
        <w:ind w:left="360"/>
        <w:rPr>
          <w:rFonts w:ascii="Arial" w:eastAsia="Times New Roman" w:hAnsi="Arial" w:cs="Arial"/>
        </w:rPr>
      </w:pPr>
      <w:r w:rsidRPr="006A64BE">
        <w:rPr>
          <w:rFonts w:ascii="Arial" w:eastAsia="Times New Roman" w:hAnsi="Arial" w:cs="Arial"/>
        </w:rPr>
        <w:br/>
        <w:t xml:space="preserve">This debate emphasizes the critical challenge of distinguishing between a mental health disorder and an ardent activity. A professional </w:t>
      </w:r>
      <w:proofErr w:type="spellStart"/>
      <w:r w:rsidRPr="006A64BE">
        <w:rPr>
          <w:rFonts w:ascii="Arial" w:eastAsia="Times New Roman" w:hAnsi="Arial" w:cs="Arial"/>
        </w:rPr>
        <w:t>esports</w:t>
      </w:r>
      <w:proofErr w:type="spellEnd"/>
      <w:r w:rsidRPr="006A64BE">
        <w:rPr>
          <w:rFonts w:ascii="Arial" w:eastAsia="Times New Roman" w:hAnsi="Arial" w:cs="Arial"/>
        </w:rPr>
        <w:t xml:space="preserve"> athlete or a successful game broadcaster may spend more than 8 hours a day gaming, but this does not comprise a disorder if it is not causing them significant distress or impairment in other domains; in fact, it is their line of work. The disorder is not defined by the amount of time spent, but rather by the loss of control and the negative consequences that persist despite the individual's awareness of them. This distinction is essential for the purpose of reducing stigma and guaranteeing an accurate diagnosis.</w:t>
      </w:r>
    </w:p>
    <w:p w:rsidR="003F3447" w:rsidRPr="006A64BE" w:rsidRDefault="003F3447" w:rsidP="006A64BE">
      <w:pPr>
        <w:spacing w:line="360" w:lineRule="auto"/>
        <w:rPr>
          <w:rFonts w:ascii="Arial" w:hAnsi="Arial" w:cs="Arial"/>
        </w:rPr>
      </w:pPr>
    </w:p>
    <w:p w:rsidR="006A64BE" w:rsidRPr="006A64BE" w:rsidRDefault="003F3447" w:rsidP="006A64BE">
      <w:pPr>
        <w:spacing w:after="0" w:line="360" w:lineRule="auto"/>
        <w:rPr>
          <w:rFonts w:ascii="Arial" w:eastAsia="Times New Roman" w:hAnsi="Arial" w:cs="Arial"/>
        </w:rPr>
      </w:pPr>
      <w:bookmarkStart w:id="8" w:name="_Toc213019089"/>
      <w:r w:rsidRPr="006A64BE">
        <w:rPr>
          <w:rStyle w:val="Heading1Char"/>
          <w:rFonts w:ascii="Arial" w:hAnsi="Arial" w:cs="Arial"/>
          <w:sz w:val="22"/>
          <w:szCs w:val="22"/>
        </w:rPr>
        <w:t>4. The Provision of Care and the Current Understanding</w:t>
      </w:r>
      <w:bookmarkEnd w:id="8"/>
      <w:r w:rsidRPr="003F3447">
        <w:rPr>
          <w:rFonts w:ascii="Arial" w:eastAsia="Times New Roman" w:hAnsi="Arial" w:cs="Arial"/>
        </w:rPr>
        <w:t xml:space="preserve">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The biopsychosocial model is the most effective explanation for the current understanding of Gaming Disorder, and treatment approaches are still in the early stages of development, but they are advancing rapidly. </w:t>
      </w:r>
      <w:r w:rsidRPr="003F3447">
        <w:rPr>
          <w:rFonts w:ascii="Arial" w:eastAsia="Times New Roman" w:hAnsi="Arial" w:cs="Arial"/>
        </w:rPr>
        <w:br/>
      </w:r>
      <w:r w:rsidRPr="003F3447">
        <w:rPr>
          <w:rFonts w:ascii="Arial" w:eastAsia="Times New Roman" w:hAnsi="Arial" w:cs="Arial"/>
        </w:rPr>
        <w:br/>
      </w:r>
      <w:r w:rsidRPr="006A64BE">
        <w:rPr>
          <w:rStyle w:val="Heading2Char"/>
          <w:rFonts w:ascii="Arial" w:hAnsi="Arial" w:cs="Arial"/>
          <w:sz w:val="22"/>
          <w:szCs w:val="22"/>
        </w:rPr>
        <w:t>4.1. The Biopsychosocial Model of Gaming Disorder</w:t>
      </w:r>
      <w:r w:rsidRPr="003F3447">
        <w:rPr>
          <w:rFonts w:ascii="Arial" w:eastAsia="Times New Roman" w:hAnsi="Arial" w:cs="Arial"/>
        </w:rPr>
        <w:t xml:space="preserve"> </w:t>
      </w:r>
      <w:r w:rsidRPr="003F3447">
        <w:rPr>
          <w:rFonts w:ascii="Arial" w:eastAsia="Times New Roman" w:hAnsi="Arial" w:cs="Arial"/>
        </w:rPr>
        <w:br/>
      </w:r>
      <w:r w:rsidRPr="003F3447">
        <w:rPr>
          <w:rFonts w:ascii="Arial" w:eastAsia="Times New Roman" w:hAnsi="Arial" w:cs="Arial"/>
        </w:rPr>
        <w:br/>
        <w:t xml:space="preserve">Biological Factors: Neuroimaging studies indicate that gaming disorder has neural correlates that are similar to substance addictions, such as dysregulation in the brain's reward system (particularly the striatum and prefrontal cortex) and impaired impulse control (Weinstein &amp; </w:t>
      </w:r>
      <w:proofErr w:type="spellStart"/>
      <w:r w:rsidRPr="003F3447">
        <w:rPr>
          <w:rFonts w:ascii="Arial" w:eastAsia="Times New Roman" w:hAnsi="Arial" w:cs="Arial"/>
        </w:rPr>
        <w:t>Lejoyeux</w:t>
      </w:r>
      <w:proofErr w:type="spellEnd"/>
      <w:r w:rsidRPr="003F3447">
        <w:rPr>
          <w:rFonts w:ascii="Arial" w:eastAsia="Times New Roman" w:hAnsi="Arial" w:cs="Arial"/>
        </w:rPr>
        <w:t xml:space="preserve">, 2020). Additionally, there is evidence of a genetic predisposition to addictive behaviors. </w:t>
      </w:r>
      <w:r w:rsidRPr="003F3447">
        <w:rPr>
          <w:rFonts w:ascii="Arial" w:eastAsia="Times New Roman" w:hAnsi="Arial" w:cs="Arial"/>
        </w:rPr>
        <w:br/>
      </w:r>
      <w:r w:rsidRPr="003F3447">
        <w:rPr>
          <w:rFonts w:ascii="Arial" w:eastAsia="Times New Roman" w:hAnsi="Arial" w:cs="Arial"/>
        </w:rPr>
        <w:br/>
        <w:t xml:space="preserve">Psychological Factors: Gaming Disorder is frequently employed by individuals as a primary coping mechanism to alleviate anxiety, depression, or real-world stressors. Additionally, risk factors include underlying personality traits, including low self-esteem and high neuroticism. Cognitively, they may demonstrate maladaptive beliefs regarding the game and their self-worth within it. </w:t>
      </w:r>
      <w:r w:rsidRPr="003F3447">
        <w:rPr>
          <w:rFonts w:ascii="Arial" w:eastAsia="Times New Roman" w:hAnsi="Arial" w:cs="Arial"/>
        </w:rPr>
        <w:br/>
      </w:r>
      <w:r w:rsidRPr="003F3447">
        <w:rPr>
          <w:rFonts w:ascii="Arial" w:eastAsia="Times New Roman" w:hAnsi="Arial" w:cs="Arial"/>
        </w:rPr>
        <w:lastRenderedPageBreak/>
        <w:br/>
        <w:t xml:space="preserve">Social Factors: The structured and rewarding social worlds offered by online games can be a draw for individuals who are experiencing a lack of gratifying real-world relationships, social isolation, and familial conflict. As previously mentioned, the design of the games is a significant commercial and social influence. </w:t>
      </w:r>
      <w:r w:rsidRPr="003F3447">
        <w:rPr>
          <w:rFonts w:ascii="Arial" w:eastAsia="Times New Roman" w:hAnsi="Arial" w:cs="Arial"/>
        </w:rPr>
        <w:br/>
      </w:r>
      <w:r w:rsidRPr="006A64BE">
        <w:rPr>
          <w:rStyle w:val="Heading2Char"/>
          <w:rFonts w:ascii="Arial" w:hAnsi="Arial" w:cs="Arial"/>
          <w:sz w:val="22"/>
          <w:szCs w:val="22"/>
        </w:rPr>
        <w:br/>
        <w:t>4.2. Emerging and Evidence-Based Treatments</w:t>
      </w:r>
      <w:r w:rsidRPr="003F3447">
        <w:rPr>
          <w:rFonts w:ascii="Arial" w:eastAsia="Times New Roman" w:hAnsi="Arial" w:cs="Arial"/>
        </w:rPr>
        <w:t xml:space="preserve"> </w:t>
      </w:r>
    </w:p>
    <w:p w:rsidR="003F3447" w:rsidRPr="003F3447"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Evidence-based treatments are still in the process of being established as a new diagnosis. The current methods are primarily influenced by cognitive behavioral therapy (CBT) and other behavioral addictions: </w:t>
      </w:r>
      <w:r w:rsidRPr="003F3447">
        <w:rPr>
          <w:rFonts w:ascii="Arial" w:eastAsia="Times New Roman" w:hAnsi="Arial" w:cs="Arial"/>
        </w:rPr>
        <w:br/>
      </w:r>
      <w:r w:rsidRPr="003F3447">
        <w:rPr>
          <w:rFonts w:ascii="Arial" w:eastAsia="Times New Roman" w:hAnsi="Arial" w:cs="Arial"/>
        </w:rPr>
        <w:br/>
        <w:t xml:space="preserve">Cognitive-behavioral therapy (CBT) is the most frequently implemented intervention. It concentrates on the identification and challenge of maladaptive thoughts and beliefs that perpetuate gaming behavior (e.g., "I am only good at this," "My guild depends on me"). It also entails the development of healthful coping strategies and behavioral techniques to manage cravings and control use. </w:t>
      </w:r>
      <w:r w:rsidRPr="003F3447">
        <w:rPr>
          <w:rFonts w:ascii="Arial" w:eastAsia="Times New Roman" w:hAnsi="Arial" w:cs="Arial"/>
        </w:rPr>
        <w:br/>
      </w:r>
      <w:r w:rsidRPr="003F3447">
        <w:rPr>
          <w:rFonts w:ascii="Arial" w:eastAsia="Times New Roman" w:hAnsi="Arial" w:cs="Arial"/>
        </w:rPr>
        <w:br/>
        <w:t xml:space="preserve">Systemic Interventions and Family Therapy: Adolescents require the involvement of their families. Therapy can assist parents in establishing consistent and effective boundaries regarding technology use, enhance communication, and address underlying family dynamics. </w:t>
      </w:r>
      <w:r w:rsidRPr="003F3447">
        <w:rPr>
          <w:rFonts w:ascii="Arial" w:eastAsia="Times New Roman" w:hAnsi="Arial" w:cs="Arial"/>
        </w:rPr>
        <w:br/>
      </w:r>
      <w:r w:rsidRPr="003F3447">
        <w:rPr>
          <w:rFonts w:ascii="Arial" w:eastAsia="Times New Roman" w:hAnsi="Arial" w:cs="Arial"/>
        </w:rPr>
        <w:br/>
        <w:t xml:space="preserve">Motivational Interviewing: This technique is employed to improve an individual's internal motivation to change, which is frequently ambivalent in cases of behavioral addiction. </w:t>
      </w:r>
      <w:r w:rsidRPr="003F3447">
        <w:rPr>
          <w:rFonts w:ascii="Arial" w:eastAsia="Times New Roman" w:hAnsi="Arial" w:cs="Arial"/>
        </w:rPr>
        <w:br/>
      </w:r>
      <w:r w:rsidRPr="003F3447">
        <w:rPr>
          <w:rFonts w:ascii="Arial" w:eastAsia="Times New Roman" w:hAnsi="Arial" w:cs="Arial"/>
        </w:rPr>
        <w:br/>
        <w:t>Harm Reduction and Controlled Use: In contrast to abstinence-based models for substance addiction, certain approaches emphasize controlled gaming rather than complete abstinence. For numerous individuals, this objective is frequently more feasible and sustainable.</w:t>
      </w:r>
    </w:p>
    <w:p w:rsidR="003F3447" w:rsidRPr="006A64BE" w:rsidRDefault="003F3447" w:rsidP="006A64BE">
      <w:pPr>
        <w:spacing w:line="360" w:lineRule="auto"/>
        <w:rPr>
          <w:rFonts w:ascii="Arial" w:hAnsi="Arial" w:cs="Arial"/>
        </w:rPr>
      </w:pPr>
    </w:p>
    <w:p w:rsidR="006A64BE" w:rsidRPr="006A64BE" w:rsidRDefault="003F3447" w:rsidP="006A64BE">
      <w:pPr>
        <w:pStyle w:val="Heading1"/>
        <w:spacing w:line="360" w:lineRule="auto"/>
        <w:rPr>
          <w:rFonts w:ascii="Arial" w:eastAsia="Times New Roman" w:hAnsi="Arial" w:cs="Arial"/>
          <w:sz w:val="22"/>
          <w:szCs w:val="22"/>
        </w:rPr>
      </w:pPr>
      <w:bookmarkStart w:id="9" w:name="_Toc213019090"/>
      <w:r w:rsidRPr="006A64BE">
        <w:rPr>
          <w:rStyle w:val="Heading2Char"/>
          <w:rFonts w:ascii="Arial" w:hAnsi="Arial" w:cs="Arial"/>
          <w:sz w:val="22"/>
          <w:szCs w:val="22"/>
        </w:rPr>
        <w:t>5. Critical Analysis: Inequality, Commercial Conflict, and Unique Stigmas</w:t>
      </w:r>
      <w:bookmarkEnd w:id="9"/>
      <w:r w:rsidRPr="006A64BE">
        <w:rPr>
          <w:rFonts w:ascii="Arial" w:eastAsia="Times New Roman" w:hAnsi="Arial" w:cs="Arial"/>
          <w:sz w:val="22"/>
          <w:szCs w:val="22"/>
        </w:rPr>
        <w:t xml:space="preserve"> </w:t>
      </w:r>
    </w:p>
    <w:p w:rsidR="006A64BE" w:rsidRPr="006A64BE" w:rsidRDefault="003F3447" w:rsidP="006A64BE">
      <w:pPr>
        <w:spacing w:after="0" w:line="360" w:lineRule="auto"/>
        <w:rPr>
          <w:rFonts w:ascii="Arial" w:eastAsia="Times New Roman" w:hAnsi="Arial" w:cs="Arial"/>
        </w:rPr>
      </w:pPr>
      <w:r w:rsidRPr="003F3447">
        <w:rPr>
          <w:rFonts w:ascii="Arial" w:eastAsia="Times New Roman" w:hAnsi="Arial" w:cs="Arial"/>
        </w:rPr>
        <w:br/>
        <w:t xml:space="preserve">The management and perception of Gaming Disorder are complicated by a complex web of modern challenges that exist within the recognition of the disorder. </w:t>
      </w:r>
      <w:r w:rsidRPr="003F3447">
        <w:rPr>
          <w:rFonts w:ascii="Arial" w:eastAsia="Times New Roman" w:hAnsi="Arial" w:cs="Arial"/>
        </w:rPr>
        <w:br/>
      </w:r>
      <w:r w:rsidRPr="003F3447">
        <w:rPr>
          <w:rFonts w:ascii="Arial" w:eastAsia="Times New Roman" w:hAnsi="Arial" w:cs="Arial"/>
        </w:rPr>
        <w:lastRenderedPageBreak/>
        <w:br/>
      </w:r>
      <w:r w:rsidRPr="006A64BE">
        <w:rPr>
          <w:rStyle w:val="Heading2Char"/>
          <w:rFonts w:ascii="Arial" w:hAnsi="Arial" w:cs="Arial"/>
          <w:sz w:val="22"/>
          <w:szCs w:val="22"/>
        </w:rPr>
        <w:t>5.1. Trivialization and the Dual Stigma</w:t>
      </w:r>
      <w:r w:rsidRPr="003F3447">
        <w:rPr>
          <w:rFonts w:ascii="Arial" w:eastAsia="Times New Roman" w:hAnsi="Arial" w:cs="Arial"/>
        </w:rPr>
        <w:t xml:space="preserve"> </w:t>
      </w:r>
    </w:p>
    <w:p w:rsidR="006A64BE" w:rsidRPr="006A64BE" w:rsidRDefault="003F3447" w:rsidP="006A64BE">
      <w:pPr>
        <w:spacing w:after="0" w:line="360" w:lineRule="auto"/>
        <w:rPr>
          <w:rStyle w:val="Heading2Char"/>
          <w:rFonts w:ascii="Arial" w:hAnsi="Arial" w:cs="Arial"/>
          <w:sz w:val="22"/>
          <w:szCs w:val="22"/>
        </w:rPr>
      </w:pPr>
      <w:r w:rsidRPr="003F3447">
        <w:rPr>
          <w:rFonts w:ascii="Arial" w:eastAsia="Times New Roman" w:hAnsi="Arial" w:cs="Arial"/>
        </w:rPr>
        <w:br/>
        <w:t xml:space="preserve">The disorder is stigmatized in a distinctive manner: it is both extremely stigmatized and trivialized. One the one hand, it is often disregarded by many as "not a true addiction," which results in a lack of empathy and understanding from family, peers, and even healthcare providers. Conversely, those who do seek assistance may encounter the stigma of being labeled a "game addict," a term that evokes negative stereotypes of immaturity, social incompetence, and laziness. Help-seeking can be significantly impeded by this dual burden. </w:t>
      </w:r>
      <w:r w:rsidRPr="003F3447">
        <w:rPr>
          <w:rFonts w:ascii="Arial" w:eastAsia="Times New Roman" w:hAnsi="Arial" w:cs="Arial"/>
        </w:rPr>
        <w:br/>
      </w:r>
      <w:r w:rsidRPr="003F3447">
        <w:rPr>
          <w:rFonts w:ascii="Arial" w:eastAsia="Times New Roman" w:hAnsi="Arial" w:cs="Arial"/>
        </w:rPr>
        <w:br/>
      </w:r>
      <w:r w:rsidRPr="006A64BE">
        <w:rPr>
          <w:rStyle w:val="Heading2Char"/>
          <w:rFonts w:ascii="Arial" w:hAnsi="Arial" w:cs="Arial"/>
          <w:sz w:val="22"/>
          <w:szCs w:val="22"/>
        </w:rPr>
        <w:t xml:space="preserve">5.2. The Commercial Conflict of Interest </w:t>
      </w:r>
    </w:p>
    <w:p w:rsidR="006A64BE" w:rsidRPr="006A64BE" w:rsidRDefault="003F3447" w:rsidP="006A64BE">
      <w:pPr>
        <w:spacing w:after="0" w:line="360" w:lineRule="auto"/>
        <w:rPr>
          <w:rStyle w:val="Heading2Char"/>
          <w:rFonts w:ascii="Arial" w:hAnsi="Arial" w:cs="Arial"/>
          <w:sz w:val="22"/>
          <w:szCs w:val="22"/>
        </w:rPr>
      </w:pPr>
      <w:r w:rsidRPr="003F3447">
        <w:rPr>
          <w:rFonts w:ascii="Arial" w:eastAsia="Times New Roman" w:hAnsi="Arial" w:cs="Arial"/>
        </w:rPr>
        <w:br/>
        <w:t xml:space="preserve">The direct conflict between potent commercial interests and public health is a significant and unprecedented challenge. The video game industry, a multibillion-dollar sector, has been largely opposed to the medicalization of problematic gaming due to concerns about regulation and reputational harm. This has resulted in funding for research that challenges the validity of the diagnosis and lobbying efforts (Saunders et al., 2017). This results in a situation in which the entities that are prospering from the potentially hazardous product are also actively shaping the scientific and public discourse about its harms. This situation bears striking similarities to the histories of tobacco and gambling. </w:t>
      </w:r>
      <w:r w:rsidRPr="003F3447">
        <w:rPr>
          <w:rFonts w:ascii="Arial" w:eastAsia="Times New Roman" w:hAnsi="Arial" w:cs="Arial"/>
        </w:rPr>
        <w:br/>
      </w:r>
      <w:r w:rsidRPr="006A64BE">
        <w:rPr>
          <w:rStyle w:val="Heading2Char"/>
          <w:rFonts w:ascii="Arial" w:hAnsi="Arial" w:cs="Arial"/>
          <w:sz w:val="22"/>
          <w:szCs w:val="22"/>
        </w:rPr>
        <w:br/>
        <w:t xml:space="preserve">5.3. The Digital Divide and Inequality </w:t>
      </w:r>
    </w:p>
    <w:p w:rsidR="003F3447" w:rsidRPr="003F3447" w:rsidRDefault="003F3447" w:rsidP="006A64BE">
      <w:pPr>
        <w:spacing w:after="0" w:line="360" w:lineRule="auto"/>
        <w:rPr>
          <w:rFonts w:ascii="Arial" w:eastAsia="Times New Roman" w:hAnsi="Arial" w:cs="Arial"/>
        </w:rPr>
      </w:pPr>
      <w:r w:rsidRPr="003F3447">
        <w:rPr>
          <w:rFonts w:ascii="Arial" w:eastAsia="Times New Roman" w:hAnsi="Arial" w:cs="Arial"/>
        </w:rPr>
        <w:br/>
        <w:t>The availability of treatment for Gaming Disorder is markedly unequal. Within public health systems such as the NHS, there is a severe scarcity of specialists who are skilled in identifying and treating the condition. As a result, individuals who possess the financial resources are able to pursue private therapy, while those who depend on public services are either misdiagnosed or experience lengthy waiting periods. Furthermore, the digital divide can result in a disproportionate impact on children from lower-income households, who may not have access to alternative recreational activities, despite having the least access to specialized support.</w:t>
      </w:r>
    </w:p>
    <w:p w:rsidR="006A64BE" w:rsidRPr="006A64BE" w:rsidRDefault="006A64BE" w:rsidP="006A64BE">
      <w:pPr>
        <w:spacing w:line="360" w:lineRule="auto"/>
        <w:rPr>
          <w:rFonts w:ascii="Arial" w:hAnsi="Arial" w:cs="Arial"/>
        </w:rPr>
      </w:pPr>
    </w:p>
    <w:p w:rsidR="006A64BE" w:rsidRPr="006A64BE" w:rsidRDefault="003E6E0A" w:rsidP="006A64BE">
      <w:pPr>
        <w:spacing w:after="0" w:line="360" w:lineRule="auto"/>
        <w:rPr>
          <w:rFonts w:ascii="Arial" w:eastAsia="Times New Roman" w:hAnsi="Arial" w:cs="Arial"/>
        </w:rPr>
      </w:pPr>
      <w:bookmarkStart w:id="10" w:name="_Toc213019091"/>
      <w:r w:rsidRPr="006A64BE">
        <w:rPr>
          <w:rStyle w:val="Heading1Char"/>
          <w:rFonts w:ascii="Arial" w:hAnsi="Arial" w:cs="Arial"/>
          <w:sz w:val="22"/>
          <w:szCs w:val="22"/>
        </w:rPr>
        <w:t>6. Suggestions for Future Policy and Practice</w:t>
      </w:r>
      <w:bookmarkEnd w:id="10"/>
      <w:r w:rsidRPr="003E6E0A">
        <w:rPr>
          <w:rFonts w:ascii="Arial" w:eastAsia="Times New Roman" w:hAnsi="Arial" w:cs="Arial"/>
        </w:rPr>
        <w:t xml:space="preserve"> </w:t>
      </w:r>
    </w:p>
    <w:p w:rsidR="006A64BE" w:rsidRDefault="003E6E0A" w:rsidP="006A64BE">
      <w:pPr>
        <w:spacing w:after="0" w:line="360" w:lineRule="auto"/>
        <w:rPr>
          <w:rFonts w:ascii="Arial" w:eastAsia="Times New Roman" w:hAnsi="Arial" w:cs="Arial"/>
        </w:rPr>
      </w:pPr>
      <w:r w:rsidRPr="003E6E0A">
        <w:rPr>
          <w:rFonts w:ascii="Arial" w:eastAsia="Times New Roman" w:hAnsi="Arial" w:cs="Arial"/>
        </w:rPr>
        <w:br/>
        <w:t xml:space="preserve">A multifaceted strategy that encompasses public health, regulation, and clinical practice is </w:t>
      </w:r>
      <w:r w:rsidRPr="003E6E0A">
        <w:rPr>
          <w:rFonts w:ascii="Arial" w:eastAsia="Times New Roman" w:hAnsi="Arial" w:cs="Arial"/>
        </w:rPr>
        <w:lastRenderedPageBreak/>
        <w:t xml:space="preserve">necessary to confront the intricate challenge of Gaming Disorder. </w:t>
      </w:r>
      <w:r w:rsidRPr="003E6E0A">
        <w:rPr>
          <w:rFonts w:ascii="Arial" w:eastAsia="Times New Roman" w:hAnsi="Arial" w:cs="Arial"/>
        </w:rPr>
        <w:br/>
      </w:r>
      <w:r w:rsidRPr="003E6E0A">
        <w:rPr>
          <w:rFonts w:ascii="Arial" w:eastAsia="Times New Roman" w:hAnsi="Arial" w:cs="Arial"/>
        </w:rPr>
        <w:br/>
        <w:t xml:space="preserve">Public Health Education and Literacy Campaigns: It is imperative that governments and health organizations allocate funds to public awareness campaigns that clearly distinguish between pathological disorder and impassioned gaming. These campaigns should emphasize digital literacy and the importance of maintaining a healthy balance between online and offline activities, with a particular emphasis on parents, educators, and young individuals. Rather than inciting alarmism, the message should emphasize damage reduction and early warning signs. </w:t>
      </w:r>
      <w:r w:rsidRPr="003E6E0A">
        <w:rPr>
          <w:rFonts w:ascii="Arial" w:eastAsia="Times New Roman" w:hAnsi="Arial" w:cs="Arial"/>
        </w:rPr>
        <w:br/>
      </w:r>
      <w:r w:rsidRPr="003E6E0A">
        <w:rPr>
          <w:rFonts w:ascii="Arial" w:eastAsia="Times New Roman" w:hAnsi="Arial" w:cs="Arial"/>
        </w:rPr>
        <w:br/>
      </w:r>
      <w:r w:rsidRPr="00B10998">
        <w:rPr>
          <w:rStyle w:val="Heading2Char"/>
        </w:rPr>
        <w:t>Regulation of Exploitative Game Design Practices:</w:t>
      </w:r>
      <w:r w:rsidRPr="003E6E0A">
        <w:rPr>
          <w:rFonts w:ascii="Arial" w:eastAsia="Times New Roman" w:hAnsi="Arial" w:cs="Arial"/>
        </w:rPr>
        <w:t xml:space="preserve"> </w:t>
      </w:r>
    </w:p>
    <w:p w:rsidR="006A64BE" w:rsidRPr="006A64BE" w:rsidRDefault="003E6E0A" w:rsidP="006A64BE">
      <w:pPr>
        <w:spacing w:after="0" w:line="360" w:lineRule="auto"/>
        <w:rPr>
          <w:rFonts w:ascii="Arial" w:eastAsia="Times New Roman" w:hAnsi="Arial" w:cs="Arial"/>
        </w:rPr>
      </w:pPr>
      <w:r w:rsidRPr="006A64BE">
        <w:rPr>
          <w:rFonts w:ascii="Arial" w:eastAsia="Times New Roman" w:hAnsi="Arial" w:cs="Arial"/>
        </w:rPr>
        <w:t xml:space="preserve">Policymakers should contemplate the regulation of the most pernicious </w:t>
      </w:r>
      <w:proofErr w:type="spellStart"/>
      <w:r w:rsidRPr="006A64BE">
        <w:rPr>
          <w:rFonts w:ascii="Arial" w:eastAsia="Times New Roman" w:hAnsi="Arial" w:cs="Arial"/>
        </w:rPr>
        <w:t>monetisation</w:t>
      </w:r>
      <w:proofErr w:type="spellEnd"/>
      <w:r w:rsidRPr="006A64BE">
        <w:rPr>
          <w:rFonts w:ascii="Arial" w:eastAsia="Times New Roman" w:hAnsi="Arial" w:cs="Arial"/>
        </w:rPr>
        <w:t xml:space="preserve"> and engagement features.</w:t>
      </w:r>
      <w:r w:rsidR="006A64BE" w:rsidRPr="006A64BE">
        <w:rPr>
          <w:rFonts w:ascii="Arial" w:eastAsia="Times New Roman" w:hAnsi="Arial" w:cs="Arial"/>
        </w:rPr>
        <w:t xml:space="preserve"> This may encompass: </w:t>
      </w:r>
    </w:p>
    <w:p w:rsidR="006A64BE" w:rsidRDefault="003E6E0A" w:rsidP="006A64BE">
      <w:pPr>
        <w:pStyle w:val="ListParagraph"/>
        <w:numPr>
          <w:ilvl w:val="0"/>
          <w:numId w:val="3"/>
        </w:numPr>
        <w:spacing w:after="0" w:line="360" w:lineRule="auto"/>
        <w:rPr>
          <w:rFonts w:ascii="Arial" w:eastAsia="Times New Roman" w:hAnsi="Arial" w:cs="Arial"/>
        </w:rPr>
      </w:pPr>
      <w:r w:rsidRPr="006A64BE">
        <w:rPr>
          <w:rFonts w:ascii="Arial" w:eastAsia="Times New Roman" w:hAnsi="Arial" w:cs="Arial"/>
        </w:rPr>
        <w:t>Limiting the availability of loot boxes to juveniles and classifying them as a form of wagering in ord</w:t>
      </w:r>
      <w:r w:rsidR="006A64BE">
        <w:rPr>
          <w:rFonts w:ascii="Arial" w:eastAsia="Times New Roman" w:hAnsi="Arial" w:cs="Arial"/>
        </w:rPr>
        <w:t xml:space="preserve">er to legislate against them. </w:t>
      </w:r>
    </w:p>
    <w:p w:rsidR="006A64BE" w:rsidRDefault="003E6E0A" w:rsidP="006A64BE">
      <w:pPr>
        <w:pStyle w:val="ListParagraph"/>
        <w:numPr>
          <w:ilvl w:val="0"/>
          <w:numId w:val="3"/>
        </w:numPr>
        <w:spacing w:after="0" w:line="360" w:lineRule="auto"/>
        <w:rPr>
          <w:rFonts w:ascii="Arial" w:eastAsia="Times New Roman" w:hAnsi="Arial" w:cs="Arial"/>
        </w:rPr>
      </w:pPr>
      <w:r w:rsidRPr="006A64BE">
        <w:rPr>
          <w:rFonts w:ascii="Arial" w:eastAsia="Times New Roman" w:hAnsi="Arial" w:cs="Arial"/>
        </w:rPr>
        <w:t>Requiring explicit expenditure limits and "cool-down" p</w:t>
      </w:r>
      <w:r w:rsidR="006A64BE">
        <w:rPr>
          <w:rFonts w:ascii="Arial" w:eastAsia="Times New Roman" w:hAnsi="Arial" w:cs="Arial"/>
        </w:rPr>
        <w:t>eriods for in-game purchases.</w:t>
      </w:r>
    </w:p>
    <w:p w:rsidR="003E6E0A" w:rsidRPr="006A64BE" w:rsidRDefault="003E6E0A" w:rsidP="006A64BE">
      <w:pPr>
        <w:pStyle w:val="ListParagraph"/>
        <w:numPr>
          <w:ilvl w:val="0"/>
          <w:numId w:val="3"/>
        </w:numPr>
        <w:spacing w:after="0" w:line="360" w:lineRule="auto"/>
        <w:rPr>
          <w:rFonts w:ascii="Arial" w:eastAsia="Times New Roman" w:hAnsi="Arial" w:cs="Arial"/>
        </w:rPr>
      </w:pPr>
      <w:r w:rsidRPr="006A64BE">
        <w:rPr>
          <w:rFonts w:ascii="Arial" w:eastAsia="Times New Roman" w:hAnsi="Arial" w:cs="Arial"/>
        </w:rPr>
        <w:t xml:space="preserve">Requiring the transparent disclosure of game design elements that are intended to increase engagement. </w:t>
      </w:r>
      <w:r w:rsidRPr="006A64BE">
        <w:rPr>
          <w:rFonts w:ascii="Arial" w:eastAsia="Times New Roman" w:hAnsi="Arial" w:cs="Arial"/>
        </w:rPr>
        <w:br/>
      </w:r>
      <w:r w:rsidRPr="006A64BE">
        <w:rPr>
          <w:rFonts w:ascii="Arial" w:eastAsia="Times New Roman" w:hAnsi="Arial" w:cs="Arial"/>
        </w:rPr>
        <w:br/>
        <w:t xml:space="preserve">Integrate Screening and Specialist Training into Healthcare Systems: It is imperative to provide training to GPs, school counselors, and child and adolescent mental health services (CAMHS) in order to enhance early identification and appropriate referral. In order to decrease waiting periods and enhance accessibility, NHS Talking Therapies (IAPT) should establish a specialized pathway and provide clinicians with training in CBT protocols that have been modified to address Gaming Disorder. </w:t>
      </w:r>
      <w:r w:rsidRPr="006A64BE">
        <w:rPr>
          <w:rFonts w:ascii="Arial" w:eastAsia="Times New Roman" w:hAnsi="Arial" w:cs="Arial"/>
        </w:rPr>
        <w:br/>
      </w:r>
      <w:r w:rsidRPr="006A64BE">
        <w:rPr>
          <w:rFonts w:ascii="Arial" w:eastAsia="Times New Roman" w:hAnsi="Arial" w:cs="Arial"/>
        </w:rPr>
        <w:br/>
        <w:t xml:space="preserve">Encourage Independent and Longitudinal Research: Public funding bodies should prioritize independent (non-industry-funded) research into the epidemiology, </w:t>
      </w:r>
      <w:proofErr w:type="spellStart"/>
      <w:r w:rsidRPr="006A64BE">
        <w:rPr>
          <w:rFonts w:ascii="Arial" w:eastAsia="Times New Roman" w:hAnsi="Arial" w:cs="Arial"/>
        </w:rPr>
        <w:t>aetiology</w:t>
      </w:r>
      <w:proofErr w:type="spellEnd"/>
      <w:r w:rsidRPr="006A64BE">
        <w:rPr>
          <w:rFonts w:ascii="Arial" w:eastAsia="Times New Roman" w:hAnsi="Arial" w:cs="Arial"/>
        </w:rPr>
        <w:t>, and long-term course of Gaming Disorder. In order to conclusively establish its natural history and validate diagnostic criteria, the field must move beyond its current contentious state through the implementation of large-scale longitudinal studies.</w:t>
      </w:r>
    </w:p>
    <w:p w:rsidR="003E6E0A" w:rsidRDefault="003E6E0A" w:rsidP="006A64BE">
      <w:pPr>
        <w:spacing w:line="360" w:lineRule="auto"/>
        <w:rPr>
          <w:rFonts w:ascii="Arial" w:hAnsi="Arial" w:cs="Arial"/>
        </w:rPr>
      </w:pPr>
    </w:p>
    <w:p w:rsidR="0034669A" w:rsidRDefault="0034669A" w:rsidP="006A64BE">
      <w:pPr>
        <w:spacing w:line="360" w:lineRule="auto"/>
        <w:rPr>
          <w:rFonts w:ascii="Arial" w:hAnsi="Arial" w:cs="Arial"/>
        </w:rPr>
      </w:pPr>
    </w:p>
    <w:p w:rsidR="0034669A" w:rsidRPr="006A64BE" w:rsidRDefault="0034669A" w:rsidP="006A64BE">
      <w:pPr>
        <w:spacing w:line="360" w:lineRule="auto"/>
        <w:rPr>
          <w:rFonts w:ascii="Arial" w:hAnsi="Arial" w:cs="Arial"/>
        </w:rPr>
      </w:pPr>
    </w:p>
    <w:p w:rsidR="006A64BE" w:rsidRPr="006A64BE" w:rsidRDefault="003E6E0A" w:rsidP="006A64BE">
      <w:pPr>
        <w:spacing w:after="0" w:line="360" w:lineRule="auto"/>
        <w:rPr>
          <w:rFonts w:ascii="Arial" w:eastAsia="Times New Roman" w:hAnsi="Arial" w:cs="Arial"/>
        </w:rPr>
      </w:pPr>
      <w:bookmarkStart w:id="11" w:name="_Toc213019092"/>
      <w:r w:rsidRPr="006A64BE">
        <w:rPr>
          <w:rStyle w:val="Heading1Char"/>
          <w:rFonts w:ascii="Arial" w:hAnsi="Arial" w:cs="Arial"/>
          <w:sz w:val="22"/>
          <w:szCs w:val="22"/>
        </w:rPr>
        <w:lastRenderedPageBreak/>
        <w:t>7. Conclusion</w:t>
      </w:r>
      <w:bookmarkEnd w:id="11"/>
      <w:r w:rsidRPr="003E6E0A">
        <w:rPr>
          <w:rFonts w:ascii="Arial" w:eastAsia="Times New Roman" w:hAnsi="Arial" w:cs="Arial"/>
        </w:rPr>
        <w:t xml:space="preserve"> </w:t>
      </w:r>
    </w:p>
    <w:p w:rsidR="003E6E0A" w:rsidRPr="003E6E0A" w:rsidRDefault="003E6E0A" w:rsidP="006A64BE">
      <w:pPr>
        <w:spacing w:after="0" w:line="360" w:lineRule="auto"/>
        <w:rPr>
          <w:rFonts w:ascii="Arial" w:eastAsia="Times New Roman" w:hAnsi="Arial" w:cs="Arial"/>
        </w:rPr>
      </w:pPr>
      <w:r w:rsidRPr="003E6E0A">
        <w:rPr>
          <w:rFonts w:ascii="Arial" w:eastAsia="Times New Roman" w:hAnsi="Arial" w:cs="Arial"/>
        </w:rPr>
        <w:br/>
        <w:t xml:space="preserve">The official acknowledgment of Gaming Disorder in the ICD-11 signifies a pivotal, albeit contentious, juncture in the evolution of psychiatry. It signifies a cultural recognition that digital technologies, despite their advantages, may nevertheless inflict significant psychological damage on a susceptible minority. The transition from moral panic to medicalization has been propelled by the increasing influence of the gaming industry and the concomitant surge in severe impairment cases. Although the diagnostic discussions are scientifically beneficial, they must not impede the immediate necessity to deliver treatment to persons in distress. The way forward necessitates a balanced strategy: promoting robust research, enacting prudent public health regulations that safeguard consumers—especially the youth—from exploitative design, and establishing a healthcare system capable of providing evidence-based, compassionate treatment. In doing so, we may traverse the digital era without </w:t>
      </w:r>
      <w:proofErr w:type="spellStart"/>
      <w:r w:rsidRPr="003E6E0A">
        <w:rPr>
          <w:rFonts w:ascii="Arial" w:eastAsia="Times New Roman" w:hAnsi="Arial" w:cs="Arial"/>
        </w:rPr>
        <w:t>pathologizing</w:t>
      </w:r>
      <w:proofErr w:type="spellEnd"/>
      <w:r w:rsidRPr="003E6E0A">
        <w:rPr>
          <w:rFonts w:ascii="Arial" w:eastAsia="Times New Roman" w:hAnsi="Arial" w:cs="Arial"/>
        </w:rPr>
        <w:t xml:space="preserve"> its delights, while also providing assistance to individuals overwhelmed by them.</w:t>
      </w:r>
    </w:p>
    <w:p w:rsidR="003E6E0A" w:rsidRPr="006A64BE" w:rsidRDefault="003E6E0A" w:rsidP="006A64BE">
      <w:pPr>
        <w:spacing w:line="360" w:lineRule="auto"/>
        <w:rPr>
          <w:rFonts w:ascii="Arial" w:hAnsi="Arial" w:cs="Arial"/>
        </w:rPr>
      </w:pPr>
    </w:p>
    <w:p w:rsidR="006A64BE" w:rsidRDefault="006A64BE" w:rsidP="006A64BE">
      <w:pPr>
        <w:spacing w:after="0" w:line="360" w:lineRule="auto"/>
        <w:rPr>
          <w:rStyle w:val="Heading1Char"/>
          <w:rFonts w:ascii="Arial" w:hAnsi="Arial" w:cs="Arial"/>
          <w:sz w:val="22"/>
          <w:szCs w:val="22"/>
        </w:rPr>
      </w:pPr>
      <w:bookmarkStart w:id="12" w:name="_Toc213019093"/>
      <w:r w:rsidRPr="006A64BE">
        <w:rPr>
          <w:rStyle w:val="Heading1Char"/>
          <w:rFonts w:ascii="Arial" w:hAnsi="Arial" w:cs="Arial"/>
          <w:sz w:val="22"/>
          <w:szCs w:val="22"/>
        </w:rPr>
        <w:t xml:space="preserve">7. </w:t>
      </w:r>
      <w:r>
        <w:rPr>
          <w:rStyle w:val="Heading1Char"/>
          <w:rFonts w:ascii="Arial" w:hAnsi="Arial" w:cs="Arial"/>
          <w:sz w:val="22"/>
          <w:szCs w:val="22"/>
        </w:rPr>
        <w:t>Reference</w:t>
      </w:r>
      <w:bookmarkEnd w:id="12"/>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Andrade, C. (2023). </w:t>
      </w:r>
      <w:r>
        <w:rPr>
          <w:rStyle w:val="Emphasis"/>
          <w:rFonts w:ascii="Segoe UI" w:hAnsi="Segoe UI" w:cs="Segoe UI"/>
          <w:color w:val="0F1115"/>
        </w:rPr>
        <w:t>The inverse placebo effect: nocebo and the negative consequences of mental health stigma</w:t>
      </w:r>
      <w:r>
        <w:rPr>
          <w:rFonts w:ascii="Segoe UI" w:hAnsi="Segoe UI" w:cs="Segoe UI"/>
          <w:color w:val="0F1115"/>
        </w:rPr>
        <w:t>. </w:t>
      </w:r>
      <w:proofErr w:type="spellStart"/>
      <w:r>
        <w:rPr>
          <w:rStyle w:val="Strong"/>
          <w:rFonts w:ascii="Segoe UI" w:hAnsi="Segoe UI" w:cs="Segoe UI"/>
          <w:color w:val="0F1115"/>
        </w:rPr>
        <w:t>BJPsych</w:t>
      </w:r>
      <w:proofErr w:type="spellEnd"/>
      <w:r>
        <w:rPr>
          <w:rStyle w:val="Strong"/>
          <w:rFonts w:ascii="Segoe UI" w:hAnsi="Segoe UI" w:cs="Segoe UI"/>
          <w:color w:val="0F1115"/>
        </w:rPr>
        <w:t xml:space="preserve"> Advances</w:t>
      </w:r>
      <w:r>
        <w:rPr>
          <w:rFonts w:ascii="Segoe UI" w:hAnsi="Segoe UI" w:cs="Segoe UI"/>
          <w:color w:val="0F1115"/>
        </w:rPr>
        <w:t>, 29(1), pp.45-53.</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Bennett, M.R. and </w:t>
      </w:r>
      <w:proofErr w:type="spellStart"/>
      <w:r>
        <w:rPr>
          <w:rFonts w:ascii="Segoe UI" w:hAnsi="Segoe UI" w:cs="Segoe UI"/>
          <w:color w:val="0F1115"/>
        </w:rPr>
        <w:t>Lagopoulos</w:t>
      </w:r>
      <w:proofErr w:type="spellEnd"/>
      <w:r>
        <w:rPr>
          <w:rFonts w:ascii="Segoe UI" w:hAnsi="Segoe UI" w:cs="Segoe UI"/>
          <w:color w:val="0F1115"/>
        </w:rPr>
        <w:t>, J. (2023). </w:t>
      </w:r>
      <w:r>
        <w:rPr>
          <w:rStyle w:val="Emphasis"/>
          <w:rFonts w:ascii="Segoe UI" w:hAnsi="Segoe UI" w:cs="Segoe UI"/>
          <w:color w:val="0F1115"/>
        </w:rPr>
        <w:t>The neurodevelopmental sequelae of childhood trauma: a review of the neuroimaging findings</w:t>
      </w:r>
      <w:r>
        <w:rPr>
          <w:rFonts w:ascii="Segoe UI" w:hAnsi="Segoe UI" w:cs="Segoe UI"/>
          <w:color w:val="0F1115"/>
        </w:rPr>
        <w:t>. </w:t>
      </w:r>
      <w:r>
        <w:rPr>
          <w:rStyle w:val="Strong"/>
          <w:rFonts w:ascii="Segoe UI" w:hAnsi="Segoe UI" w:cs="Segoe UI"/>
          <w:color w:val="0F1115"/>
        </w:rPr>
        <w:t>The Lancet Psychiatry</w:t>
      </w:r>
      <w:r>
        <w:rPr>
          <w:rFonts w:ascii="Segoe UI" w:hAnsi="Segoe UI" w:cs="Segoe UI"/>
          <w:color w:val="0F1115"/>
        </w:rPr>
        <w:t>, 10(4), pp.294-305.</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BMC Psychiatry. (2024). </w:t>
      </w:r>
      <w:r>
        <w:rPr>
          <w:rStyle w:val="Emphasis"/>
          <w:rFonts w:ascii="Segoe UI" w:hAnsi="Segoe UI" w:cs="Segoe UI"/>
          <w:color w:val="0F1115"/>
        </w:rPr>
        <w:t>Special Issue: Digital Mental Health: Innovations and Challenges</w:t>
      </w:r>
      <w:r>
        <w:rPr>
          <w:rFonts w:ascii="Segoe UI" w:hAnsi="Segoe UI" w:cs="Segoe UI"/>
          <w:color w:val="0F1115"/>
        </w:rPr>
        <w:t>. [online] Available at: </w:t>
      </w:r>
      <w:hyperlink r:id="rId8" w:tgtFrame="_blank" w:history="1">
        <w:r>
          <w:rPr>
            <w:rStyle w:val="Hyperlink"/>
            <w:rFonts w:ascii="Segoe UI" w:hAnsi="Segoe UI" w:cs="Segoe UI"/>
            <w:color w:val="3964FE"/>
            <w:bdr w:val="single" w:sz="12" w:space="0" w:color="auto" w:frame="1"/>
          </w:rPr>
          <w:t>https://bmcpsychiatry.biomedcentral.com/</w:t>
        </w:r>
      </w:hyperlink>
      <w:r>
        <w:rPr>
          <w:rFonts w:ascii="Segoe UI" w:hAnsi="Segoe UI" w:cs="Segoe UI"/>
          <w:color w:val="0F1115"/>
        </w:rPr>
        <w:t> [Accessed 21 October 2024].</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Cairns, A., Yung, A.R. and Nelson, B. (2022). </w:t>
      </w:r>
      <w:r>
        <w:rPr>
          <w:rStyle w:val="Emphasis"/>
          <w:rFonts w:ascii="Segoe UI" w:hAnsi="Segoe UI" w:cs="Segoe UI"/>
          <w:color w:val="0F1115"/>
        </w:rPr>
        <w:t>The clinical and therapeutic implications of the lived experience of psychosis</w:t>
      </w:r>
      <w:r>
        <w:rPr>
          <w:rFonts w:ascii="Segoe UI" w:hAnsi="Segoe UI" w:cs="Segoe UI"/>
          <w:color w:val="0F1115"/>
        </w:rPr>
        <w:t>. </w:t>
      </w:r>
      <w:r>
        <w:rPr>
          <w:rStyle w:val="Strong"/>
          <w:rFonts w:ascii="Segoe UI" w:hAnsi="Segoe UI" w:cs="Segoe UI"/>
          <w:color w:val="0F1115"/>
        </w:rPr>
        <w:t>Schizophrenia Bulletin</w:t>
      </w:r>
      <w:r>
        <w:rPr>
          <w:rFonts w:ascii="Segoe UI" w:hAnsi="Segoe UI" w:cs="Segoe UI"/>
          <w:color w:val="0F1115"/>
        </w:rPr>
        <w:t>, 48(5), pp.991-999.</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Firth, J., </w:t>
      </w:r>
      <w:proofErr w:type="spellStart"/>
      <w:r>
        <w:rPr>
          <w:rFonts w:ascii="Segoe UI" w:hAnsi="Segoe UI" w:cs="Segoe UI"/>
          <w:color w:val="0F1115"/>
        </w:rPr>
        <w:t>Solmi</w:t>
      </w:r>
      <w:proofErr w:type="spellEnd"/>
      <w:r>
        <w:rPr>
          <w:rFonts w:ascii="Segoe UI" w:hAnsi="Segoe UI" w:cs="Segoe UI"/>
          <w:color w:val="0F1115"/>
        </w:rPr>
        <w:t xml:space="preserve">, M., Wootton, R.E., </w:t>
      </w:r>
      <w:proofErr w:type="spellStart"/>
      <w:r>
        <w:rPr>
          <w:rFonts w:ascii="Segoe UI" w:hAnsi="Segoe UI" w:cs="Segoe UI"/>
          <w:color w:val="0F1115"/>
        </w:rPr>
        <w:t>Vancampfort</w:t>
      </w:r>
      <w:proofErr w:type="spellEnd"/>
      <w:r>
        <w:rPr>
          <w:rFonts w:ascii="Segoe UI" w:hAnsi="Segoe UI" w:cs="Segoe UI"/>
          <w:color w:val="0F1115"/>
        </w:rPr>
        <w:t xml:space="preserve">, D., </w:t>
      </w:r>
      <w:proofErr w:type="spellStart"/>
      <w:r>
        <w:rPr>
          <w:rFonts w:ascii="Segoe UI" w:hAnsi="Segoe UI" w:cs="Segoe UI"/>
          <w:color w:val="0F1115"/>
        </w:rPr>
        <w:t>Schuch</w:t>
      </w:r>
      <w:proofErr w:type="spellEnd"/>
      <w:r>
        <w:rPr>
          <w:rFonts w:ascii="Segoe UI" w:hAnsi="Segoe UI" w:cs="Segoe UI"/>
          <w:color w:val="0F1115"/>
        </w:rPr>
        <w:t xml:space="preserve">, F.B., Hoare, E., </w:t>
      </w:r>
      <w:proofErr w:type="spellStart"/>
      <w:r>
        <w:rPr>
          <w:rFonts w:ascii="Segoe UI" w:hAnsi="Segoe UI" w:cs="Segoe UI"/>
          <w:color w:val="0F1115"/>
        </w:rPr>
        <w:t>Gilbody</w:t>
      </w:r>
      <w:proofErr w:type="spellEnd"/>
      <w:r>
        <w:rPr>
          <w:rFonts w:ascii="Segoe UI" w:hAnsi="Segoe UI" w:cs="Segoe UI"/>
          <w:color w:val="0F1115"/>
        </w:rPr>
        <w:t xml:space="preserve">, S., </w:t>
      </w:r>
      <w:proofErr w:type="spellStart"/>
      <w:r>
        <w:rPr>
          <w:rFonts w:ascii="Segoe UI" w:hAnsi="Segoe UI" w:cs="Segoe UI"/>
          <w:color w:val="0F1115"/>
        </w:rPr>
        <w:t>Torous</w:t>
      </w:r>
      <w:proofErr w:type="spellEnd"/>
      <w:r>
        <w:rPr>
          <w:rFonts w:ascii="Segoe UI" w:hAnsi="Segoe UI" w:cs="Segoe UI"/>
          <w:color w:val="0F1115"/>
        </w:rPr>
        <w:t>, J. and Stubbs, B. (2023). </w:t>
      </w:r>
      <w:r>
        <w:rPr>
          <w:rStyle w:val="Emphasis"/>
          <w:rFonts w:ascii="Segoe UI" w:hAnsi="Segoe UI" w:cs="Segoe UI"/>
          <w:color w:val="0F1115"/>
        </w:rPr>
        <w:t>A meta-review of lifestyle psychiatry: the efficacy of interventions targeting diet, sleep, and exercise for the treatment of mental disorders</w:t>
      </w:r>
      <w:r>
        <w:rPr>
          <w:rFonts w:ascii="Segoe UI" w:hAnsi="Segoe UI" w:cs="Segoe UI"/>
          <w:color w:val="0F1115"/>
        </w:rPr>
        <w:t>. </w:t>
      </w:r>
      <w:r>
        <w:rPr>
          <w:rStyle w:val="Strong"/>
          <w:rFonts w:ascii="Segoe UI" w:hAnsi="Segoe UI" w:cs="Segoe UI"/>
          <w:color w:val="0F1115"/>
        </w:rPr>
        <w:t>World Psychiatry</w:t>
      </w:r>
      <w:r>
        <w:rPr>
          <w:rFonts w:ascii="Segoe UI" w:hAnsi="Segoe UI" w:cs="Segoe UI"/>
          <w:color w:val="0F1115"/>
        </w:rPr>
        <w:t>, 22(2), pp. 218-234.</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Gillard, S. and Gibson, S.L. (2023). </w:t>
      </w:r>
      <w:r>
        <w:rPr>
          <w:rStyle w:val="Emphasis"/>
          <w:rFonts w:ascii="Segoe UI" w:hAnsi="Segoe UI" w:cs="Segoe UI"/>
          <w:color w:val="0F1115"/>
        </w:rPr>
        <w:t>Co-production in mental health research: a systematic review of the literature</w:t>
      </w:r>
      <w:r>
        <w:rPr>
          <w:rFonts w:ascii="Segoe UI" w:hAnsi="Segoe UI" w:cs="Segoe UI"/>
          <w:color w:val="0F1115"/>
        </w:rPr>
        <w:t>. </w:t>
      </w:r>
      <w:r>
        <w:rPr>
          <w:rStyle w:val="Strong"/>
          <w:rFonts w:ascii="Segoe UI" w:hAnsi="Segoe UI" w:cs="Segoe UI"/>
          <w:color w:val="0F1115"/>
        </w:rPr>
        <w:t>Epidemiology and Psychiatric Sciences</w:t>
      </w:r>
      <w:r>
        <w:rPr>
          <w:rFonts w:ascii="Segoe UI" w:hAnsi="Segoe UI" w:cs="Segoe UI"/>
          <w:color w:val="0F1115"/>
        </w:rPr>
        <w:t>, 32, e25.</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Hollis, C., Livingstone, S. and </w:t>
      </w:r>
      <w:proofErr w:type="spellStart"/>
      <w:r>
        <w:rPr>
          <w:rFonts w:ascii="Segoe UI" w:hAnsi="Segoe UI" w:cs="Segoe UI"/>
          <w:color w:val="0F1115"/>
        </w:rPr>
        <w:t>Sonuga-Barke</w:t>
      </w:r>
      <w:proofErr w:type="spellEnd"/>
      <w:r>
        <w:rPr>
          <w:rFonts w:ascii="Segoe UI" w:hAnsi="Segoe UI" w:cs="Segoe UI"/>
          <w:color w:val="0F1115"/>
        </w:rPr>
        <w:t>, E. (2023). </w:t>
      </w:r>
      <w:r>
        <w:rPr>
          <w:rStyle w:val="Emphasis"/>
          <w:rFonts w:ascii="Segoe UI" w:hAnsi="Segoe UI" w:cs="Segoe UI"/>
          <w:color w:val="0F1115"/>
        </w:rPr>
        <w:t>The role of digital technology in children and young people's mental health: a consensus statement</w:t>
      </w:r>
      <w:r>
        <w:rPr>
          <w:rFonts w:ascii="Segoe UI" w:hAnsi="Segoe UI" w:cs="Segoe UI"/>
          <w:color w:val="0F1115"/>
        </w:rPr>
        <w:t>. </w:t>
      </w:r>
      <w:r>
        <w:rPr>
          <w:rStyle w:val="Strong"/>
          <w:rFonts w:ascii="Segoe UI" w:hAnsi="Segoe UI" w:cs="Segoe UI"/>
          <w:color w:val="0F1115"/>
        </w:rPr>
        <w:t>The Lancet Child &amp; Adolescent Health</w:t>
      </w:r>
      <w:r>
        <w:rPr>
          <w:rFonts w:ascii="Segoe UI" w:hAnsi="Segoe UI" w:cs="Segoe UI"/>
          <w:color w:val="0F1115"/>
        </w:rPr>
        <w:t>, 7(5), pp. 316-318.</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Hughes, N., Meek, S. and Kessler, D. (2024). *Long-term outcomes of SSRIs in anxiety disorders: a 10-year follow-up study*. </w:t>
      </w:r>
      <w:r>
        <w:rPr>
          <w:rStyle w:val="Strong"/>
          <w:rFonts w:ascii="Segoe UI" w:hAnsi="Segoe UI" w:cs="Segoe UI"/>
          <w:color w:val="0F1115"/>
        </w:rPr>
        <w:t>Psychological Medicine</w:t>
      </w:r>
      <w:r>
        <w:rPr>
          <w:rFonts w:ascii="Segoe UI" w:hAnsi="Segoe UI" w:cs="Segoe UI"/>
          <w:color w:val="0F1115"/>
        </w:rPr>
        <w:t>, 54(1), pp. 123-134.</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proofErr w:type="spellStart"/>
      <w:r>
        <w:rPr>
          <w:rFonts w:ascii="Segoe UI" w:hAnsi="Segoe UI" w:cs="Segoe UI"/>
          <w:color w:val="0F1115"/>
        </w:rPr>
        <w:t>Javed</w:t>
      </w:r>
      <w:proofErr w:type="spellEnd"/>
      <w:r>
        <w:rPr>
          <w:rFonts w:ascii="Segoe UI" w:hAnsi="Segoe UI" w:cs="Segoe UI"/>
          <w:color w:val="0F1115"/>
        </w:rPr>
        <w:t xml:space="preserve">, A. and </w:t>
      </w:r>
      <w:proofErr w:type="spellStart"/>
      <w:r>
        <w:rPr>
          <w:rFonts w:ascii="Segoe UI" w:hAnsi="Segoe UI" w:cs="Segoe UI"/>
          <w:color w:val="0F1115"/>
        </w:rPr>
        <w:t>Oquendo</w:t>
      </w:r>
      <w:proofErr w:type="spellEnd"/>
      <w:r>
        <w:rPr>
          <w:rFonts w:ascii="Segoe UI" w:hAnsi="Segoe UI" w:cs="Segoe UI"/>
          <w:color w:val="0F1115"/>
        </w:rPr>
        <w:t>, M.A. (2023). </w:t>
      </w:r>
      <w:r>
        <w:rPr>
          <w:rStyle w:val="Emphasis"/>
          <w:rFonts w:ascii="Segoe UI" w:hAnsi="Segoe UI" w:cs="Segoe UI"/>
          <w:color w:val="0F1115"/>
        </w:rPr>
        <w:t>Mental health equity and the global prevalence of mental disorders: a call for action</w:t>
      </w:r>
      <w:r>
        <w:rPr>
          <w:rFonts w:ascii="Segoe UI" w:hAnsi="Segoe UI" w:cs="Segoe UI"/>
          <w:color w:val="0F1115"/>
        </w:rPr>
        <w:t>. </w:t>
      </w:r>
      <w:r>
        <w:rPr>
          <w:rStyle w:val="Strong"/>
          <w:rFonts w:ascii="Segoe UI" w:hAnsi="Segoe UI" w:cs="Segoe UI"/>
          <w:color w:val="0F1115"/>
        </w:rPr>
        <w:t>JAMA Psychiatry</w:t>
      </w:r>
      <w:r>
        <w:rPr>
          <w:rFonts w:ascii="Segoe UI" w:hAnsi="Segoe UI" w:cs="Segoe UI"/>
          <w:color w:val="0F1115"/>
        </w:rPr>
        <w:t>, 80(7), pp. 659-660.</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Johnson, S., Dalton-Locke, C., Baker, J., Hanlon, C., Salisbury, T.T., </w:t>
      </w:r>
      <w:proofErr w:type="spellStart"/>
      <w:r>
        <w:rPr>
          <w:rFonts w:ascii="Segoe UI" w:hAnsi="Segoe UI" w:cs="Segoe UI"/>
          <w:color w:val="0F1115"/>
        </w:rPr>
        <w:t>Fossey</w:t>
      </w:r>
      <w:proofErr w:type="spellEnd"/>
      <w:r>
        <w:rPr>
          <w:rFonts w:ascii="Segoe UI" w:hAnsi="Segoe UI" w:cs="Segoe UI"/>
          <w:color w:val="0F1115"/>
        </w:rPr>
        <w:t xml:space="preserve">, M., </w:t>
      </w:r>
      <w:proofErr w:type="spellStart"/>
      <w:r>
        <w:rPr>
          <w:rFonts w:ascii="Segoe UI" w:hAnsi="Segoe UI" w:cs="Segoe UI"/>
          <w:color w:val="0F1115"/>
        </w:rPr>
        <w:t>Newbigging</w:t>
      </w:r>
      <w:proofErr w:type="spellEnd"/>
      <w:r>
        <w:rPr>
          <w:rFonts w:ascii="Segoe UI" w:hAnsi="Segoe UI" w:cs="Segoe UI"/>
          <w:color w:val="0F1115"/>
        </w:rPr>
        <w:t xml:space="preserve">, K., </w:t>
      </w:r>
      <w:proofErr w:type="spellStart"/>
      <w:r>
        <w:rPr>
          <w:rFonts w:ascii="Segoe UI" w:hAnsi="Segoe UI" w:cs="Segoe UI"/>
          <w:color w:val="0F1115"/>
        </w:rPr>
        <w:t>Carr</w:t>
      </w:r>
      <w:proofErr w:type="spellEnd"/>
      <w:r>
        <w:rPr>
          <w:rFonts w:ascii="Segoe UI" w:hAnsi="Segoe UI" w:cs="Segoe UI"/>
          <w:color w:val="0F1115"/>
        </w:rPr>
        <w:t>, S.E., Hensel, J., Paterson, B. and Gillard, S. (2021). </w:t>
      </w:r>
      <w:r>
        <w:rPr>
          <w:rStyle w:val="Emphasis"/>
          <w:rFonts w:ascii="Segoe UI" w:hAnsi="Segoe UI" w:cs="Segoe UI"/>
          <w:color w:val="0F1115"/>
        </w:rPr>
        <w:t>Acute psychiatric care: approaches to increasing the range of services and improving access and quality of care</w:t>
      </w:r>
      <w:r>
        <w:rPr>
          <w:rFonts w:ascii="Segoe UI" w:hAnsi="Segoe UI" w:cs="Segoe UI"/>
          <w:color w:val="0F1115"/>
        </w:rPr>
        <w:t>. </w:t>
      </w:r>
      <w:r>
        <w:rPr>
          <w:rStyle w:val="Strong"/>
          <w:rFonts w:ascii="Segoe UI" w:hAnsi="Segoe UI" w:cs="Segoe UI"/>
          <w:color w:val="0F1115"/>
        </w:rPr>
        <w:t>World Psychiatry</w:t>
      </w:r>
      <w:r>
        <w:rPr>
          <w:rFonts w:ascii="Segoe UI" w:hAnsi="Segoe UI" w:cs="Segoe UI"/>
          <w:color w:val="0F1115"/>
        </w:rPr>
        <w:t>, 21(2), pp. 220-236.</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Kendrick, T. and Pilling, S. (2023). </w:t>
      </w:r>
      <w:r>
        <w:rPr>
          <w:rStyle w:val="Emphasis"/>
          <w:rFonts w:ascii="Segoe UI" w:hAnsi="Segoe UI" w:cs="Segoe UI"/>
          <w:color w:val="0F1115"/>
        </w:rPr>
        <w:t>The new NICE guideline for depression in adults: an overview of key recommendations</w:t>
      </w:r>
      <w:r>
        <w:rPr>
          <w:rFonts w:ascii="Segoe UI" w:hAnsi="Segoe UI" w:cs="Segoe UI"/>
          <w:color w:val="0F1115"/>
        </w:rPr>
        <w:t>. </w:t>
      </w:r>
      <w:proofErr w:type="spellStart"/>
      <w:r>
        <w:rPr>
          <w:rStyle w:val="Strong"/>
          <w:rFonts w:ascii="Segoe UI" w:hAnsi="Segoe UI" w:cs="Segoe UI"/>
          <w:color w:val="0F1115"/>
        </w:rPr>
        <w:t>BJPsych</w:t>
      </w:r>
      <w:proofErr w:type="spellEnd"/>
      <w:r>
        <w:rPr>
          <w:rStyle w:val="Strong"/>
          <w:rFonts w:ascii="Segoe UI" w:hAnsi="Segoe UI" w:cs="Segoe UI"/>
          <w:color w:val="0F1115"/>
        </w:rPr>
        <w:t xml:space="preserve"> Advances</w:t>
      </w:r>
      <w:r>
        <w:rPr>
          <w:rFonts w:ascii="Segoe UI" w:hAnsi="Segoe UI" w:cs="Segoe UI"/>
          <w:color w:val="0F1115"/>
        </w:rPr>
        <w:t>, 29(3), pp. 162-169.</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Kola, L., </w:t>
      </w:r>
      <w:proofErr w:type="spellStart"/>
      <w:r>
        <w:rPr>
          <w:rFonts w:ascii="Segoe UI" w:hAnsi="Segoe UI" w:cs="Segoe UI"/>
          <w:color w:val="0F1115"/>
        </w:rPr>
        <w:t>Kohrt</w:t>
      </w:r>
      <w:proofErr w:type="spellEnd"/>
      <w:r>
        <w:rPr>
          <w:rFonts w:ascii="Segoe UI" w:hAnsi="Segoe UI" w:cs="Segoe UI"/>
          <w:color w:val="0F1115"/>
        </w:rPr>
        <w:t xml:space="preserve">, B.A., Hanlon, C., </w:t>
      </w:r>
      <w:proofErr w:type="spellStart"/>
      <w:r>
        <w:rPr>
          <w:rFonts w:ascii="Segoe UI" w:hAnsi="Segoe UI" w:cs="Segoe UI"/>
          <w:color w:val="0F1115"/>
        </w:rPr>
        <w:t>Naslund</w:t>
      </w:r>
      <w:proofErr w:type="spellEnd"/>
      <w:r>
        <w:rPr>
          <w:rFonts w:ascii="Segoe UI" w:hAnsi="Segoe UI" w:cs="Segoe UI"/>
          <w:color w:val="0F1115"/>
        </w:rPr>
        <w:t xml:space="preserve">, J.A., </w:t>
      </w:r>
      <w:proofErr w:type="spellStart"/>
      <w:r>
        <w:rPr>
          <w:rFonts w:ascii="Segoe UI" w:hAnsi="Segoe UI" w:cs="Segoe UI"/>
          <w:color w:val="0F1115"/>
        </w:rPr>
        <w:t>Sikander</w:t>
      </w:r>
      <w:proofErr w:type="spellEnd"/>
      <w:r>
        <w:rPr>
          <w:rFonts w:ascii="Segoe UI" w:hAnsi="Segoe UI" w:cs="Segoe UI"/>
          <w:color w:val="0F1115"/>
        </w:rPr>
        <w:t xml:space="preserve">, S., </w:t>
      </w:r>
      <w:proofErr w:type="spellStart"/>
      <w:r>
        <w:rPr>
          <w:rFonts w:ascii="Segoe UI" w:hAnsi="Segoe UI" w:cs="Segoe UI"/>
          <w:color w:val="0F1115"/>
        </w:rPr>
        <w:t>Balaji</w:t>
      </w:r>
      <w:proofErr w:type="spellEnd"/>
      <w:r>
        <w:rPr>
          <w:rFonts w:ascii="Segoe UI" w:hAnsi="Segoe UI" w:cs="Segoe UI"/>
          <w:color w:val="0F1115"/>
        </w:rPr>
        <w:t xml:space="preserve">, M., </w:t>
      </w:r>
      <w:proofErr w:type="spellStart"/>
      <w:r>
        <w:rPr>
          <w:rFonts w:ascii="Segoe UI" w:hAnsi="Segoe UI" w:cs="Segoe UI"/>
          <w:color w:val="0F1115"/>
        </w:rPr>
        <w:t>Benjet</w:t>
      </w:r>
      <w:proofErr w:type="spellEnd"/>
      <w:r>
        <w:rPr>
          <w:rFonts w:ascii="Segoe UI" w:hAnsi="Segoe UI" w:cs="Segoe UI"/>
          <w:color w:val="0F1115"/>
        </w:rPr>
        <w:t xml:space="preserve">, C., Cheung, E.Y.L., Eaton, J., </w:t>
      </w:r>
      <w:proofErr w:type="spellStart"/>
      <w:r>
        <w:rPr>
          <w:rFonts w:ascii="Segoe UI" w:hAnsi="Segoe UI" w:cs="Segoe UI"/>
          <w:color w:val="0F1115"/>
        </w:rPr>
        <w:t>Gonsalves</w:t>
      </w:r>
      <w:proofErr w:type="spellEnd"/>
      <w:r>
        <w:rPr>
          <w:rFonts w:ascii="Segoe UI" w:hAnsi="Segoe UI" w:cs="Segoe UI"/>
          <w:color w:val="0F1115"/>
        </w:rPr>
        <w:t xml:space="preserve">, P. and </w:t>
      </w:r>
      <w:proofErr w:type="spellStart"/>
      <w:r>
        <w:rPr>
          <w:rFonts w:ascii="Segoe UI" w:hAnsi="Segoe UI" w:cs="Segoe UI"/>
          <w:color w:val="0F1115"/>
        </w:rPr>
        <w:t>Hailemariam</w:t>
      </w:r>
      <w:proofErr w:type="spellEnd"/>
      <w:r>
        <w:rPr>
          <w:rFonts w:ascii="Segoe UI" w:hAnsi="Segoe UI" w:cs="Segoe UI"/>
          <w:color w:val="0F1115"/>
        </w:rPr>
        <w:t>, M. (2021). *COVID-19 mental health impact and responses in low-income and middle-income countries: reimagining global mental health*. </w:t>
      </w:r>
      <w:r>
        <w:rPr>
          <w:rStyle w:val="Strong"/>
          <w:rFonts w:ascii="Segoe UI" w:hAnsi="Segoe UI" w:cs="Segoe UI"/>
          <w:color w:val="0F1115"/>
        </w:rPr>
        <w:t>The Lancet Psychiatry</w:t>
      </w:r>
      <w:r>
        <w:rPr>
          <w:rFonts w:ascii="Segoe UI" w:hAnsi="Segoe UI" w:cs="Segoe UI"/>
          <w:color w:val="0F1115"/>
        </w:rPr>
        <w:t>, 8(6), pp. 535-550.</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Livingstone, S. and Smith, P.K. (2023). </w:t>
      </w:r>
      <w:r>
        <w:rPr>
          <w:rStyle w:val="Emphasis"/>
          <w:rFonts w:ascii="Segoe UI" w:hAnsi="Segoe UI" w:cs="Segoe UI"/>
          <w:color w:val="0F1115"/>
        </w:rPr>
        <w:t>Annual research review: Harms experienced by child users of online and mobile technologies: the nature, prevalence and management of sexual and aggressive risks in the digital age</w:t>
      </w:r>
      <w:r>
        <w:rPr>
          <w:rFonts w:ascii="Segoe UI" w:hAnsi="Segoe UI" w:cs="Segoe UI"/>
          <w:color w:val="0F1115"/>
        </w:rPr>
        <w:t>. </w:t>
      </w:r>
      <w:r>
        <w:rPr>
          <w:rStyle w:val="Strong"/>
          <w:rFonts w:ascii="Segoe UI" w:hAnsi="Segoe UI" w:cs="Segoe UI"/>
          <w:color w:val="0F1115"/>
        </w:rPr>
        <w:t>Journal of Child Psychology and Psychiatry</w:t>
      </w:r>
      <w:r>
        <w:rPr>
          <w:rFonts w:ascii="Segoe UI" w:hAnsi="Segoe UI" w:cs="Segoe UI"/>
          <w:color w:val="0F1115"/>
        </w:rPr>
        <w:t>, 65(4), pp. 420-445.</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Mars, B., </w:t>
      </w:r>
      <w:proofErr w:type="spellStart"/>
      <w:r>
        <w:rPr>
          <w:rFonts w:ascii="Segoe UI" w:hAnsi="Segoe UI" w:cs="Segoe UI"/>
          <w:color w:val="0F1115"/>
        </w:rPr>
        <w:t>Gunnell</w:t>
      </w:r>
      <w:proofErr w:type="spellEnd"/>
      <w:r>
        <w:rPr>
          <w:rFonts w:ascii="Segoe UI" w:hAnsi="Segoe UI" w:cs="Segoe UI"/>
          <w:color w:val="0F1115"/>
        </w:rPr>
        <w:t xml:space="preserve">, D., Biddle, L. and </w:t>
      </w:r>
      <w:proofErr w:type="spellStart"/>
      <w:r>
        <w:rPr>
          <w:rFonts w:ascii="Segoe UI" w:hAnsi="Segoe UI" w:cs="Segoe UI"/>
          <w:color w:val="0F1115"/>
        </w:rPr>
        <w:t>Kidger</w:t>
      </w:r>
      <w:proofErr w:type="spellEnd"/>
      <w:r>
        <w:rPr>
          <w:rFonts w:ascii="Segoe UI" w:hAnsi="Segoe UI" w:cs="Segoe UI"/>
          <w:color w:val="0F1115"/>
        </w:rPr>
        <w:t>, J. (2024). </w:t>
      </w:r>
      <w:r>
        <w:rPr>
          <w:rStyle w:val="Emphasis"/>
          <w:rFonts w:ascii="Segoe UI" w:hAnsi="Segoe UI" w:cs="Segoe UI"/>
          <w:color w:val="0F1115"/>
        </w:rPr>
        <w:t>Public mental health and the prevention of suicide</w:t>
      </w:r>
      <w:r>
        <w:rPr>
          <w:rFonts w:ascii="Segoe UI" w:hAnsi="Segoe UI" w:cs="Segoe UI"/>
          <w:color w:val="0F1115"/>
        </w:rPr>
        <w:t>. </w:t>
      </w:r>
      <w:r>
        <w:rPr>
          <w:rStyle w:val="Strong"/>
          <w:rFonts w:ascii="Segoe UI" w:hAnsi="Segoe UI" w:cs="Segoe UI"/>
          <w:color w:val="0F1115"/>
        </w:rPr>
        <w:t>The British Journal of Psychiatry</w:t>
      </w:r>
      <w:r>
        <w:rPr>
          <w:rFonts w:ascii="Segoe UI" w:hAnsi="Segoe UI" w:cs="Segoe UI"/>
          <w:color w:val="0F1115"/>
        </w:rPr>
        <w:t>, 224(4), pp. 115-117.</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Mind. (2024). </w:t>
      </w:r>
      <w:proofErr w:type="gramStart"/>
      <w:r>
        <w:rPr>
          <w:rStyle w:val="Emphasis"/>
          <w:rFonts w:ascii="Segoe UI" w:hAnsi="Segoe UI" w:cs="Segoe UI"/>
          <w:color w:val="0F1115"/>
        </w:rPr>
        <w:t>The</w:t>
      </w:r>
      <w:proofErr w:type="gramEnd"/>
      <w:r>
        <w:rPr>
          <w:rStyle w:val="Emphasis"/>
          <w:rFonts w:ascii="Segoe UI" w:hAnsi="Segoe UI" w:cs="Segoe UI"/>
          <w:color w:val="0F1115"/>
        </w:rPr>
        <w:t xml:space="preserve"> Mind Report: The State of Mental Health in England 2024</w:t>
      </w:r>
      <w:r>
        <w:rPr>
          <w:rFonts w:ascii="Segoe UI" w:hAnsi="Segoe UI" w:cs="Segoe UI"/>
          <w:color w:val="0F1115"/>
        </w:rPr>
        <w:t>. [online] London: Mind. Available at: </w:t>
      </w:r>
      <w:hyperlink r:id="rId9" w:tgtFrame="_blank" w:history="1">
        <w:r>
          <w:rPr>
            <w:rStyle w:val="Hyperlink"/>
            <w:rFonts w:ascii="Segoe UI" w:hAnsi="Segoe UI" w:cs="Segoe UI"/>
            <w:color w:val="3964FE"/>
            <w:bdr w:val="single" w:sz="12" w:space="0" w:color="auto" w:frame="1"/>
          </w:rPr>
          <w:t>https://www.mind.org.uk/news-campaigns/</w:t>
        </w:r>
      </w:hyperlink>
      <w:r>
        <w:rPr>
          <w:rFonts w:ascii="Segoe UI" w:hAnsi="Segoe UI" w:cs="Segoe UI"/>
          <w:color w:val="0F1115"/>
        </w:rPr>
        <w:t> [Accessed 21 October 2024].</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NHS Digital. (2023). *Mental Health of Children and Young People in England, 2023 - Wave 4 follow up to the 2017 survey*. [online] Available at: </w:t>
      </w:r>
      <w:hyperlink r:id="rId10" w:tgtFrame="_blank" w:history="1">
        <w:r>
          <w:rPr>
            <w:rStyle w:val="Hyperlink"/>
            <w:rFonts w:ascii="Segoe UI" w:hAnsi="Segoe UI" w:cs="Segoe UI"/>
            <w:color w:val="3964FE"/>
            <w:bdr w:val="single" w:sz="12" w:space="0" w:color="auto" w:frame="1"/>
          </w:rPr>
          <w:t>https://digital.nhs.uk/data-and-information/publications/statistical/mental-health-of-children-and-young-people-in-england/</w:t>
        </w:r>
      </w:hyperlink>
      <w:r>
        <w:rPr>
          <w:rFonts w:ascii="Segoe UI" w:hAnsi="Segoe UI" w:cs="Segoe UI"/>
          <w:color w:val="0F1115"/>
        </w:rPr>
        <w:t> [Accessed 21 October 2024].</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Patel, V., </w:t>
      </w:r>
      <w:proofErr w:type="spellStart"/>
      <w:r>
        <w:rPr>
          <w:rFonts w:ascii="Segoe UI" w:hAnsi="Segoe UI" w:cs="Segoe UI"/>
          <w:color w:val="0F1115"/>
        </w:rPr>
        <w:t>Saxena</w:t>
      </w:r>
      <w:proofErr w:type="spellEnd"/>
      <w:r>
        <w:rPr>
          <w:rFonts w:ascii="Segoe UI" w:hAnsi="Segoe UI" w:cs="Segoe UI"/>
          <w:color w:val="0F1115"/>
        </w:rPr>
        <w:t xml:space="preserve">, S., Lund, C., Thornicroft, G., </w:t>
      </w:r>
      <w:proofErr w:type="spellStart"/>
      <w:r>
        <w:rPr>
          <w:rFonts w:ascii="Segoe UI" w:hAnsi="Segoe UI" w:cs="Segoe UI"/>
          <w:color w:val="0F1115"/>
        </w:rPr>
        <w:t>Baingana</w:t>
      </w:r>
      <w:proofErr w:type="spellEnd"/>
      <w:r>
        <w:rPr>
          <w:rFonts w:ascii="Segoe UI" w:hAnsi="Segoe UI" w:cs="Segoe UI"/>
          <w:color w:val="0F1115"/>
        </w:rPr>
        <w:t xml:space="preserve">, F., Bolton, P., Chisholm, D., Collins, P.Y., Cooper, J.L., Eaton, J. and </w:t>
      </w:r>
      <w:proofErr w:type="spellStart"/>
      <w:r>
        <w:rPr>
          <w:rFonts w:ascii="Segoe UI" w:hAnsi="Segoe UI" w:cs="Segoe UI"/>
          <w:color w:val="0F1115"/>
        </w:rPr>
        <w:t>Herrman</w:t>
      </w:r>
      <w:proofErr w:type="spellEnd"/>
      <w:r>
        <w:rPr>
          <w:rFonts w:ascii="Segoe UI" w:hAnsi="Segoe UI" w:cs="Segoe UI"/>
          <w:color w:val="0F1115"/>
        </w:rPr>
        <w:t>, H. (2023). </w:t>
      </w:r>
      <w:r>
        <w:rPr>
          <w:rStyle w:val="Emphasis"/>
          <w:rFonts w:ascii="Segoe UI" w:hAnsi="Segoe UI" w:cs="Segoe UI"/>
          <w:color w:val="0F1115"/>
        </w:rPr>
        <w:t>The Lancet Commission on global mental health and sustainable development</w:t>
      </w:r>
      <w:r>
        <w:rPr>
          <w:rFonts w:ascii="Segoe UI" w:hAnsi="Segoe UI" w:cs="Segoe UI"/>
          <w:color w:val="0F1115"/>
        </w:rPr>
        <w:t>. </w:t>
      </w:r>
      <w:r>
        <w:rPr>
          <w:rStyle w:val="Strong"/>
          <w:rFonts w:ascii="Segoe UI" w:hAnsi="Segoe UI" w:cs="Segoe UI"/>
          <w:color w:val="0F1115"/>
        </w:rPr>
        <w:t>The Lancet</w:t>
      </w:r>
      <w:r>
        <w:rPr>
          <w:rFonts w:ascii="Segoe UI" w:hAnsi="Segoe UI" w:cs="Segoe UI"/>
          <w:color w:val="0F1115"/>
        </w:rPr>
        <w:t>, 392(10157), pp. 1553-1598.</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Royal College of Psychiatrists. (2022). </w:t>
      </w:r>
      <w:r>
        <w:rPr>
          <w:rStyle w:val="Emphasis"/>
          <w:rFonts w:ascii="Segoe UI" w:hAnsi="Segoe UI" w:cs="Segoe UI"/>
          <w:color w:val="0F1115"/>
        </w:rPr>
        <w:t>Position Statement on Psychedelic-Assisted Psychotherapy</w:t>
      </w:r>
      <w:r>
        <w:rPr>
          <w:rFonts w:ascii="Segoe UI" w:hAnsi="Segoe UI" w:cs="Segoe UI"/>
          <w:color w:val="0F1115"/>
        </w:rPr>
        <w:t xml:space="preserve">. [online] London: </w:t>
      </w:r>
      <w:proofErr w:type="spellStart"/>
      <w:r>
        <w:rPr>
          <w:rFonts w:ascii="Segoe UI" w:hAnsi="Segoe UI" w:cs="Segoe UI"/>
          <w:color w:val="0F1115"/>
        </w:rPr>
        <w:t>RCPsych</w:t>
      </w:r>
      <w:proofErr w:type="spellEnd"/>
      <w:r>
        <w:rPr>
          <w:rFonts w:ascii="Segoe UI" w:hAnsi="Segoe UI" w:cs="Segoe UI"/>
          <w:color w:val="0F1115"/>
        </w:rPr>
        <w:t>. Available at: </w:t>
      </w:r>
      <w:hyperlink r:id="rId11" w:tgtFrame="_blank" w:history="1">
        <w:r>
          <w:rPr>
            <w:rStyle w:val="Hyperlink"/>
            <w:rFonts w:ascii="Segoe UI" w:hAnsi="Segoe UI" w:cs="Segoe UI"/>
            <w:color w:val="3964FE"/>
            <w:bdr w:val="single" w:sz="12" w:space="0" w:color="auto" w:frame="1"/>
          </w:rPr>
          <w:t>https://www.rcpsych.ac.uk/</w:t>
        </w:r>
      </w:hyperlink>
      <w:r>
        <w:rPr>
          <w:rFonts w:ascii="Segoe UI" w:hAnsi="Segoe UI" w:cs="Segoe UI"/>
          <w:color w:val="0F1115"/>
        </w:rPr>
        <w:t> [Accessed 21 October 2024].</w:t>
      </w:r>
    </w:p>
    <w:p w:rsidR="006A64BE" w:rsidRDefault="006A64BE" w:rsidP="006A64BE">
      <w:pPr>
        <w:pStyle w:val="ds-markdown-paragraph"/>
        <w:numPr>
          <w:ilvl w:val="0"/>
          <w:numId w:val="4"/>
        </w:numPr>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Thornicroft, G., </w:t>
      </w:r>
      <w:proofErr w:type="spellStart"/>
      <w:r>
        <w:rPr>
          <w:rFonts w:ascii="Segoe UI" w:hAnsi="Segoe UI" w:cs="Segoe UI"/>
          <w:color w:val="0F1115"/>
        </w:rPr>
        <w:t>Sunkel</w:t>
      </w:r>
      <w:proofErr w:type="spellEnd"/>
      <w:r>
        <w:rPr>
          <w:rFonts w:ascii="Segoe UI" w:hAnsi="Segoe UI" w:cs="Segoe UI"/>
          <w:color w:val="0F1115"/>
        </w:rPr>
        <w:t xml:space="preserve">, C., </w:t>
      </w:r>
      <w:proofErr w:type="spellStart"/>
      <w:r>
        <w:rPr>
          <w:rFonts w:ascii="Segoe UI" w:hAnsi="Segoe UI" w:cs="Segoe UI"/>
          <w:color w:val="0F1115"/>
        </w:rPr>
        <w:t>Aliev</w:t>
      </w:r>
      <w:proofErr w:type="spellEnd"/>
      <w:r>
        <w:rPr>
          <w:rFonts w:ascii="Segoe UI" w:hAnsi="Segoe UI" w:cs="Segoe UI"/>
          <w:color w:val="0F1115"/>
        </w:rPr>
        <w:t xml:space="preserve">, A.A., Baker, S., </w:t>
      </w:r>
      <w:proofErr w:type="spellStart"/>
      <w:r>
        <w:rPr>
          <w:rFonts w:ascii="Segoe UI" w:hAnsi="Segoe UI" w:cs="Segoe UI"/>
          <w:color w:val="0F1115"/>
        </w:rPr>
        <w:t>Brohan</w:t>
      </w:r>
      <w:proofErr w:type="spellEnd"/>
      <w:r>
        <w:rPr>
          <w:rFonts w:ascii="Segoe UI" w:hAnsi="Segoe UI" w:cs="Segoe UI"/>
          <w:color w:val="0F1115"/>
        </w:rPr>
        <w:t xml:space="preserve">, E., El </w:t>
      </w:r>
      <w:proofErr w:type="spellStart"/>
      <w:r>
        <w:rPr>
          <w:rFonts w:ascii="Segoe UI" w:hAnsi="Segoe UI" w:cs="Segoe UI"/>
          <w:color w:val="0F1115"/>
        </w:rPr>
        <w:t>Chammay</w:t>
      </w:r>
      <w:proofErr w:type="spellEnd"/>
      <w:r>
        <w:rPr>
          <w:rFonts w:ascii="Segoe UI" w:hAnsi="Segoe UI" w:cs="Segoe UI"/>
          <w:color w:val="0F1115"/>
        </w:rPr>
        <w:t xml:space="preserve">, R., Davies, K., </w:t>
      </w:r>
      <w:proofErr w:type="spellStart"/>
      <w:r>
        <w:rPr>
          <w:rFonts w:ascii="Segoe UI" w:hAnsi="Segoe UI" w:cs="Segoe UI"/>
          <w:color w:val="0F1115"/>
        </w:rPr>
        <w:t>Demissie</w:t>
      </w:r>
      <w:proofErr w:type="spellEnd"/>
      <w:r>
        <w:rPr>
          <w:rFonts w:ascii="Segoe UI" w:hAnsi="Segoe UI" w:cs="Segoe UI"/>
          <w:color w:val="0F1115"/>
        </w:rPr>
        <w:t xml:space="preserve">, M., Duncan, J., </w:t>
      </w:r>
      <w:proofErr w:type="spellStart"/>
      <w:r>
        <w:rPr>
          <w:rFonts w:ascii="Segoe UI" w:hAnsi="Segoe UI" w:cs="Segoe UI"/>
          <w:color w:val="0F1115"/>
        </w:rPr>
        <w:t>Fekadu</w:t>
      </w:r>
      <w:proofErr w:type="spellEnd"/>
      <w:r>
        <w:rPr>
          <w:rFonts w:ascii="Segoe UI" w:hAnsi="Segoe UI" w:cs="Segoe UI"/>
          <w:color w:val="0F1115"/>
        </w:rPr>
        <w:t xml:space="preserve">, W. and </w:t>
      </w:r>
      <w:proofErr w:type="spellStart"/>
      <w:r>
        <w:rPr>
          <w:rFonts w:ascii="Segoe UI" w:hAnsi="Segoe UI" w:cs="Segoe UI"/>
          <w:color w:val="0F1115"/>
        </w:rPr>
        <w:t>Gronholm</w:t>
      </w:r>
      <w:proofErr w:type="spellEnd"/>
      <w:r>
        <w:rPr>
          <w:rFonts w:ascii="Segoe UI" w:hAnsi="Segoe UI" w:cs="Segoe UI"/>
          <w:color w:val="0F1115"/>
        </w:rPr>
        <w:t>, P.C. (2022). </w:t>
      </w:r>
      <w:r>
        <w:rPr>
          <w:rStyle w:val="Emphasis"/>
          <w:rFonts w:ascii="Segoe UI" w:hAnsi="Segoe UI" w:cs="Segoe UI"/>
          <w:color w:val="0F1115"/>
        </w:rPr>
        <w:t>The Lancet Commission on ending stigma and discrimination in mental health</w:t>
      </w:r>
      <w:r>
        <w:rPr>
          <w:rFonts w:ascii="Segoe UI" w:hAnsi="Segoe UI" w:cs="Segoe UI"/>
          <w:color w:val="0F1115"/>
        </w:rPr>
        <w:t>. </w:t>
      </w:r>
      <w:r>
        <w:rPr>
          <w:rStyle w:val="Strong"/>
          <w:rFonts w:ascii="Segoe UI" w:hAnsi="Segoe UI" w:cs="Segoe UI"/>
          <w:color w:val="0F1115"/>
        </w:rPr>
        <w:t>The Lancet</w:t>
      </w:r>
      <w:r>
        <w:rPr>
          <w:rFonts w:ascii="Segoe UI" w:hAnsi="Segoe UI" w:cs="Segoe UI"/>
          <w:color w:val="0F1115"/>
        </w:rPr>
        <w:t>, 400(10361), pp. 1438-1480.</w:t>
      </w:r>
    </w:p>
    <w:p w:rsidR="006A64BE" w:rsidRDefault="006A64BE" w:rsidP="006A64BE">
      <w:pPr>
        <w:pStyle w:val="ds-markdown-paragraph"/>
        <w:numPr>
          <w:ilvl w:val="0"/>
          <w:numId w:val="4"/>
        </w:numPr>
        <w:shd w:val="clear" w:color="auto" w:fill="FFFFFF"/>
        <w:spacing w:before="240" w:beforeAutospacing="0"/>
        <w:rPr>
          <w:rFonts w:ascii="Segoe UI" w:hAnsi="Segoe UI" w:cs="Segoe UI"/>
          <w:color w:val="0F1115"/>
        </w:rPr>
      </w:pPr>
      <w:r>
        <w:rPr>
          <w:rFonts w:ascii="Segoe UI" w:hAnsi="Segoe UI" w:cs="Segoe UI"/>
          <w:color w:val="0F1115"/>
        </w:rPr>
        <w:t>World Health Organization. (2022). </w:t>
      </w:r>
      <w:r>
        <w:rPr>
          <w:rStyle w:val="Emphasis"/>
          <w:rFonts w:ascii="Segoe UI" w:hAnsi="Segoe UI" w:cs="Segoe UI"/>
          <w:color w:val="0F1115"/>
        </w:rPr>
        <w:t>World mental health report: Transforming mental health for all</w:t>
      </w:r>
      <w:r>
        <w:rPr>
          <w:rFonts w:ascii="Segoe UI" w:hAnsi="Segoe UI" w:cs="Segoe UI"/>
          <w:color w:val="0F1115"/>
        </w:rPr>
        <w:t>. [online] Geneva: WHO. Available at: </w:t>
      </w:r>
      <w:hyperlink r:id="rId12" w:tgtFrame="_blank" w:history="1">
        <w:r>
          <w:rPr>
            <w:rStyle w:val="Hyperlink"/>
            <w:rFonts w:ascii="Segoe UI" w:hAnsi="Segoe UI" w:cs="Segoe UI"/>
            <w:color w:val="3964FE"/>
            <w:bdr w:val="single" w:sz="12" w:space="0" w:color="auto" w:frame="1"/>
          </w:rPr>
          <w:t>https://www.who.int/publications/i/item/9789240049338</w:t>
        </w:r>
      </w:hyperlink>
      <w:r>
        <w:rPr>
          <w:rFonts w:ascii="Segoe UI" w:hAnsi="Segoe UI" w:cs="Segoe UI"/>
          <w:color w:val="0F1115"/>
        </w:rPr>
        <w:t> [Accessed 21 October 2024].</w:t>
      </w:r>
    </w:p>
    <w:p w:rsidR="006A64BE" w:rsidRPr="006A64BE" w:rsidRDefault="006A64BE" w:rsidP="006A64BE">
      <w:pPr>
        <w:pStyle w:val="ListParagraph"/>
        <w:spacing w:after="0" w:line="360" w:lineRule="auto"/>
        <w:rPr>
          <w:rFonts w:ascii="Arial" w:eastAsia="Times New Roman"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p w:rsidR="003F3447" w:rsidRPr="006A64BE" w:rsidRDefault="003F3447" w:rsidP="006A64BE">
      <w:pPr>
        <w:spacing w:line="360" w:lineRule="auto"/>
        <w:rPr>
          <w:rFonts w:ascii="Arial" w:hAnsi="Arial" w:cs="Arial"/>
        </w:rPr>
      </w:pPr>
    </w:p>
    <w:sectPr w:rsidR="003F3447" w:rsidRPr="006A64BE" w:rsidSect="0034669A">
      <w:headerReference w:type="default"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8D2" w:rsidRDefault="007F38D2" w:rsidP="0034669A">
      <w:pPr>
        <w:spacing w:after="0" w:line="240" w:lineRule="auto"/>
      </w:pPr>
      <w:r>
        <w:separator/>
      </w:r>
    </w:p>
  </w:endnote>
  <w:endnote w:type="continuationSeparator" w:id="0">
    <w:p w:rsidR="007F38D2" w:rsidRDefault="007F38D2" w:rsidP="00346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322147"/>
      <w:docPartObj>
        <w:docPartGallery w:val="Page Numbers (Bottom of Page)"/>
        <w:docPartUnique/>
      </w:docPartObj>
    </w:sdtPr>
    <w:sdtEndPr>
      <w:rPr>
        <w:color w:val="7F7F7F" w:themeColor="background1" w:themeShade="7F"/>
        <w:spacing w:val="60"/>
      </w:rPr>
    </w:sdtEndPr>
    <w:sdtContent>
      <w:p w:rsidR="007E00C6" w:rsidRDefault="007E00C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C7ACC" w:rsidRPr="00FC7ACC">
          <w:rPr>
            <w:b/>
            <w:bCs/>
            <w:noProof/>
          </w:rPr>
          <w:t>11</w:t>
        </w:r>
        <w:r>
          <w:rPr>
            <w:b/>
            <w:bCs/>
            <w:noProof/>
          </w:rPr>
          <w:fldChar w:fldCharType="end"/>
        </w:r>
        <w:r>
          <w:rPr>
            <w:b/>
            <w:bCs/>
          </w:rPr>
          <w:t xml:space="preserve"> | </w:t>
        </w:r>
        <w:r>
          <w:rPr>
            <w:color w:val="7F7F7F" w:themeColor="background1" w:themeShade="7F"/>
            <w:spacing w:val="60"/>
          </w:rPr>
          <w:t>Page</w:t>
        </w:r>
      </w:p>
    </w:sdtContent>
  </w:sdt>
  <w:p w:rsidR="0034669A" w:rsidRDefault="003466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8D2" w:rsidRDefault="007F38D2" w:rsidP="0034669A">
      <w:pPr>
        <w:spacing w:after="0" w:line="240" w:lineRule="auto"/>
      </w:pPr>
      <w:r>
        <w:separator/>
      </w:r>
    </w:p>
  </w:footnote>
  <w:footnote w:type="continuationSeparator" w:id="0">
    <w:p w:rsidR="007F38D2" w:rsidRDefault="007F38D2" w:rsidP="003466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75269"/>
      <w:docPartObj>
        <w:docPartGallery w:val="Page Numbers (Top of Page)"/>
        <w:docPartUnique/>
      </w:docPartObj>
    </w:sdtPr>
    <w:sdtEndPr>
      <w:rPr>
        <w:noProof/>
      </w:rPr>
    </w:sdtEndPr>
    <w:sdtContent>
      <w:p w:rsidR="0034669A" w:rsidRDefault="0034669A">
        <w:pPr>
          <w:pStyle w:val="Header"/>
        </w:pPr>
        <w:r>
          <w:fldChar w:fldCharType="begin"/>
        </w:r>
        <w:r>
          <w:instrText xml:space="preserve"> PAGE   \* MERGEFORMAT </w:instrText>
        </w:r>
        <w:r>
          <w:fldChar w:fldCharType="separate"/>
        </w:r>
        <w:r w:rsidR="00FC7ACC">
          <w:rPr>
            <w:noProof/>
          </w:rPr>
          <w:t>11</w:t>
        </w:r>
        <w:r>
          <w:rPr>
            <w:noProof/>
          </w:rPr>
          <w:fldChar w:fldCharType="end"/>
        </w:r>
      </w:p>
    </w:sdtContent>
  </w:sdt>
  <w:p w:rsidR="0034669A" w:rsidRDefault="003466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00883"/>
    <w:multiLevelType w:val="hybridMultilevel"/>
    <w:tmpl w:val="6DB422AC"/>
    <w:lvl w:ilvl="0" w:tplc="AD648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C235A1"/>
    <w:multiLevelType w:val="hybridMultilevel"/>
    <w:tmpl w:val="5B0A21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7845881"/>
    <w:multiLevelType w:val="hybridMultilevel"/>
    <w:tmpl w:val="336AE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087B59"/>
    <w:multiLevelType w:val="hybridMultilevel"/>
    <w:tmpl w:val="9F1A275C"/>
    <w:lvl w:ilvl="0" w:tplc="AD648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447"/>
    <w:rsid w:val="00003F3B"/>
    <w:rsid w:val="0034669A"/>
    <w:rsid w:val="003E6E0A"/>
    <w:rsid w:val="003F3447"/>
    <w:rsid w:val="006A64BE"/>
    <w:rsid w:val="007E00C6"/>
    <w:rsid w:val="007F38D2"/>
    <w:rsid w:val="0089220D"/>
    <w:rsid w:val="00B10998"/>
    <w:rsid w:val="00FC7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D85D4B-0224-44AE-810E-9B1804CD3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64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64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F34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F3447"/>
    <w:rPr>
      <w:rFonts w:ascii="Times New Roman" w:eastAsia="Times New Roman" w:hAnsi="Times New Roman" w:cs="Times New Roman"/>
      <w:b/>
      <w:bCs/>
      <w:sz w:val="27"/>
      <w:szCs w:val="27"/>
    </w:rPr>
  </w:style>
  <w:style w:type="character" w:styleId="Strong">
    <w:name w:val="Strong"/>
    <w:basedOn w:val="DefaultParagraphFont"/>
    <w:uiPriority w:val="22"/>
    <w:qFormat/>
    <w:rsid w:val="003F3447"/>
    <w:rPr>
      <w:b/>
      <w:bCs/>
    </w:rPr>
  </w:style>
  <w:style w:type="paragraph" w:customStyle="1" w:styleId="ds-markdown-paragraph">
    <w:name w:val="ds-markdown-paragraph"/>
    <w:basedOn w:val="Normal"/>
    <w:rsid w:val="003F344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F3447"/>
    <w:rPr>
      <w:i/>
      <w:iCs/>
    </w:rPr>
  </w:style>
  <w:style w:type="character" w:styleId="Hyperlink">
    <w:name w:val="Hyperlink"/>
    <w:basedOn w:val="DefaultParagraphFont"/>
    <w:uiPriority w:val="99"/>
    <w:unhideWhenUsed/>
    <w:rsid w:val="003F3447"/>
    <w:rPr>
      <w:color w:val="0000FF"/>
      <w:u w:val="single"/>
    </w:rPr>
  </w:style>
  <w:style w:type="character" w:customStyle="1" w:styleId="Heading1Char">
    <w:name w:val="Heading 1 Char"/>
    <w:basedOn w:val="DefaultParagraphFont"/>
    <w:link w:val="Heading1"/>
    <w:uiPriority w:val="9"/>
    <w:rsid w:val="006A64B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A64B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A64BE"/>
    <w:pPr>
      <w:ind w:left="720"/>
      <w:contextualSpacing/>
    </w:pPr>
  </w:style>
  <w:style w:type="paragraph" w:styleId="TOCHeading">
    <w:name w:val="TOC Heading"/>
    <w:basedOn w:val="Heading1"/>
    <w:next w:val="Normal"/>
    <w:uiPriority w:val="39"/>
    <w:unhideWhenUsed/>
    <w:qFormat/>
    <w:rsid w:val="0034669A"/>
    <w:pPr>
      <w:outlineLvl w:val="9"/>
    </w:pPr>
  </w:style>
  <w:style w:type="paragraph" w:styleId="TOC3">
    <w:name w:val="toc 3"/>
    <w:basedOn w:val="Normal"/>
    <w:next w:val="Normal"/>
    <w:autoRedefine/>
    <w:uiPriority w:val="39"/>
    <w:unhideWhenUsed/>
    <w:rsid w:val="0034669A"/>
    <w:pPr>
      <w:spacing w:after="100"/>
      <w:ind w:left="440"/>
    </w:pPr>
  </w:style>
  <w:style w:type="paragraph" w:styleId="TOC1">
    <w:name w:val="toc 1"/>
    <w:basedOn w:val="Normal"/>
    <w:next w:val="Normal"/>
    <w:autoRedefine/>
    <w:uiPriority w:val="39"/>
    <w:unhideWhenUsed/>
    <w:rsid w:val="0034669A"/>
    <w:pPr>
      <w:spacing w:after="100"/>
    </w:pPr>
  </w:style>
  <w:style w:type="paragraph" w:styleId="TOC2">
    <w:name w:val="toc 2"/>
    <w:basedOn w:val="Normal"/>
    <w:next w:val="Normal"/>
    <w:autoRedefine/>
    <w:uiPriority w:val="39"/>
    <w:unhideWhenUsed/>
    <w:rsid w:val="0034669A"/>
    <w:pPr>
      <w:spacing w:after="100"/>
      <w:ind w:left="220"/>
    </w:pPr>
  </w:style>
  <w:style w:type="paragraph" w:styleId="Header">
    <w:name w:val="header"/>
    <w:basedOn w:val="Normal"/>
    <w:link w:val="HeaderChar"/>
    <w:uiPriority w:val="99"/>
    <w:unhideWhenUsed/>
    <w:rsid w:val="003466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69A"/>
  </w:style>
  <w:style w:type="paragraph" w:styleId="Footer">
    <w:name w:val="footer"/>
    <w:basedOn w:val="Normal"/>
    <w:link w:val="FooterChar"/>
    <w:uiPriority w:val="99"/>
    <w:unhideWhenUsed/>
    <w:rsid w:val="00346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69A"/>
  </w:style>
  <w:style w:type="paragraph" w:styleId="NoSpacing">
    <w:name w:val="No Spacing"/>
    <w:link w:val="NoSpacingChar"/>
    <w:uiPriority w:val="1"/>
    <w:qFormat/>
    <w:rsid w:val="0034669A"/>
    <w:pPr>
      <w:spacing w:after="0" w:line="240" w:lineRule="auto"/>
    </w:pPr>
    <w:rPr>
      <w:rFonts w:eastAsiaTheme="minorEastAsia"/>
    </w:rPr>
  </w:style>
  <w:style w:type="character" w:customStyle="1" w:styleId="NoSpacingChar">
    <w:name w:val="No Spacing Char"/>
    <w:basedOn w:val="DefaultParagraphFont"/>
    <w:link w:val="NoSpacing"/>
    <w:uiPriority w:val="1"/>
    <w:rsid w:val="0034669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42575">
      <w:bodyDiv w:val="1"/>
      <w:marLeft w:val="0"/>
      <w:marRight w:val="0"/>
      <w:marTop w:val="0"/>
      <w:marBottom w:val="0"/>
      <w:divBdr>
        <w:top w:val="none" w:sz="0" w:space="0" w:color="auto"/>
        <w:left w:val="none" w:sz="0" w:space="0" w:color="auto"/>
        <w:bottom w:val="none" w:sz="0" w:space="0" w:color="auto"/>
        <w:right w:val="none" w:sz="0" w:space="0" w:color="auto"/>
      </w:divBdr>
    </w:div>
    <w:div w:id="78596853">
      <w:bodyDiv w:val="1"/>
      <w:marLeft w:val="0"/>
      <w:marRight w:val="0"/>
      <w:marTop w:val="0"/>
      <w:marBottom w:val="0"/>
      <w:divBdr>
        <w:top w:val="none" w:sz="0" w:space="0" w:color="auto"/>
        <w:left w:val="none" w:sz="0" w:space="0" w:color="auto"/>
        <w:bottom w:val="none" w:sz="0" w:space="0" w:color="auto"/>
        <w:right w:val="none" w:sz="0" w:space="0" w:color="auto"/>
      </w:divBdr>
    </w:div>
    <w:div w:id="143595482">
      <w:bodyDiv w:val="1"/>
      <w:marLeft w:val="0"/>
      <w:marRight w:val="0"/>
      <w:marTop w:val="0"/>
      <w:marBottom w:val="0"/>
      <w:divBdr>
        <w:top w:val="none" w:sz="0" w:space="0" w:color="auto"/>
        <w:left w:val="none" w:sz="0" w:space="0" w:color="auto"/>
        <w:bottom w:val="none" w:sz="0" w:space="0" w:color="auto"/>
        <w:right w:val="none" w:sz="0" w:space="0" w:color="auto"/>
      </w:divBdr>
    </w:div>
    <w:div w:id="179243255">
      <w:bodyDiv w:val="1"/>
      <w:marLeft w:val="0"/>
      <w:marRight w:val="0"/>
      <w:marTop w:val="0"/>
      <w:marBottom w:val="0"/>
      <w:divBdr>
        <w:top w:val="none" w:sz="0" w:space="0" w:color="auto"/>
        <w:left w:val="none" w:sz="0" w:space="0" w:color="auto"/>
        <w:bottom w:val="none" w:sz="0" w:space="0" w:color="auto"/>
        <w:right w:val="none" w:sz="0" w:space="0" w:color="auto"/>
      </w:divBdr>
    </w:div>
    <w:div w:id="619189466">
      <w:bodyDiv w:val="1"/>
      <w:marLeft w:val="0"/>
      <w:marRight w:val="0"/>
      <w:marTop w:val="0"/>
      <w:marBottom w:val="0"/>
      <w:divBdr>
        <w:top w:val="none" w:sz="0" w:space="0" w:color="auto"/>
        <w:left w:val="none" w:sz="0" w:space="0" w:color="auto"/>
        <w:bottom w:val="none" w:sz="0" w:space="0" w:color="auto"/>
        <w:right w:val="none" w:sz="0" w:space="0" w:color="auto"/>
      </w:divBdr>
    </w:div>
    <w:div w:id="794828768">
      <w:bodyDiv w:val="1"/>
      <w:marLeft w:val="0"/>
      <w:marRight w:val="0"/>
      <w:marTop w:val="0"/>
      <w:marBottom w:val="0"/>
      <w:divBdr>
        <w:top w:val="none" w:sz="0" w:space="0" w:color="auto"/>
        <w:left w:val="none" w:sz="0" w:space="0" w:color="auto"/>
        <w:bottom w:val="none" w:sz="0" w:space="0" w:color="auto"/>
        <w:right w:val="none" w:sz="0" w:space="0" w:color="auto"/>
      </w:divBdr>
    </w:div>
    <w:div w:id="809134793">
      <w:bodyDiv w:val="1"/>
      <w:marLeft w:val="0"/>
      <w:marRight w:val="0"/>
      <w:marTop w:val="0"/>
      <w:marBottom w:val="0"/>
      <w:divBdr>
        <w:top w:val="none" w:sz="0" w:space="0" w:color="auto"/>
        <w:left w:val="none" w:sz="0" w:space="0" w:color="auto"/>
        <w:bottom w:val="none" w:sz="0" w:space="0" w:color="auto"/>
        <w:right w:val="none" w:sz="0" w:space="0" w:color="auto"/>
      </w:divBdr>
    </w:div>
    <w:div w:id="897395144">
      <w:bodyDiv w:val="1"/>
      <w:marLeft w:val="0"/>
      <w:marRight w:val="0"/>
      <w:marTop w:val="0"/>
      <w:marBottom w:val="0"/>
      <w:divBdr>
        <w:top w:val="none" w:sz="0" w:space="0" w:color="auto"/>
        <w:left w:val="none" w:sz="0" w:space="0" w:color="auto"/>
        <w:bottom w:val="none" w:sz="0" w:space="0" w:color="auto"/>
        <w:right w:val="none" w:sz="0" w:space="0" w:color="auto"/>
      </w:divBdr>
    </w:div>
    <w:div w:id="1182670367">
      <w:bodyDiv w:val="1"/>
      <w:marLeft w:val="0"/>
      <w:marRight w:val="0"/>
      <w:marTop w:val="0"/>
      <w:marBottom w:val="0"/>
      <w:divBdr>
        <w:top w:val="none" w:sz="0" w:space="0" w:color="auto"/>
        <w:left w:val="none" w:sz="0" w:space="0" w:color="auto"/>
        <w:bottom w:val="none" w:sz="0" w:space="0" w:color="auto"/>
        <w:right w:val="none" w:sz="0" w:space="0" w:color="auto"/>
      </w:divBdr>
    </w:div>
    <w:div w:id="1215771193">
      <w:bodyDiv w:val="1"/>
      <w:marLeft w:val="0"/>
      <w:marRight w:val="0"/>
      <w:marTop w:val="0"/>
      <w:marBottom w:val="0"/>
      <w:divBdr>
        <w:top w:val="none" w:sz="0" w:space="0" w:color="auto"/>
        <w:left w:val="none" w:sz="0" w:space="0" w:color="auto"/>
        <w:bottom w:val="none" w:sz="0" w:space="0" w:color="auto"/>
        <w:right w:val="none" w:sz="0" w:space="0" w:color="auto"/>
      </w:divBdr>
    </w:div>
    <w:div w:id="1319649881">
      <w:bodyDiv w:val="1"/>
      <w:marLeft w:val="0"/>
      <w:marRight w:val="0"/>
      <w:marTop w:val="0"/>
      <w:marBottom w:val="0"/>
      <w:divBdr>
        <w:top w:val="none" w:sz="0" w:space="0" w:color="auto"/>
        <w:left w:val="none" w:sz="0" w:space="0" w:color="auto"/>
        <w:bottom w:val="none" w:sz="0" w:space="0" w:color="auto"/>
        <w:right w:val="none" w:sz="0" w:space="0" w:color="auto"/>
      </w:divBdr>
    </w:div>
    <w:div w:id="1348292576">
      <w:bodyDiv w:val="1"/>
      <w:marLeft w:val="0"/>
      <w:marRight w:val="0"/>
      <w:marTop w:val="0"/>
      <w:marBottom w:val="0"/>
      <w:divBdr>
        <w:top w:val="none" w:sz="0" w:space="0" w:color="auto"/>
        <w:left w:val="none" w:sz="0" w:space="0" w:color="auto"/>
        <w:bottom w:val="none" w:sz="0" w:space="0" w:color="auto"/>
        <w:right w:val="none" w:sz="0" w:space="0" w:color="auto"/>
      </w:divBdr>
    </w:div>
    <w:div w:id="1482846621">
      <w:bodyDiv w:val="1"/>
      <w:marLeft w:val="0"/>
      <w:marRight w:val="0"/>
      <w:marTop w:val="0"/>
      <w:marBottom w:val="0"/>
      <w:divBdr>
        <w:top w:val="none" w:sz="0" w:space="0" w:color="auto"/>
        <w:left w:val="none" w:sz="0" w:space="0" w:color="auto"/>
        <w:bottom w:val="none" w:sz="0" w:space="0" w:color="auto"/>
        <w:right w:val="none" w:sz="0" w:space="0" w:color="auto"/>
      </w:divBdr>
    </w:div>
    <w:div w:id="1496988839">
      <w:bodyDiv w:val="1"/>
      <w:marLeft w:val="0"/>
      <w:marRight w:val="0"/>
      <w:marTop w:val="0"/>
      <w:marBottom w:val="0"/>
      <w:divBdr>
        <w:top w:val="none" w:sz="0" w:space="0" w:color="auto"/>
        <w:left w:val="none" w:sz="0" w:space="0" w:color="auto"/>
        <w:bottom w:val="none" w:sz="0" w:space="0" w:color="auto"/>
        <w:right w:val="none" w:sz="0" w:space="0" w:color="auto"/>
      </w:divBdr>
    </w:div>
    <w:div w:id="1577327605">
      <w:bodyDiv w:val="1"/>
      <w:marLeft w:val="0"/>
      <w:marRight w:val="0"/>
      <w:marTop w:val="0"/>
      <w:marBottom w:val="0"/>
      <w:divBdr>
        <w:top w:val="none" w:sz="0" w:space="0" w:color="auto"/>
        <w:left w:val="none" w:sz="0" w:space="0" w:color="auto"/>
        <w:bottom w:val="none" w:sz="0" w:space="0" w:color="auto"/>
        <w:right w:val="none" w:sz="0" w:space="0" w:color="auto"/>
      </w:divBdr>
    </w:div>
    <w:div w:id="1677611994">
      <w:bodyDiv w:val="1"/>
      <w:marLeft w:val="0"/>
      <w:marRight w:val="0"/>
      <w:marTop w:val="0"/>
      <w:marBottom w:val="0"/>
      <w:divBdr>
        <w:top w:val="none" w:sz="0" w:space="0" w:color="auto"/>
        <w:left w:val="none" w:sz="0" w:space="0" w:color="auto"/>
        <w:bottom w:val="none" w:sz="0" w:space="0" w:color="auto"/>
        <w:right w:val="none" w:sz="0" w:space="0" w:color="auto"/>
      </w:divBdr>
    </w:div>
    <w:div w:id="1700164028">
      <w:bodyDiv w:val="1"/>
      <w:marLeft w:val="0"/>
      <w:marRight w:val="0"/>
      <w:marTop w:val="0"/>
      <w:marBottom w:val="0"/>
      <w:divBdr>
        <w:top w:val="none" w:sz="0" w:space="0" w:color="auto"/>
        <w:left w:val="none" w:sz="0" w:space="0" w:color="auto"/>
        <w:bottom w:val="none" w:sz="0" w:space="0" w:color="auto"/>
        <w:right w:val="none" w:sz="0" w:space="0" w:color="auto"/>
      </w:divBdr>
    </w:div>
    <w:div w:id="1866670057">
      <w:bodyDiv w:val="1"/>
      <w:marLeft w:val="0"/>
      <w:marRight w:val="0"/>
      <w:marTop w:val="0"/>
      <w:marBottom w:val="0"/>
      <w:divBdr>
        <w:top w:val="none" w:sz="0" w:space="0" w:color="auto"/>
        <w:left w:val="none" w:sz="0" w:space="0" w:color="auto"/>
        <w:bottom w:val="none" w:sz="0" w:space="0" w:color="auto"/>
        <w:right w:val="none" w:sz="0" w:space="0" w:color="auto"/>
      </w:divBdr>
    </w:div>
    <w:div w:id="1954510505">
      <w:bodyDiv w:val="1"/>
      <w:marLeft w:val="0"/>
      <w:marRight w:val="0"/>
      <w:marTop w:val="0"/>
      <w:marBottom w:val="0"/>
      <w:divBdr>
        <w:top w:val="none" w:sz="0" w:space="0" w:color="auto"/>
        <w:left w:val="none" w:sz="0" w:space="0" w:color="auto"/>
        <w:bottom w:val="none" w:sz="0" w:space="0" w:color="auto"/>
        <w:right w:val="none" w:sz="0" w:space="0" w:color="auto"/>
      </w:divBdr>
    </w:div>
    <w:div w:id="2027098679">
      <w:bodyDiv w:val="1"/>
      <w:marLeft w:val="0"/>
      <w:marRight w:val="0"/>
      <w:marTop w:val="0"/>
      <w:marBottom w:val="0"/>
      <w:divBdr>
        <w:top w:val="none" w:sz="0" w:space="0" w:color="auto"/>
        <w:left w:val="none" w:sz="0" w:space="0" w:color="auto"/>
        <w:bottom w:val="none" w:sz="0" w:space="0" w:color="auto"/>
        <w:right w:val="none" w:sz="0" w:space="0" w:color="auto"/>
      </w:divBdr>
    </w:div>
    <w:div w:id="203129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psychiatry.biomedcentra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publications/i/item/978924004933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psych.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igital.nhs.uk/data-and-information/publications/statistical/mental-health-of-children-and-young-people-in-england/" TargetMode="External"/><Relationship Id="rId4" Type="http://schemas.openxmlformats.org/officeDocument/2006/relationships/settings" Target="settings.xml"/><Relationship Id="rId9" Type="http://schemas.openxmlformats.org/officeDocument/2006/relationships/hyperlink" Target="https://www.mind.org.uk/news-campaig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0CE13-49EA-41EB-9EB9-D0BD46167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12</Pages>
  <Words>3321</Words>
  <Characters>18933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dc:creator>
  <cp:keywords/>
  <dc:description/>
  <cp:lastModifiedBy>AK</cp:lastModifiedBy>
  <cp:revision>5</cp:revision>
  <dcterms:created xsi:type="dcterms:W3CDTF">2025-11-02T04:54:00Z</dcterms:created>
  <dcterms:modified xsi:type="dcterms:W3CDTF">2025-11-02T18:43:00Z</dcterms:modified>
</cp:coreProperties>
</file>