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000000" w:themeColor="text1"/>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3CBE5532" w:rsidR="00EB12BC" w:rsidRPr="00DF2D4E" w:rsidRDefault="00EB12BC" w:rsidP="00C03A91">
      <w:pPr>
        <w:tabs>
          <w:tab w:val="left" w:pos="6540"/>
        </w:tabs>
        <w:spacing w:line="360" w:lineRule="auto"/>
        <w:rPr>
          <w:rFonts w:ascii="Arial" w:hAnsi="Arial" w:cs="Arial"/>
          <w:sz w:val="36"/>
          <w:szCs w:val="36"/>
          <w:lang w:val="nl-NL"/>
        </w:rPr>
      </w:pPr>
      <w:r w:rsidRPr="00DF2D4E">
        <w:rPr>
          <w:rFonts w:ascii="Arial" w:hAnsi="Arial" w:cs="Arial"/>
          <w:b/>
          <w:bCs/>
          <w:sz w:val="36"/>
          <w:szCs w:val="36"/>
          <w:lang w:val="nl-NL"/>
        </w:rPr>
        <w:t>Student name</w:t>
      </w:r>
      <w:r w:rsidRPr="00DF2D4E">
        <w:rPr>
          <w:rFonts w:ascii="Arial" w:hAnsi="Arial" w:cs="Arial"/>
          <w:sz w:val="36"/>
          <w:szCs w:val="36"/>
          <w:lang w:val="nl-NL"/>
        </w:rPr>
        <w:t>:</w:t>
      </w:r>
      <w:r w:rsidR="00123662" w:rsidRPr="00DF2D4E">
        <w:rPr>
          <w:rFonts w:ascii="Arial" w:hAnsi="Arial" w:cs="Arial"/>
          <w:sz w:val="36"/>
          <w:szCs w:val="36"/>
          <w:lang w:val="nl-NL"/>
        </w:rPr>
        <w:t xml:space="preserve"> Gnahore Badi-charlotte Legre</w:t>
      </w:r>
    </w:p>
    <w:p w14:paraId="21E9DC72" w14:textId="74E8DE69" w:rsidR="00EB12BC" w:rsidRPr="00DF2D4E" w:rsidRDefault="00EB12BC" w:rsidP="00C03A91">
      <w:pPr>
        <w:tabs>
          <w:tab w:val="left" w:pos="6540"/>
        </w:tabs>
        <w:spacing w:line="360" w:lineRule="auto"/>
        <w:rPr>
          <w:rFonts w:ascii="Arial" w:hAnsi="Arial" w:cs="Arial"/>
          <w:sz w:val="36"/>
          <w:szCs w:val="36"/>
          <w:lang w:val="nl-NL"/>
        </w:rPr>
      </w:pPr>
      <w:r w:rsidRPr="00DF2D4E">
        <w:rPr>
          <w:rFonts w:ascii="Arial" w:hAnsi="Arial" w:cs="Arial"/>
          <w:b/>
          <w:bCs/>
          <w:sz w:val="36"/>
          <w:szCs w:val="36"/>
          <w:lang w:val="nl-NL"/>
        </w:rPr>
        <w:t>Student ID</w:t>
      </w:r>
      <w:r w:rsidRPr="00DF2D4E">
        <w:rPr>
          <w:rFonts w:ascii="Arial" w:hAnsi="Arial" w:cs="Arial"/>
          <w:sz w:val="36"/>
          <w:szCs w:val="36"/>
          <w:lang w:val="nl-NL"/>
        </w:rPr>
        <w:t>:</w:t>
      </w:r>
      <w:r w:rsidR="00123662" w:rsidRPr="00DF2D4E">
        <w:rPr>
          <w:rFonts w:ascii="Arial" w:hAnsi="Arial" w:cs="Arial"/>
          <w:sz w:val="36"/>
          <w:szCs w:val="36"/>
          <w:lang w:val="nl-NL"/>
        </w:rPr>
        <w:t>2331156</w:t>
      </w:r>
    </w:p>
    <w:p w14:paraId="23BAC9B9" w14:textId="0EAEF684" w:rsidR="00EB12BC" w:rsidRPr="00DF2D4E" w:rsidRDefault="00EB12BC" w:rsidP="00C03A91">
      <w:pPr>
        <w:tabs>
          <w:tab w:val="left" w:pos="6540"/>
        </w:tabs>
        <w:spacing w:line="360" w:lineRule="auto"/>
        <w:rPr>
          <w:rFonts w:ascii="Arial" w:hAnsi="Arial" w:cs="Arial"/>
          <w:sz w:val="36"/>
          <w:szCs w:val="36"/>
          <w:lang w:val="nl-NL"/>
        </w:rPr>
      </w:pPr>
      <w:r w:rsidRPr="00DF2D4E">
        <w:rPr>
          <w:rFonts w:ascii="Arial" w:hAnsi="Arial" w:cs="Arial"/>
          <w:b/>
          <w:bCs/>
          <w:sz w:val="36"/>
          <w:szCs w:val="36"/>
          <w:lang w:val="nl-NL"/>
        </w:rPr>
        <w:t>Module name</w:t>
      </w:r>
      <w:r w:rsidRPr="00DF2D4E">
        <w:rPr>
          <w:rFonts w:ascii="Arial" w:hAnsi="Arial" w:cs="Arial"/>
          <w:sz w:val="36"/>
          <w:szCs w:val="36"/>
          <w:lang w:val="nl-NL"/>
        </w:rPr>
        <w:t xml:space="preserve">: </w:t>
      </w:r>
      <w:r w:rsidR="00123662" w:rsidRPr="00DF2D4E">
        <w:rPr>
          <w:rFonts w:ascii="Arial" w:hAnsi="Arial" w:cs="Arial"/>
          <w:sz w:val="36"/>
          <w:szCs w:val="36"/>
          <w:lang w:val="nl-NL"/>
        </w:rPr>
        <w:t>Principles of health and Social care practice</w:t>
      </w:r>
    </w:p>
    <w:p w14:paraId="4FD97C8C" w14:textId="287E4C51" w:rsidR="00EB12BC" w:rsidRPr="00DF2D4E" w:rsidRDefault="00EB12BC" w:rsidP="00C03A91">
      <w:pPr>
        <w:tabs>
          <w:tab w:val="left" w:pos="6540"/>
        </w:tabs>
        <w:spacing w:line="360" w:lineRule="auto"/>
        <w:rPr>
          <w:rFonts w:ascii="Arial" w:hAnsi="Arial" w:cs="Arial"/>
          <w:sz w:val="36"/>
          <w:szCs w:val="36"/>
        </w:rPr>
      </w:pPr>
      <w:r w:rsidRPr="00DF2D4E">
        <w:rPr>
          <w:rFonts w:ascii="Arial" w:hAnsi="Arial" w:cs="Arial"/>
          <w:b/>
          <w:bCs/>
          <w:sz w:val="36"/>
          <w:szCs w:val="36"/>
        </w:rPr>
        <w:t>Module code</w:t>
      </w:r>
      <w:r w:rsidRPr="00DF2D4E">
        <w:rPr>
          <w:rFonts w:ascii="Arial" w:hAnsi="Arial" w:cs="Arial"/>
          <w:sz w:val="36"/>
          <w:szCs w:val="36"/>
        </w:rPr>
        <w:t>:</w:t>
      </w:r>
      <w:r w:rsidR="00123662" w:rsidRPr="00DF2D4E">
        <w:rPr>
          <w:rFonts w:ascii="Arial" w:hAnsi="Arial" w:cs="Arial"/>
          <w:sz w:val="36"/>
          <w:szCs w:val="36"/>
        </w:rPr>
        <w:t xml:space="preserve"> (BMHP5016_LON)</w:t>
      </w:r>
    </w:p>
    <w:p w14:paraId="5AFF31F9" w14:textId="67D7E8C0" w:rsidR="001B7A40" w:rsidRPr="00DF2D4E" w:rsidRDefault="00EB12BC" w:rsidP="00C03A91">
      <w:pPr>
        <w:tabs>
          <w:tab w:val="left" w:pos="6540"/>
        </w:tabs>
        <w:spacing w:line="360" w:lineRule="auto"/>
        <w:rPr>
          <w:rFonts w:ascii="Arial" w:hAnsi="Arial" w:cs="Arial"/>
          <w:sz w:val="36"/>
          <w:szCs w:val="36"/>
        </w:rPr>
      </w:pPr>
      <w:r w:rsidRPr="00DF2D4E">
        <w:rPr>
          <w:rFonts w:ascii="Arial" w:hAnsi="Arial" w:cs="Arial"/>
          <w:b/>
          <w:bCs/>
          <w:sz w:val="36"/>
          <w:szCs w:val="36"/>
        </w:rPr>
        <w:t>Lecturer name</w:t>
      </w:r>
      <w:r w:rsidRPr="00DF2D4E">
        <w:rPr>
          <w:rFonts w:ascii="Arial" w:hAnsi="Arial" w:cs="Arial"/>
          <w:sz w:val="36"/>
          <w:szCs w:val="36"/>
        </w:rPr>
        <w:t>:</w:t>
      </w:r>
      <w:r w:rsidR="00123662" w:rsidRPr="00DF2D4E">
        <w:rPr>
          <w:rFonts w:ascii="Arial" w:hAnsi="Arial" w:cs="Arial"/>
          <w:sz w:val="36"/>
          <w:szCs w:val="36"/>
        </w:rPr>
        <w:t xml:space="preserve"> Dr </w:t>
      </w:r>
      <w:proofErr w:type="spellStart"/>
      <w:r w:rsidR="00123662" w:rsidRPr="00DF2D4E">
        <w:rPr>
          <w:rFonts w:ascii="Arial" w:hAnsi="Arial" w:cs="Arial"/>
          <w:sz w:val="36"/>
          <w:szCs w:val="36"/>
        </w:rPr>
        <w:t>Itse</w:t>
      </w:r>
      <w:proofErr w:type="spellEnd"/>
      <w:r w:rsidR="00123662" w:rsidRPr="00DF2D4E">
        <w:rPr>
          <w:rFonts w:ascii="Arial" w:hAnsi="Arial" w:cs="Arial"/>
          <w:sz w:val="36"/>
          <w:szCs w:val="36"/>
        </w:rPr>
        <w:t xml:space="preserve"> Olaye</w:t>
      </w:r>
    </w:p>
    <w:p w14:paraId="41780BF0" w14:textId="4460CA8D" w:rsidR="00123662" w:rsidRDefault="001B7A40" w:rsidP="00C03A91">
      <w:pPr>
        <w:tabs>
          <w:tab w:val="left" w:pos="6540"/>
        </w:tabs>
        <w:spacing w:line="360" w:lineRule="auto"/>
        <w:rPr>
          <w:rFonts w:ascii="Arial" w:hAnsi="Arial" w:cs="Arial"/>
          <w:b/>
          <w:bCs/>
          <w:sz w:val="36"/>
          <w:szCs w:val="36"/>
        </w:rPr>
      </w:pPr>
      <w:r w:rsidRPr="00DF2D4E">
        <w:rPr>
          <w:rFonts w:ascii="Arial" w:hAnsi="Arial" w:cs="Arial"/>
          <w:b/>
          <w:bCs/>
          <w:sz w:val="36"/>
          <w:szCs w:val="36"/>
        </w:rPr>
        <w:t xml:space="preserve">Assessment: </w:t>
      </w:r>
      <w:r w:rsidR="00123662" w:rsidRPr="00DF2D4E">
        <w:rPr>
          <w:rFonts w:ascii="Arial" w:hAnsi="Arial" w:cs="Arial"/>
          <w:b/>
          <w:bCs/>
          <w:sz w:val="36"/>
          <w:szCs w:val="36"/>
        </w:rPr>
        <w:t>2</w:t>
      </w:r>
    </w:p>
    <w:p w14:paraId="5C79841B" w14:textId="77777777" w:rsidR="00F4408C" w:rsidRPr="00DF2D4E" w:rsidRDefault="00F4408C" w:rsidP="00C03A91">
      <w:pPr>
        <w:tabs>
          <w:tab w:val="left" w:pos="6540"/>
        </w:tabs>
        <w:spacing w:line="360" w:lineRule="auto"/>
        <w:rPr>
          <w:rFonts w:ascii="Arial" w:hAnsi="Arial" w:cs="Arial"/>
          <w:b/>
          <w:bCs/>
          <w:sz w:val="36"/>
          <w:szCs w:val="36"/>
        </w:rPr>
      </w:pPr>
    </w:p>
    <w:p w14:paraId="601C078A" w14:textId="3CCDD980" w:rsidR="00DF2D4E" w:rsidRDefault="0020590D" w:rsidP="00C03A91">
      <w:pPr>
        <w:tabs>
          <w:tab w:val="left" w:pos="6540"/>
        </w:tabs>
        <w:spacing w:line="360" w:lineRule="auto"/>
        <w:rPr>
          <w:rFonts w:ascii="Arial" w:hAnsi="Arial" w:cs="Arial"/>
          <w:b/>
          <w:bCs/>
          <w:sz w:val="36"/>
          <w:szCs w:val="36"/>
        </w:rPr>
      </w:pPr>
      <w:r w:rsidRPr="00DF2D4E">
        <w:rPr>
          <w:rFonts w:ascii="Arial" w:hAnsi="Arial" w:cs="Arial"/>
          <w:b/>
          <w:bCs/>
          <w:sz w:val="36"/>
          <w:szCs w:val="36"/>
        </w:rPr>
        <w:t>Ti</w:t>
      </w:r>
      <w:r w:rsidR="00DF2D4E" w:rsidRPr="00DF2D4E">
        <w:rPr>
          <w:rFonts w:ascii="Arial" w:hAnsi="Arial" w:cs="Arial"/>
          <w:b/>
          <w:bCs/>
          <w:sz w:val="36"/>
          <w:szCs w:val="36"/>
        </w:rPr>
        <w:t>tle: The Ethics of care: A critical foundation for person-centred health and social care</w:t>
      </w:r>
    </w:p>
    <w:p w14:paraId="51712A6D" w14:textId="77777777" w:rsidR="00F4408C" w:rsidRDefault="00F4408C" w:rsidP="00C03A91">
      <w:pPr>
        <w:tabs>
          <w:tab w:val="left" w:pos="6540"/>
        </w:tabs>
        <w:spacing w:line="360" w:lineRule="auto"/>
        <w:rPr>
          <w:rFonts w:ascii="Arial" w:hAnsi="Arial" w:cs="Arial"/>
          <w:b/>
          <w:bCs/>
          <w:sz w:val="36"/>
          <w:szCs w:val="36"/>
        </w:rPr>
      </w:pPr>
    </w:p>
    <w:p w14:paraId="6882F179" w14:textId="486488F2" w:rsidR="00983D4F" w:rsidRDefault="00DF2D4E" w:rsidP="00C03A91">
      <w:pPr>
        <w:tabs>
          <w:tab w:val="left" w:pos="6540"/>
        </w:tabs>
        <w:spacing w:line="360" w:lineRule="auto"/>
        <w:rPr>
          <w:rFonts w:ascii="Arial" w:hAnsi="Arial" w:cs="Arial"/>
          <w:b/>
          <w:bCs/>
          <w:sz w:val="36"/>
          <w:szCs w:val="36"/>
        </w:rPr>
      </w:pPr>
      <w:r>
        <w:rPr>
          <w:rFonts w:ascii="Arial" w:hAnsi="Arial" w:cs="Arial"/>
          <w:b/>
          <w:bCs/>
          <w:sz w:val="36"/>
          <w:szCs w:val="36"/>
        </w:rPr>
        <w:t>Introductio</w:t>
      </w:r>
      <w:r w:rsidR="00983D4F">
        <w:rPr>
          <w:rFonts w:ascii="Arial" w:hAnsi="Arial" w:cs="Arial"/>
          <w:b/>
          <w:bCs/>
          <w:sz w:val="36"/>
          <w:szCs w:val="36"/>
        </w:rPr>
        <w:t>n</w:t>
      </w:r>
    </w:p>
    <w:p w14:paraId="50243213" w14:textId="2D918B25" w:rsidR="00983D4F" w:rsidRPr="00B1533A" w:rsidRDefault="00983D4F" w:rsidP="00C03A91">
      <w:pPr>
        <w:tabs>
          <w:tab w:val="left" w:pos="6540"/>
        </w:tabs>
        <w:spacing w:line="360" w:lineRule="auto"/>
        <w:rPr>
          <w:rFonts w:ascii="Arial" w:hAnsi="Arial" w:cs="Arial"/>
          <w:i w:val="0"/>
          <w:iCs w:val="0"/>
          <w:sz w:val="36"/>
          <w:szCs w:val="36"/>
        </w:rPr>
      </w:pPr>
      <w:r w:rsidRPr="00B1533A">
        <w:rPr>
          <w:rFonts w:ascii="Arial" w:hAnsi="Arial" w:cs="Arial"/>
          <w:i w:val="0"/>
          <w:iCs w:val="0"/>
          <w:sz w:val="36"/>
          <w:szCs w:val="36"/>
        </w:rPr>
        <w:t>The overarching guiding principles of person-centred has long driven the pursuit of high-quality,</w:t>
      </w:r>
      <w:r>
        <w:rPr>
          <w:rFonts w:ascii="Arial" w:hAnsi="Arial" w:cs="Arial"/>
          <w:b/>
          <w:bCs/>
          <w:sz w:val="36"/>
          <w:szCs w:val="36"/>
        </w:rPr>
        <w:t xml:space="preserve"> </w:t>
      </w:r>
      <w:r w:rsidRPr="00B1533A">
        <w:rPr>
          <w:rFonts w:ascii="Arial" w:hAnsi="Arial" w:cs="Arial"/>
          <w:i w:val="0"/>
          <w:iCs w:val="0"/>
          <w:sz w:val="36"/>
          <w:szCs w:val="36"/>
        </w:rPr>
        <w:lastRenderedPageBreak/>
        <w:t>compassionate, and effective support within health and social care systems.</w:t>
      </w:r>
    </w:p>
    <w:p w14:paraId="1A591EF6" w14:textId="725F09EF" w:rsidR="00983D4F" w:rsidRPr="00B1533A" w:rsidRDefault="00983D4F" w:rsidP="00C03A91">
      <w:pPr>
        <w:tabs>
          <w:tab w:val="left" w:pos="6540"/>
        </w:tabs>
        <w:spacing w:line="360" w:lineRule="auto"/>
        <w:rPr>
          <w:rFonts w:ascii="Arial" w:hAnsi="Arial" w:cs="Arial"/>
          <w:i w:val="0"/>
          <w:iCs w:val="0"/>
          <w:sz w:val="36"/>
          <w:szCs w:val="36"/>
        </w:rPr>
      </w:pPr>
      <w:r w:rsidRPr="00B1533A">
        <w:rPr>
          <w:rFonts w:ascii="Arial" w:hAnsi="Arial" w:cs="Arial"/>
          <w:i w:val="0"/>
          <w:iCs w:val="0"/>
          <w:sz w:val="36"/>
          <w:szCs w:val="36"/>
        </w:rPr>
        <w:t xml:space="preserve">This paradigm represents a paternalistic, disease-centric model to one that places the individual’s unique life story, values </w:t>
      </w:r>
      <w:proofErr w:type="gramStart"/>
      <w:r w:rsidRPr="00B1533A">
        <w:rPr>
          <w:rFonts w:ascii="Arial" w:hAnsi="Arial" w:cs="Arial"/>
          <w:i w:val="0"/>
          <w:iCs w:val="0"/>
          <w:sz w:val="36"/>
          <w:szCs w:val="36"/>
        </w:rPr>
        <w:t>autonomy</w:t>
      </w:r>
      <w:proofErr w:type="gramEnd"/>
      <w:r w:rsidRPr="00B1533A">
        <w:rPr>
          <w:rFonts w:ascii="Arial" w:hAnsi="Arial" w:cs="Arial"/>
          <w:i w:val="0"/>
          <w:iCs w:val="0"/>
          <w:sz w:val="36"/>
          <w:szCs w:val="36"/>
        </w:rPr>
        <w:t xml:space="preserve"> and aspirations at the forefront of the care process. Yet there is nothing intuitive about the process of translating this intuitively appealing into practice. While person-centred care is widely supported as an ethics and practical ideal, it is often theoretically under-specified, leaving a chasm between aspirational rhetoric and the complex realities of practice. Beyond a superficial adoption of the term, engaging in a critical</w:t>
      </w:r>
      <w:r w:rsidR="00DC1AF8" w:rsidRPr="00B1533A">
        <w:rPr>
          <w:rFonts w:ascii="Arial" w:hAnsi="Arial" w:cs="Arial"/>
          <w:i w:val="0"/>
          <w:iCs w:val="0"/>
          <w:sz w:val="36"/>
          <w:szCs w:val="36"/>
        </w:rPr>
        <w:t xml:space="preserve"> manner with the foundational concepts that give it substantive meaning and structural integrity remains imperative. This essay will content that a robust, sustainable, and genuinely emancipatory model of person-centred care must be underpinned by a coherent care must be underpinned by a coherent theoretical foundation that guides individual interactions and critically explores the broader social, political, and economic contexts in which care is provided. The platform through which this exploration is based is the </w:t>
      </w:r>
      <w:r w:rsidR="00DC1AF8" w:rsidRPr="00B1533A">
        <w:rPr>
          <w:rFonts w:ascii="Arial" w:hAnsi="Arial" w:cs="Arial"/>
          <w:i w:val="0"/>
          <w:iCs w:val="0"/>
          <w:sz w:val="36"/>
          <w:szCs w:val="36"/>
        </w:rPr>
        <w:lastRenderedPageBreak/>
        <w:t xml:space="preserve">ethics of care, a moral political theory that reconceptualizes care not as peripheral </w:t>
      </w:r>
      <w:r w:rsidR="0034570E" w:rsidRPr="00B1533A">
        <w:rPr>
          <w:rFonts w:ascii="Arial" w:hAnsi="Arial" w:cs="Arial"/>
          <w:i w:val="0"/>
          <w:iCs w:val="0"/>
          <w:sz w:val="36"/>
          <w:szCs w:val="36"/>
        </w:rPr>
        <w:t>private obligation</w:t>
      </w:r>
      <w:r w:rsidR="00DC1AF8" w:rsidRPr="00B1533A">
        <w:rPr>
          <w:rFonts w:ascii="Arial" w:hAnsi="Arial" w:cs="Arial"/>
          <w:i w:val="0"/>
          <w:iCs w:val="0"/>
          <w:sz w:val="36"/>
          <w:szCs w:val="36"/>
        </w:rPr>
        <w:t xml:space="preserve"> but as a central, universal human activity and a foundation concern for a just society.</w:t>
      </w:r>
    </w:p>
    <w:p w14:paraId="3DF2B617" w14:textId="0C00BD44" w:rsidR="0034570E" w:rsidRPr="00983D4F" w:rsidRDefault="0034570E" w:rsidP="00C03A91">
      <w:pPr>
        <w:tabs>
          <w:tab w:val="left" w:pos="6540"/>
        </w:tabs>
        <w:spacing w:line="360" w:lineRule="auto"/>
        <w:rPr>
          <w:rFonts w:ascii="Arial" w:hAnsi="Arial" w:cs="Arial"/>
          <w:b/>
          <w:bCs/>
          <w:sz w:val="36"/>
          <w:szCs w:val="36"/>
        </w:rPr>
      </w:pPr>
      <w:r w:rsidRPr="00B1533A">
        <w:rPr>
          <w:rFonts w:ascii="Arial" w:hAnsi="Arial" w:cs="Arial"/>
          <w:i w:val="0"/>
          <w:iCs w:val="0"/>
          <w:sz w:val="36"/>
          <w:szCs w:val="36"/>
        </w:rPr>
        <w:t>The ethics of care emerged, during the latter part of the 20</w:t>
      </w:r>
      <w:r w:rsidRPr="00B1533A">
        <w:rPr>
          <w:rFonts w:ascii="Arial" w:hAnsi="Arial" w:cs="Arial"/>
          <w:i w:val="0"/>
          <w:iCs w:val="0"/>
          <w:sz w:val="36"/>
          <w:szCs w:val="36"/>
          <w:vertAlign w:val="superscript"/>
        </w:rPr>
        <w:t>th</w:t>
      </w:r>
      <w:r w:rsidRPr="00B1533A">
        <w:rPr>
          <w:rFonts w:ascii="Arial" w:hAnsi="Arial" w:cs="Arial"/>
          <w:i w:val="0"/>
          <w:iCs w:val="0"/>
          <w:sz w:val="36"/>
          <w:szCs w:val="36"/>
        </w:rPr>
        <w:t xml:space="preserve"> century, from feminist scholarship most notably through the seminal work of carol Gilligan and latter theorist such as Nel nodding’s, Joan Tronto, and Eva Feder kittay as a direct challenge to dominant, abstract, and individualistic moral frameworks such as Kantian deontology and utilitarianism. Gilligan’s critique of Lawrence Kohlberg’s stage of moral development highlighted a different voice one which emphasized relationships. Responsibility, empathy, and contextual narrative over impartial rules and justice-as-fairness. This was not simply a descriptive account of a feminine approach but a provocative argument for revaluing traits and labour historically associated with women and relegated to the private sphere. </w:t>
      </w:r>
      <w:r w:rsidR="00E7008A" w:rsidRPr="00B1533A">
        <w:rPr>
          <w:rFonts w:ascii="Arial" w:hAnsi="Arial" w:cs="Arial"/>
          <w:i w:val="0"/>
          <w:iCs w:val="0"/>
          <w:sz w:val="36"/>
          <w:szCs w:val="36"/>
        </w:rPr>
        <w:t>S</w:t>
      </w:r>
      <w:r w:rsidRPr="00B1533A">
        <w:rPr>
          <w:rFonts w:ascii="Arial" w:hAnsi="Arial" w:cs="Arial"/>
          <w:i w:val="0"/>
          <w:iCs w:val="0"/>
          <w:sz w:val="36"/>
          <w:szCs w:val="36"/>
        </w:rPr>
        <w:t>u</w:t>
      </w:r>
      <w:r w:rsidR="00E7008A" w:rsidRPr="00B1533A">
        <w:rPr>
          <w:rFonts w:ascii="Arial" w:hAnsi="Arial" w:cs="Arial"/>
          <w:i w:val="0"/>
          <w:iCs w:val="0"/>
          <w:sz w:val="36"/>
          <w:szCs w:val="36"/>
        </w:rPr>
        <w:t xml:space="preserve">bsequent development by Tronto expanded the includes everything that we do to maintain, continue, and repair our world so that we can live in it as well as possible her </w:t>
      </w:r>
      <w:r w:rsidR="00E7008A" w:rsidRPr="00B1533A">
        <w:rPr>
          <w:rFonts w:ascii="Arial" w:hAnsi="Arial" w:cs="Arial"/>
          <w:i w:val="0"/>
          <w:iCs w:val="0"/>
          <w:sz w:val="36"/>
          <w:szCs w:val="36"/>
        </w:rPr>
        <w:lastRenderedPageBreak/>
        <w:t>articulation of the four phases elements of care attentiveness responsibility competence, and responsiveness alongside the integral concept of power, provides a sophisticated analytical toolkit for examining care practices at both micro and macro levels.</w:t>
      </w:r>
    </w:p>
    <w:p w14:paraId="68FE1C35" w14:textId="50294525" w:rsidR="004E072F" w:rsidRDefault="004E072F" w:rsidP="004E072F">
      <w:pPr>
        <w:rPr>
          <w:sz w:val="36"/>
          <w:szCs w:val="36"/>
        </w:rPr>
      </w:pPr>
    </w:p>
    <w:p w14:paraId="4E981DBE" w14:textId="61A2CCD9" w:rsidR="004E072F" w:rsidRDefault="004E072F" w:rsidP="004E072F">
      <w:pPr>
        <w:rPr>
          <w:b/>
          <w:bCs/>
          <w:sz w:val="36"/>
          <w:szCs w:val="36"/>
        </w:rPr>
      </w:pPr>
      <w:r w:rsidRPr="004E072F">
        <w:rPr>
          <w:b/>
          <w:bCs/>
          <w:sz w:val="36"/>
          <w:szCs w:val="36"/>
        </w:rPr>
        <w:t>1.Emergence, development, and critique of the ethics of ca</w:t>
      </w:r>
    </w:p>
    <w:p w14:paraId="07CA6B53" w14:textId="470AC105" w:rsidR="00E51B6A" w:rsidRDefault="00E51B6A" w:rsidP="004E072F">
      <w:pPr>
        <w:rPr>
          <w:sz w:val="36"/>
          <w:szCs w:val="36"/>
        </w:rPr>
      </w:pPr>
      <w:r>
        <w:rPr>
          <w:sz w:val="36"/>
          <w:szCs w:val="36"/>
        </w:rPr>
        <w:t xml:space="preserve">The ethics of care first gained prominence through the work of psychologist carol Gilligan in her 1982 book in a different voice. </w:t>
      </w:r>
      <w:r w:rsidR="00151BCD">
        <w:rPr>
          <w:sz w:val="36"/>
          <w:szCs w:val="36"/>
        </w:rPr>
        <w:t>Challenging Lawrence</w:t>
      </w:r>
      <w:r>
        <w:rPr>
          <w:sz w:val="36"/>
          <w:szCs w:val="36"/>
        </w:rPr>
        <w:t xml:space="preserve"> Kohlberg’s hierarchical model of moral development which privileged </w:t>
      </w:r>
      <w:r w:rsidR="00151BCD">
        <w:rPr>
          <w:sz w:val="36"/>
          <w:szCs w:val="36"/>
        </w:rPr>
        <w:t>impartial, justice-based reasoning, Gilligan identified an alternative, equally valid voice centred on responsibility, and care, which she associated more closely with women’s moral experiences. This was not merely a descriptive claim but a normative one: care was a legitimate moral orientation.</w:t>
      </w:r>
    </w:p>
    <w:p w14:paraId="295C6C7C" w14:textId="0D1807F2" w:rsidR="00151BCD" w:rsidRDefault="00151BCD" w:rsidP="004E072F">
      <w:pPr>
        <w:rPr>
          <w:sz w:val="36"/>
          <w:szCs w:val="36"/>
        </w:rPr>
      </w:pPr>
      <w:r>
        <w:rPr>
          <w:sz w:val="36"/>
          <w:szCs w:val="36"/>
        </w:rPr>
        <w:t>Subsequent philosophers, particularly Nel Nodding’s and Joan Tronto, expanded the theory. In a philosophical anchoring, nodding’s (1984) set care in relational encounter between the on-caring and the cared-for highlighting engrossment (receptive attention) and motivational displacement (shiftin</w:t>
      </w:r>
      <w:r w:rsidR="00D43A5D">
        <w:rPr>
          <w:sz w:val="36"/>
          <w:szCs w:val="36"/>
        </w:rPr>
        <w:t xml:space="preserve">g one’s motive energy to the needs of the other). Tronto (1993) relocated the ethic from the private sphere into the political domain, defining care as a species activity that includes </w:t>
      </w:r>
      <w:r w:rsidR="00D43A5D">
        <w:rPr>
          <w:sz w:val="36"/>
          <w:szCs w:val="36"/>
        </w:rPr>
        <w:lastRenderedPageBreak/>
        <w:t xml:space="preserve">everything that we do to maintain, continue, and repair our world so that we can live in it as well as possible she outlined four ethical elements of care: attentiveness (to need), responsibility (to take on need), competence (in care-giving), and responsiveness (to the care receiver’s  perspective). </w:t>
      </w:r>
    </w:p>
    <w:p w14:paraId="51C028AF" w14:textId="00F1F307" w:rsidR="00236433" w:rsidRDefault="00236433" w:rsidP="004E072F">
      <w:pPr>
        <w:rPr>
          <w:sz w:val="36"/>
          <w:szCs w:val="36"/>
        </w:rPr>
      </w:pPr>
      <w:r>
        <w:rPr>
          <w:sz w:val="36"/>
          <w:szCs w:val="36"/>
        </w:rPr>
        <w:t>The development of care ethics has gone hand in hand with significant critiques. First, it has been accused of essentialism. of consolidating stereotypical associations between women and nurturing, possibly confining them to caring roles. In response, care ethics argue that while the ethics arises from historically feminised experiences, its principles are human, not feminine, and its goal is to revalue, not confine, acre work while demanding its equitable distribution across society and genders.</w:t>
      </w:r>
    </w:p>
    <w:p w14:paraId="24656517" w14:textId="0D10A448" w:rsidR="00CA5AFA" w:rsidRDefault="00CA5AFA" w:rsidP="004E072F">
      <w:pPr>
        <w:rPr>
          <w:sz w:val="36"/>
          <w:szCs w:val="36"/>
        </w:rPr>
      </w:pPr>
      <w:r>
        <w:rPr>
          <w:sz w:val="36"/>
          <w:szCs w:val="36"/>
        </w:rPr>
        <w:t>Secon</w:t>
      </w:r>
      <w:r w:rsidR="008406AF">
        <w:rPr>
          <w:sz w:val="36"/>
          <w:szCs w:val="36"/>
        </w:rPr>
        <w:t>d, parochialism can be criticized by those who feel that focus on relationships will encourage unfairness and inability to care for distance strangers or any aspects of justice at a social level. As a response, care ethicists, especially Tronto, ague that care is indeed not opposed to justice but required a reimagined, justice-as-care framework. A caring society must structure institutions to meet needs fairly as well as foster responsive relationships, bridging the particular and the general.</w:t>
      </w:r>
    </w:p>
    <w:p w14:paraId="5677447D" w14:textId="2CC21B4B" w:rsidR="008406AF" w:rsidRDefault="008406AF" w:rsidP="004E072F">
      <w:pPr>
        <w:rPr>
          <w:sz w:val="36"/>
          <w:szCs w:val="36"/>
        </w:rPr>
      </w:pPr>
      <w:r>
        <w:rPr>
          <w:sz w:val="36"/>
          <w:szCs w:val="36"/>
        </w:rPr>
        <w:t xml:space="preserve">Others say that care ethics is too vague and under-theorised when compared to principles-based ethics, and it cannot, </w:t>
      </w:r>
      <w:r>
        <w:rPr>
          <w:sz w:val="36"/>
          <w:szCs w:val="36"/>
        </w:rPr>
        <w:lastRenderedPageBreak/>
        <w:t>therefore, help in complex policy or bioethical dilemmas. Proponents will take this as a strength of the theory, positing that care resists rigid codification it’s a situated practice required judgment, context, and dialogue rather than the mechanical application of rules.</w:t>
      </w:r>
    </w:p>
    <w:p w14:paraId="031128DC" w14:textId="7EEA92AC" w:rsidR="00C11852" w:rsidRPr="00B52F9D" w:rsidRDefault="00C11852" w:rsidP="004E072F">
      <w:pPr>
        <w:rPr>
          <w:b/>
          <w:bCs/>
          <w:sz w:val="36"/>
          <w:szCs w:val="36"/>
        </w:rPr>
      </w:pPr>
      <w:r w:rsidRPr="00B52F9D">
        <w:rPr>
          <w:b/>
          <w:bCs/>
          <w:sz w:val="36"/>
          <w:szCs w:val="36"/>
        </w:rPr>
        <w:t xml:space="preserve">2. APPLICATION TO </w:t>
      </w:r>
      <w:r w:rsidR="00B1533A">
        <w:rPr>
          <w:b/>
          <w:bCs/>
          <w:sz w:val="36"/>
          <w:szCs w:val="36"/>
        </w:rPr>
        <w:t xml:space="preserve">health and social care </w:t>
      </w:r>
      <w:r w:rsidRPr="00B52F9D">
        <w:rPr>
          <w:b/>
          <w:bCs/>
          <w:sz w:val="36"/>
          <w:szCs w:val="36"/>
        </w:rPr>
        <w:t>POLICY AND PRACTICE: POTENTIALS AND PROBLEMS</w:t>
      </w:r>
    </w:p>
    <w:p w14:paraId="1F3B3057" w14:textId="6D5C9FAE" w:rsidR="00B1533A" w:rsidRDefault="00B1533A" w:rsidP="004E072F">
      <w:pPr>
        <w:rPr>
          <w:sz w:val="36"/>
          <w:szCs w:val="36"/>
        </w:rPr>
      </w:pPr>
      <w:r w:rsidRPr="00E757D8">
        <w:rPr>
          <w:b/>
          <w:bCs/>
          <w:sz w:val="36"/>
          <w:szCs w:val="36"/>
        </w:rPr>
        <w:t>Attentiveness</w:t>
      </w:r>
      <w:r>
        <w:rPr>
          <w:sz w:val="36"/>
          <w:szCs w:val="36"/>
        </w:rPr>
        <w:t>: practitioners taking time to listen actively and understand the person-narrative, live-world, and definition of need. In dementia care, this is embodied in tom kitwood’s concept of personhood sustained through relationship.</w:t>
      </w:r>
    </w:p>
    <w:p w14:paraId="21DB3942" w14:textId="14CA8110" w:rsidR="00B1533A" w:rsidRDefault="00E757D8" w:rsidP="004E072F">
      <w:pPr>
        <w:rPr>
          <w:sz w:val="36"/>
          <w:szCs w:val="36"/>
        </w:rPr>
      </w:pPr>
      <w:r w:rsidRPr="00E757D8">
        <w:rPr>
          <w:b/>
          <w:bCs/>
          <w:sz w:val="36"/>
          <w:szCs w:val="36"/>
        </w:rPr>
        <w:t>Responsiveness</w:t>
      </w:r>
      <w:r>
        <w:rPr>
          <w:sz w:val="36"/>
          <w:szCs w:val="36"/>
        </w:rPr>
        <w:t>: co-production of care plan, where professionals act as partners rather than experts, respecting the agency of even the most vulnerable individuals. This aligns with the recovery model in mental health, which emphasises personal journey and self-determination.</w:t>
      </w:r>
    </w:p>
    <w:p w14:paraId="50E407D2" w14:textId="0C42E72C" w:rsidR="00B1533A" w:rsidRDefault="00E757D8" w:rsidP="004E072F">
      <w:pPr>
        <w:rPr>
          <w:sz w:val="36"/>
          <w:szCs w:val="36"/>
        </w:rPr>
      </w:pPr>
      <w:r w:rsidRPr="00E757D8">
        <w:rPr>
          <w:b/>
          <w:bCs/>
          <w:sz w:val="36"/>
          <w:szCs w:val="36"/>
        </w:rPr>
        <w:t>Holistic competence</w:t>
      </w:r>
      <w:r>
        <w:rPr>
          <w:sz w:val="36"/>
          <w:szCs w:val="36"/>
        </w:rPr>
        <w:t>: valuing emotional labour, communication skills, and relational continuity as highly as technical, procedural competence. A district nurse provide end-of-life care exemplifies this blend of clinic skill and sustained, compassionate presence.</w:t>
      </w:r>
    </w:p>
    <w:p w14:paraId="2AF219ED" w14:textId="3CBA4489" w:rsidR="00C11852" w:rsidRDefault="000714C6" w:rsidP="004E072F">
      <w:pPr>
        <w:rPr>
          <w:sz w:val="36"/>
          <w:szCs w:val="36"/>
        </w:rPr>
      </w:pPr>
      <w:r>
        <w:rPr>
          <w:sz w:val="36"/>
          <w:szCs w:val="36"/>
        </w:rPr>
        <w:t xml:space="preserve">A care ethics approach to health and social care Is highly promising though fraught with challenge possible applications: In practice, it underpins core person-centred and </w:t>
      </w:r>
      <w:r>
        <w:rPr>
          <w:sz w:val="36"/>
          <w:szCs w:val="36"/>
        </w:rPr>
        <w:lastRenderedPageBreak/>
        <w:t xml:space="preserve">relational approaches. Care ethics informs nursing models like Kristin Swanson’s theory of caring, that emphasizes being with the patient. As a practice that informs and is informed by relationship-based approaches to social work, care-ethical notions about attentiveness and responsiveness are picked up directly. The base of such practice is shared decision-making, where the professional competencies meet the experiential knowledge of the patient in dialogue. Following tom </w:t>
      </w:r>
      <w:r w:rsidR="00DC5BB9">
        <w:rPr>
          <w:sz w:val="36"/>
          <w:szCs w:val="36"/>
        </w:rPr>
        <w:t>Kit wood’s</w:t>
      </w:r>
      <w:r w:rsidR="000256D8">
        <w:rPr>
          <w:sz w:val="36"/>
          <w:szCs w:val="36"/>
        </w:rPr>
        <w:t xml:space="preserve"> concept of personhood maintained through relationship is deeply care-ethic</w:t>
      </w:r>
      <w:r w:rsidR="00DC5BB9">
        <w:rPr>
          <w:sz w:val="36"/>
          <w:szCs w:val="36"/>
        </w:rPr>
        <w:t xml:space="preserve">al. What this means in policy is that care ethics promote systems that support caring relationships, for example, funding for holistic, longitudinal care, policies to give professionals time to build relationships, such as continuity of care models and support for family carers who are unpaid yet highly valued partners in care. Care-ethical values are therefore also implicit in the Scottish government standards for health and social care standards my support my life which emphasize dignity compassion and responsiveness. Problems in application however the neoliberal managerialist context of </w:t>
      </w:r>
      <w:r w:rsidR="00625298">
        <w:rPr>
          <w:sz w:val="36"/>
          <w:szCs w:val="36"/>
        </w:rPr>
        <w:t>much western health and social care thus fits in a systemic contradiction with care ethics. Marketisation and efficiency agendas reduce care to a series of transactional, time-limi</w:t>
      </w:r>
      <w:r w:rsidR="009213A5">
        <w:rPr>
          <w:sz w:val="36"/>
          <w:szCs w:val="36"/>
        </w:rPr>
        <w:t xml:space="preserve">ted tasks, undermining attentiveness and responsiveness that are central to care. Tick-box assessments, standardised care pathways, and output metrics have often risen at the expense of professional </w:t>
      </w:r>
      <w:r w:rsidR="009213A5">
        <w:rPr>
          <w:sz w:val="36"/>
          <w:szCs w:val="36"/>
        </w:rPr>
        <w:lastRenderedPageBreak/>
        <w:t>judgment and relational continuity. Furthermore, the systematic devaluation of care work performed predominantly by the low paid-often female and migrant workers in social care exposes a stark contradiction: that a system reliant on care operates</w:t>
      </w:r>
      <w:r w:rsidR="00415452">
        <w:rPr>
          <w:sz w:val="36"/>
          <w:szCs w:val="36"/>
        </w:rPr>
        <w:t xml:space="preserve"> on logics that exploit the very relational labour it requires. The ethics call for responsibility is individualised onto underresoured workers and families while organisations avoid institutional responsibility.</w:t>
      </w:r>
    </w:p>
    <w:p w14:paraId="3A81EA0B" w14:textId="37C5FBE9" w:rsidR="0095356A" w:rsidRDefault="0095356A" w:rsidP="004E072F">
      <w:pPr>
        <w:rPr>
          <w:sz w:val="36"/>
          <w:szCs w:val="36"/>
        </w:rPr>
      </w:pPr>
      <w:r>
        <w:rPr>
          <w:sz w:val="36"/>
          <w:szCs w:val="36"/>
        </w:rPr>
        <w:t xml:space="preserve">The resource scarcity in public </w:t>
      </w:r>
      <w:proofErr w:type="spellStart"/>
      <w:r>
        <w:rPr>
          <w:sz w:val="36"/>
          <w:szCs w:val="36"/>
        </w:rPr>
        <w:t>ly</w:t>
      </w:r>
      <w:proofErr w:type="spellEnd"/>
      <w:r>
        <w:rPr>
          <w:sz w:val="36"/>
          <w:szCs w:val="36"/>
        </w:rPr>
        <w:t xml:space="preserve"> funded systems form a basis for ethical distress caregivers, who know what good care requires but cannot provide it within constrained time and budgets. This gap between the ethics ideal and material reality leads to burnout and compromised care. Besides, the application of responsiveness in a pluralistic society with diverse needs required flexible services, often at odds with rigid commissioning models based one-size-fits-all.</w:t>
      </w:r>
    </w:p>
    <w:p w14:paraId="04EE5BBD" w14:textId="3170D62D" w:rsidR="0095356A" w:rsidRDefault="0095356A" w:rsidP="004E072F">
      <w:pPr>
        <w:rPr>
          <w:sz w:val="36"/>
          <w:szCs w:val="36"/>
        </w:rPr>
      </w:pPr>
      <w:r>
        <w:rPr>
          <w:sz w:val="36"/>
          <w:szCs w:val="36"/>
        </w:rPr>
        <w:t>3</w:t>
      </w:r>
      <w:r w:rsidRPr="0095356A">
        <w:rPr>
          <w:b/>
          <w:bCs/>
          <w:sz w:val="36"/>
          <w:szCs w:val="36"/>
        </w:rPr>
        <w:t xml:space="preserve">. </w:t>
      </w:r>
      <w:r w:rsidR="00B1533A">
        <w:rPr>
          <w:b/>
          <w:bCs/>
          <w:sz w:val="36"/>
          <w:szCs w:val="36"/>
        </w:rPr>
        <w:t xml:space="preserve">recommendation for </w:t>
      </w:r>
      <w:r w:rsidRPr="0095356A">
        <w:rPr>
          <w:b/>
          <w:bCs/>
          <w:sz w:val="36"/>
          <w:szCs w:val="36"/>
        </w:rPr>
        <w:t>policy and practice</w:t>
      </w:r>
      <w:r>
        <w:rPr>
          <w:sz w:val="36"/>
          <w:szCs w:val="36"/>
        </w:rPr>
        <w:t xml:space="preserve"> </w:t>
      </w:r>
    </w:p>
    <w:p w14:paraId="307EFEC4" w14:textId="4C58614B" w:rsidR="0095356A" w:rsidRDefault="0095356A" w:rsidP="004E072F">
      <w:pPr>
        <w:rPr>
          <w:sz w:val="36"/>
          <w:szCs w:val="36"/>
        </w:rPr>
      </w:pPr>
      <w:r>
        <w:rPr>
          <w:sz w:val="36"/>
          <w:szCs w:val="36"/>
        </w:rPr>
        <w:t xml:space="preserve">Recommendations to truly embed the ethics of care as a foundation for person-centred care, transformative changes are needed: </w:t>
      </w:r>
    </w:p>
    <w:p w14:paraId="148C7511" w14:textId="5D973749" w:rsidR="0095356A" w:rsidRDefault="0095356A" w:rsidP="0095356A">
      <w:pPr>
        <w:pStyle w:val="ListParagraph"/>
        <w:rPr>
          <w:sz w:val="36"/>
          <w:szCs w:val="36"/>
        </w:rPr>
      </w:pPr>
      <w:r>
        <w:rPr>
          <w:sz w:val="36"/>
          <w:szCs w:val="36"/>
        </w:rPr>
        <w:t xml:space="preserve">1 policy value and measure what matters shift performance metrics away from purely quantitative outputs such as number of visits or bed turnover-to </w:t>
      </w:r>
      <w:r w:rsidR="003D034B">
        <w:rPr>
          <w:sz w:val="36"/>
          <w:szCs w:val="36"/>
        </w:rPr>
        <w:t xml:space="preserve">qualitative, relational outcomes for example care receiver wellbeing and satisfaction with continuity of </w:t>
      </w:r>
      <w:r w:rsidR="003D034B">
        <w:rPr>
          <w:sz w:val="36"/>
          <w:szCs w:val="36"/>
        </w:rPr>
        <w:lastRenderedPageBreak/>
        <w:t>relationship reward longitudinal care relationships and allow sufficient time for complex communication work.</w:t>
      </w:r>
    </w:p>
    <w:p w14:paraId="250FD513" w14:textId="3C1A8057" w:rsidR="003D034B" w:rsidRDefault="003D034B" w:rsidP="0095356A">
      <w:pPr>
        <w:pStyle w:val="ListParagraph"/>
        <w:rPr>
          <w:sz w:val="36"/>
          <w:szCs w:val="36"/>
        </w:rPr>
      </w:pPr>
    </w:p>
    <w:p w14:paraId="0B9D0891" w14:textId="7A5DA862" w:rsidR="003D034B" w:rsidRDefault="003D034B" w:rsidP="0095356A">
      <w:pPr>
        <w:pStyle w:val="ListParagraph"/>
        <w:rPr>
          <w:sz w:val="36"/>
          <w:szCs w:val="36"/>
        </w:rPr>
      </w:pPr>
      <w:r>
        <w:rPr>
          <w:sz w:val="36"/>
          <w:szCs w:val="36"/>
        </w:rPr>
        <w:t>2. practice: empower relational competence go beyond competence as mere technical skill to include relational and communicative competence as core, assessed parts of professional education and development. Create protected time for reflection and interdisciplinary the collaboration required to support the judgement s in care that are situated.</w:t>
      </w:r>
    </w:p>
    <w:p w14:paraId="7CEFB081" w14:textId="77777777" w:rsidR="003D034B" w:rsidRDefault="003D034B" w:rsidP="0095356A">
      <w:pPr>
        <w:pStyle w:val="ListParagraph"/>
        <w:rPr>
          <w:sz w:val="36"/>
          <w:szCs w:val="36"/>
        </w:rPr>
      </w:pPr>
    </w:p>
    <w:p w14:paraId="1BF5984F" w14:textId="3082BE17" w:rsidR="003D034B" w:rsidRDefault="003D034B" w:rsidP="0095356A">
      <w:pPr>
        <w:pStyle w:val="ListParagraph"/>
        <w:rPr>
          <w:sz w:val="36"/>
          <w:szCs w:val="36"/>
        </w:rPr>
      </w:pPr>
      <w:r>
        <w:rPr>
          <w:sz w:val="36"/>
          <w:szCs w:val="36"/>
        </w:rPr>
        <w:t>3. workforce: recognize reward care labour address the gendered and ethics inequities in the care workforce through proper pay. Condition, and career progression for social staff. This aligns with the responsibility for those who undertake care work.</w:t>
      </w:r>
    </w:p>
    <w:p w14:paraId="2E6F7A4B" w14:textId="0D8D99FB" w:rsidR="00B479E8" w:rsidRDefault="00B479E8" w:rsidP="0095356A">
      <w:pPr>
        <w:pStyle w:val="ListParagraph"/>
        <w:rPr>
          <w:sz w:val="36"/>
          <w:szCs w:val="36"/>
        </w:rPr>
      </w:pPr>
    </w:p>
    <w:p w14:paraId="6C98F695" w14:textId="736E86F5" w:rsidR="003D034B" w:rsidRPr="00B479E8" w:rsidRDefault="00B479E8" w:rsidP="00B479E8">
      <w:pPr>
        <w:pStyle w:val="ListParagraph"/>
        <w:rPr>
          <w:sz w:val="36"/>
          <w:szCs w:val="36"/>
        </w:rPr>
      </w:pPr>
      <w:r>
        <w:rPr>
          <w:sz w:val="36"/>
          <w:szCs w:val="36"/>
        </w:rPr>
        <w:t xml:space="preserve">4. system design: integrate care and justice when designing systems, use a justice-as-care lens. This means universal services are designed to be inherently responsive, with targeted, enhanced support for those with greater needs-a fair distribution of relational resources. Co-production this engagement with </w:t>
      </w:r>
    </w:p>
    <w:p w14:paraId="71A8326A" w14:textId="0096FC8E" w:rsidR="003D034B" w:rsidRDefault="00B479E8" w:rsidP="0095356A">
      <w:pPr>
        <w:pStyle w:val="ListParagraph"/>
        <w:rPr>
          <w:sz w:val="36"/>
          <w:szCs w:val="36"/>
        </w:rPr>
      </w:pPr>
      <w:r>
        <w:rPr>
          <w:sz w:val="36"/>
          <w:szCs w:val="36"/>
        </w:rPr>
        <w:t>Service users and communities should b</w:t>
      </w:r>
      <w:r w:rsidR="008F6831">
        <w:rPr>
          <w:sz w:val="36"/>
          <w:szCs w:val="36"/>
        </w:rPr>
        <w:t>e</w:t>
      </w:r>
      <w:r>
        <w:rPr>
          <w:sz w:val="36"/>
          <w:szCs w:val="36"/>
        </w:rPr>
        <w:t xml:space="preserve"> structurally embedded rather than tokenistic.</w:t>
      </w:r>
    </w:p>
    <w:p w14:paraId="23863F0B" w14:textId="77777777" w:rsidR="00B1533A" w:rsidRDefault="00B1533A" w:rsidP="0095356A">
      <w:pPr>
        <w:pStyle w:val="ListParagraph"/>
        <w:rPr>
          <w:sz w:val="36"/>
          <w:szCs w:val="36"/>
        </w:rPr>
      </w:pPr>
    </w:p>
    <w:p w14:paraId="75C830E5" w14:textId="530B5A4E" w:rsidR="008F6831" w:rsidRDefault="008F6831" w:rsidP="0095356A">
      <w:pPr>
        <w:pStyle w:val="ListParagraph"/>
        <w:rPr>
          <w:sz w:val="36"/>
          <w:szCs w:val="36"/>
        </w:rPr>
      </w:pPr>
      <w:r>
        <w:rPr>
          <w:sz w:val="36"/>
          <w:szCs w:val="36"/>
        </w:rPr>
        <w:lastRenderedPageBreak/>
        <w:t>5. support the caring network: robust flexible, and financial support for unpaid carers is a non-negotiable application of care ethics. Respite care, carers allowances, and involving them as respected partners in care planning are essential.</w:t>
      </w:r>
    </w:p>
    <w:p w14:paraId="057E1C41" w14:textId="77777777" w:rsidR="00E757D8" w:rsidRDefault="00E757D8" w:rsidP="0095356A">
      <w:pPr>
        <w:pStyle w:val="ListParagraph"/>
        <w:rPr>
          <w:sz w:val="36"/>
          <w:szCs w:val="36"/>
        </w:rPr>
      </w:pPr>
    </w:p>
    <w:p w14:paraId="2DEA6C4E" w14:textId="51E5F7C0" w:rsidR="00E757D8" w:rsidRPr="005745CA" w:rsidRDefault="00E757D8" w:rsidP="0095356A">
      <w:pPr>
        <w:pStyle w:val="ListParagraph"/>
        <w:rPr>
          <w:b/>
          <w:bCs/>
          <w:sz w:val="36"/>
          <w:szCs w:val="36"/>
        </w:rPr>
      </w:pPr>
      <w:r w:rsidRPr="005745CA">
        <w:rPr>
          <w:b/>
          <w:bCs/>
          <w:sz w:val="36"/>
          <w:szCs w:val="36"/>
        </w:rPr>
        <w:t>For practice:</w:t>
      </w:r>
    </w:p>
    <w:p w14:paraId="1659C545" w14:textId="76BC7C27" w:rsidR="00E757D8" w:rsidRDefault="00E757D8" w:rsidP="0095356A">
      <w:pPr>
        <w:pStyle w:val="ListParagraph"/>
        <w:rPr>
          <w:sz w:val="36"/>
          <w:szCs w:val="36"/>
        </w:rPr>
      </w:pPr>
      <w:r>
        <w:rPr>
          <w:sz w:val="36"/>
          <w:szCs w:val="36"/>
        </w:rPr>
        <w:t xml:space="preserve">1: relational reflective practice: embed mandatory, protected reflective practice spaces (e.g., Schwartz rounds, </w:t>
      </w:r>
      <w:r w:rsidR="005745CA">
        <w:rPr>
          <w:sz w:val="36"/>
          <w:szCs w:val="36"/>
        </w:rPr>
        <w:t>Balint</w:t>
      </w:r>
      <w:r>
        <w:rPr>
          <w:sz w:val="36"/>
          <w:szCs w:val="36"/>
        </w:rPr>
        <w:t xml:space="preserve"> groups) </w:t>
      </w:r>
      <w:r w:rsidR="005745CA">
        <w:rPr>
          <w:sz w:val="36"/>
          <w:szCs w:val="36"/>
        </w:rPr>
        <w:t>where multidisciplinary teams can process the emotional and ethics complexities of their work, nurturing their capacity for attentiveness and moral resilience,</w:t>
      </w:r>
    </w:p>
    <w:p w14:paraId="1BDEB26A" w14:textId="77777777" w:rsidR="005745CA" w:rsidRDefault="005745CA" w:rsidP="0095356A">
      <w:pPr>
        <w:pStyle w:val="ListParagraph"/>
        <w:rPr>
          <w:sz w:val="36"/>
          <w:szCs w:val="36"/>
        </w:rPr>
      </w:pPr>
    </w:p>
    <w:p w14:paraId="26B56091" w14:textId="40B487CA" w:rsidR="005745CA" w:rsidRDefault="005745CA" w:rsidP="005745CA">
      <w:pPr>
        <w:pStyle w:val="ListParagraph"/>
        <w:rPr>
          <w:sz w:val="36"/>
          <w:szCs w:val="36"/>
        </w:rPr>
      </w:pPr>
      <w:r>
        <w:rPr>
          <w:sz w:val="36"/>
          <w:szCs w:val="36"/>
        </w:rPr>
        <w:t>2.power-shring and advocacy: actively create structures for service-user voice and co-production, from individual care plaining to service design committees. Practitioners must see themselves as facilitators of agency and advocates for the resources need for good care,</w:t>
      </w:r>
    </w:p>
    <w:p w14:paraId="2E9D4010" w14:textId="77777777" w:rsidR="005745CA" w:rsidRPr="005745CA" w:rsidRDefault="005745CA" w:rsidP="005745CA">
      <w:pPr>
        <w:pStyle w:val="ListParagraph"/>
        <w:rPr>
          <w:sz w:val="36"/>
          <w:szCs w:val="36"/>
        </w:rPr>
      </w:pPr>
    </w:p>
    <w:p w14:paraId="0C699DD6" w14:textId="0A660325" w:rsidR="005745CA" w:rsidRPr="005745CA" w:rsidRDefault="005745CA" w:rsidP="005745CA">
      <w:pPr>
        <w:pStyle w:val="ListParagraph"/>
        <w:rPr>
          <w:sz w:val="36"/>
          <w:szCs w:val="36"/>
        </w:rPr>
      </w:pPr>
      <w:r>
        <w:rPr>
          <w:sz w:val="36"/>
          <w:szCs w:val="36"/>
        </w:rPr>
        <w:t xml:space="preserve">3. Narrative-base assessment: formalise the use of narrative and biographical approaches in assessments, ensuring care plans are built from the person- story and values, not just diagnostic categories. Tools like what matters to you should drive clinic </w:t>
      </w:r>
      <w:proofErr w:type="gramStart"/>
      <w:r>
        <w:rPr>
          <w:sz w:val="36"/>
          <w:szCs w:val="36"/>
        </w:rPr>
        <w:t>encounters</w:t>
      </w:r>
      <w:proofErr w:type="gramEnd"/>
    </w:p>
    <w:p w14:paraId="14026DC9" w14:textId="77777777" w:rsidR="00B1533A" w:rsidRPr="00B1533A" w:rsidRDefault="00B1533A" w:rsidP="00B1533A">
      <w:pPr>
        <w:rPr>
          <w:sz w:val="36"/>
          <w:szCs w:val="36"/>
        </w:rPr>
      </w:pPr>
    </w:p>
    <w:p w14:paraId="52BE5D0E" w14:textId="77777777" w:rsidR="008F6831" w:rsidRDefault="008F6831" w:rsidP="0095356A">
      <w:pPr>
        <w:pStyle w:val="ListParagraph"/>
        <w:rPr>
          <w:sz w:val="36"/>
          <w:szCs w:val="36"/>
        </w:rPr>
      </w:pPr>
    </w:p>
    <w:p w14:paraId="0BCFCE9A" w14:textId="5DF1A0DF" w:rsidR="008F6831" w:rsidRDefault="008F6831" w:rsidP="0095356A">
      <w:pPr>
        <w:pStyle w:val="ListParagraph"/>
        <w:rPr>
          <w:b/>
          <w:bCs/>
          <w:sz w:val="36"/>
          <w:szCs w:val="36"/>
        </w:rPr>
      </w:pPr>
      <w:r w:rsidRPr="008F6831">
        <w:rPr>
          <w:b/>
          <w:bCs/>
          <w:sz w:val="36"/>
          <w:szCs w:val="36"/>
        </w:rPr>
        <w:t xml:space="preserve">Conclusion </w:t>
      </w:r>
    </w:p>
    <w:p w14:paraId="6354ABA8" w14:textId="47314770" w:rsidR="008F6831" w:rsidRPr="008F6831" w:rsidRDefault="008F6831" w:rsidP="008F6831">
      <w:pPr>
        <w:rPr>
          <w:sz w:val="36"/>
          <w:szCs w:val="36"/>
        </w:rPr>
      </w:pPr>
      <w:r>
        <w:rPr>
          <w:sz w:val="36"/>
          <w:szCs w:val="36"/>
        </w:rPr>
        <w:tab/>
        <w:t>It offers a profound and necessary philosophical underpinning for person-centred care: the ethics of care shifts the moral gaze from abstract autonomy to relational interdependence, from rules to responsiveness, and from transactions to sustained attentiveness. While its development here has meant navigating critiques of essentialism and parochialism, it has emerged as a robust political and moral theory that demands re</w:t>
      </w:r>
      <w:r w:rsidR="005C3143">
        <w:rPr>
          <w:sz w:val="36"/>
          <w:szCs w:val="36"/>
        </w:rPr>
        <w:t>va</w:t>
      </w:r>
      <w:r>
        <w:rPr>
          <w:sz w:val="36"/>
          <w:szCs w:val="36"/>
        </w:rPr>
        <w:t xml:space="preserve">luation </w:t>
      </w:r>
      <w:r w:rsidR="005C3143">
        <w:rPr>
          <w:sz w:val="36"/>
          <w:szCs w:val="36"/>
        </w:rPr>
        <w:t xml:space="preserve">of care. However, its application in contemporary health and social care is fundamentally challenge by neoliberal managerialist paradigms, which commodify care and obscure relation realities. Realizing a truly person-centred system thus requires something more than training staff in </w:t>
      </w:r>
      <w:r w:rsidR="00D6094C">
        <w:rPr>
          <w:sz w:val="36"/>
          <w:szCs w:val="36"/>
        </w:rPr>
        <w:t>communication skills, but a systemic revolution informed by the principles of care ethics, in the form of policy redesign, metrics, funding, and workforce, and sustain the relational fabric of care. Only by embracing the political consequences of ethics of care will we have health and social care systems that are not only efficient but fundamentally humane, recognizing that to be human is to be interconnected, and our systems must honour that truth.</w:t>
      </w:r>
    </w:p>
    <w:p w14:paraId="153F19A5" w14:textId="488E68BB" w:rsidR="00151BCD" w:rsidRPr="00E51B6A" w:rsidRDefault="00D6094C" w:rsidP="004E072F">
      <w:pPr>
        <w:rPr>
          <w:sz w:val="36"/>
          <w:szCs w:val="36"/>
        </w:rPr>
      </w:pPr>
      <w:r>
        <w:rPr>
          <w:sz w:val="36"/>
          <w:szCs w:val="36"/>
        </w:rPr>
        <w:t xml:space="preserve"> </w:t>
      </w:r>
    </w:p>
    <w:p w14:paraId="5A8284F8" w14:textId="77777777" w:rsidR="005745CA" w:rsidRDefault="005C3143" w:rsidP="005C3143">
      <w:pPr>
        <w:rPr>
          <w:b/>
          <w:bCs/>
          <w:sz w:val="36"/>
          <w:szCs w:val="36"/>
        </w:rPr>
      </w:pPr>
      <w:r>
        <w:rPr>
          <w:b/>
          <w:bCs/>
          <w:sz w:val="36"/>
          <w:szCs w:val="36"/>
        </w:rPr>
        <w:t>My reference</w:t>
      </w:r>
    </w:p>
    <w:p w14:paraId="18E8FB79" w14:textId="50ABDB13" w:rsidR="005C3143" w:rsidRPr="005745CA" w:rsidRDefault="005C3143" w:rsidP="005C3143">
      <w:pPr>
        <w:rPr>
          <w:b/>
          <w:bCs/>
          <w:sz w:val="36"/>
          <w:szCs w:val="36"/>
        </w:rPr>
      </w:pPr>
      <w:r>
        <w:rPr>
          <w:sz w:val="36"/>
          <w:szCs w:val="36"/>
        </w:rPr>
        <w:lastRenderedPageBreak/>
        <w:t>1.gillingan, c. (1982). In a different voice: psychological theory and women’s development. Harvard university press.</w:t>
      </w:r>
    </w:p>
    <w:p w14:paraId="438C9A2B" w14:textId="04E1ED95" w:rsidR="005C3143" w:rsidRDefault="005C3143" w:rsidP="005C3143">
      <w:pPr>
        <w:rPr>
          <w:sz w:val="36"/>
          <w:szCs w:val="36"/>
        </w:rPr>
      </w:pPr>
      <w:r>
        <w:rPr>
          <w:sz w:val="36"/>
          <w:szCs w:val="36"/>
        </w:rPr>
        <w:t>2.held, V. (2006). The ethics of care: persona</w:t>
      </w:r>
      <w:r w:rsidR="00591FDF">
        <w:rPr>
          <w:sz w:val="36"/>
          <w:szCs w:val="36"/>
        </w:rPr>
        <w:t>l, political, and global. Oxford university press.</w:t>
      </w:r>
    </w:p>
    <w:p w14:paraId="0DFDD671" w14:textId="6DEE2B52" w:rsidR="00591FDF" w:rsidRDefault="00591FDF" w:rsidP="005C3143">
      <w:pPr>
        <w:rPr>
          <w:sz w:val="36"/>
          <w:szCs w:val="36"/>
        </w:rPr>
      </w:pPr>
      <w:r>
        <w:rPr>
          <w:sz w:val="36"/>
          <w:szCs w:val="36"/>
        </w:rPr>
        <w:t xml:space="preserve">3. kittay, E.F(1999). Lover’s </w:t>
      </w:r>
      <w:proofErr w:type="spellStart"/>
      <w:r>
        <w:rPr>
          <w:sz w:val="36"/>
          <w:szCs w:val="36"/>
        </w:rPr>
        <w:t>labor</w:t>
      </w:r>
      <w:proofErr w:type="spellEnd"/>
      <w:r>
        <w:rPr>
          <w:sz w:val="36"/>
          <w:szCs w:val="36"/>
        </w:rPr>
        <w:t>: essays on women, equality, and dependency. Routledge.</w:t>
      </w:r>
    </w:p>
    <w:p w14:paraId="3185AD2D" w14:textId="42ECDAA7" w:rsidR="00591FDF" w:rsidRDefault="00591FDF" w:rsidP="005C3143">
      <w:pPr>
        <w:rPr>
          <w:sz w:val="36"/>
          <w:szCs w:val="36"/>
        </w:rPr>
      </w:pPr>
      <w:r>
        <w:rPr>
          <w:sz w:val="36"/>
          <w:szCs w:val="36"/>
        </w:rPr>
        <w:t>4. Kneeshaw, S. &amp; CUSHING, A.  (2019). The ethics of care: A moral compass for British nursing British journal of nursing. 28(21), pp. 1396</w:t>
      </w:r>
    </w:p>
    <w:p w14:paraId="2875DB18" w14:textId="0EC6520F" w:rsidR="00591FDF" w:rsidRDefault="00591FDF" w:rsidP="005C3143">
      <w:pPr>
        <w:rPr>
          <w:sz w:val="36"/>
          <w:szCs w:val="36"/>
        </w:rPr>
      </w:pPr>
      <w:r>
        <w:rPr>
          <w:sz w:val="36"/>
          <w:szCs w:val="36"/>
        </w:rPr>
        <w:t>5.McCormack, B.&amp; McCance, T. (2017). Person-centred practice in nursing and health care: theory and practice. 2</w:t>
      </w:r>
      <w:r w:rsidRPr="00591FDF">
        <w:rPr>
          <w:sz w:val="36"/>
          <w:szCs w:val="36"/>
          <w:vertAlign w:val="superscript"/>
        </w:rPr>
        <w:t>nd</w:t>
      </w:r>
      <w:r>
        <w:rPr>
          <w:sz w:val="36"/>
          <w:szCs w:val="36"/>
        </w:rPr>
        <w:t xml:space="preserve"> ed. Wiley-Blackwell.</w:t>
      </w:r>
    </w:p>
    <w:p w14:paraId="35A75699" w14:textId="1FB29FF9" w:rsidR="00591FDF" w:rsidRDefault="00591FDF" w:rsidP="005C3143">
      <w:pPr>
        <w:rPr>
          <w:sz w:val="36"/>
          <w:szCs w:val="36"/>
        </w:rPr>
      </w:pPr>
      <w:r>
        <w:rPr>
          <w:sz w:val="36"/>
          <w:szCs w:val="36"/>
        </w:rPr>
        <w:t>6.Noddings, N. (1984). Caring: A feminine Approach to ethics and moral education. University of California press:</w:t>
      </w:r>
    </w:p>
    <w:p w14:paraId="4C10B4C3" w14:textId="076D1DBF" w:rsidR="00591FDF" w:rsidRDefault="00591FDF" w:rsidP="005C3143">
      <w:pPr>
        <w:rPr>
          <w:sz w:val="36"/>
          <w:szCs w:val="36"/>
        </w:rPr>
      </w:pPr>
      <w:r>
        <w:rPr>
          <w:sz w:val="36"/>
          <w:szCs w:val="36"/>
        </w:rPr>
        <w:t xml:space="preserve">7. </w:t>
      </w:r>
      <w:proofErr w:type="spellStart"/>
      <w:r>
        <w:rPr>
          <w:sz w:val="36"/>
          <w:szCs w:val="36"/>
        </w:rPr>
        <w:t>Sevenhuijisen</w:t>
      </w:r>
      <w:proofErr w:type="spellEnd"/>
      <w:r>
        <w:rPr>
          <w:sz w:val="36"/>
          <w:szCs w:val="36"/>
        </w:rPr>
        <w:t>, S. (1998)</w:t>
      </w:r>
      <w:r w:rsidR="00872F1F">
        <w:rPr>
          <w:sz w:val="36"/>
          <w:szCs w:val="36"/>
        </w:rPr>
        <w:t xml:space="preserve">. Citizenship and the ethics of care: feminist consideration on justice, </w:t>
      </w:r>
      <w:r w:rsidR="00D6094C">
        <w:rPr>
          <w:sz w:val="36"/>
          <w:szCs w:val="36"/>
        </w:rPr>
        <w:t>morality,</w:t>
      </w:r>
      <w:r w:rsidR="00872F1F">
        <w:rPr>
          <w:sz w:val="36"/>
          <w:szCs w:val="36"/>
        </w:rPr>
        <w:t xml:space="preserve"> and politics. Routledge.</w:t>
      </w:r>
    </w:p>
    <w:p w14:paraId="078A04F4" w14:textId="07C71744" w:rsidR="00872F1F" w:rsidRDefault="00872F1F" w:rsidP="005C3143">
      <w:pPr>
        <w:rPr>
          <w:sz w:val="36"/>
          <w:szCs w:val="36"/>
        </w:rPr>
      </w:pPr>
      <w:r>
        <w:rPr>
          <w:sz w:val="36"/>
          <w:szCs w:val="36"/>
        </w:rPr>
        <w:t>8. Tronto, J. C. (1993). Moral Boundaries: A political Argument for an ethics of care. Routledge.</w:t>
      </w:r>
    </w:p>
    <w:p w14:paraId="0189397A" w14:textId="44E03298" w:rsidR="00872F1F" w:rsidRDefault="00872F1F" w:rsidP="005C3143">
      <w:pPr>
        <w:rPr>
          <w:sz w:val="36"/>
          <w:szCs w:val="36"/>
        </w:rPr>
      </w:pPr>
      <w:r>
        <w:rPr>
          <w:sz w:val="36"/>
          <w:szCs w:val="36"/>
        </w:rPr>
        <w:t xml:space="preserve">9. </w:t>
      </w:r>
      <w:r w:rsidR="00D6094C">
        <w:rPr>
          <w:sz w:val="36"/>
          <w:szCs w:val="36"/>
        </w:rPr>
        <w:t xml:space="preserve"> Tronto, J. C. (2013). Caring democracy: Markets, Equality, and justice. New York university press.</w:t>
      </w:r>
    </w:p>
    <w:p w14:paraId="2A8FAF69" w14:textId="77777777" w:rsidR="005745CA" w:rsidRDefault="00D6094C" w:rsidP="005C3143">
      <w:pPr>
        <w:rPr>
          <w:sz w:val="36"/>
          <w:szCs w:val="36"/>
        </w:rPr>
      </w:pPr>
      <w:r>
        <w:rPr>
          <w:sz w:val="36"/>
          <w:szCs w:val="36"/>
        </w:rPr>
        <w:t xml:space="preserve">10. UK parliament. (2022). Health and social care committee report on workforce: recruitment, </w:t>
      </w:r>
      <w:r w:rsidR="009A498B">
        <w:rPr>
          <w:sz w:val="36"/>
          <w:szCs w:val="36"/>
        </w:rPr>
        <w:t>training,</w:t>
      </w:r>
      <w:r>
        <w:rPr>
          <w:sz w:val="36"/>
          <w:szCs w:val="36"/>
        </w:rPr>
        <w:t xml:space="preserve"> and retention in</w:t>
      </w:r>
    </w:p>
    <w:p w14:paraId="7F50ABDA" w14:textId="3CAF424F" w:rsidR="009A498B" w:rsidRDefault="009A498B" w:rsidP="005C3143">
      <w:pPr>
        <w:rPr>
          <w:sz w:val="36"/>
          <w:szCs w:val="36"/>
        </w:rPr>
      </w:pPr>
      <w:r>
        <w:rPr>
          <w:sz w:val="36"/>
          <w:szCs w:val="36"/>
        </w:rPr>
        <w:lastRenderedPageBreak/>
        <w:t xml:space="preserve">health and social care. (Provides content on systemic work force pressures). </w:t>
      </w:r>
    </w:p>
    <w:p w14:paraId="668AAD22" w14:textId="3FB62AF3" w:rsidR="009A498B" w:rsidRDefault="009A498B" w:rsidP="005C3143">
      <w:pPr>
        <w:rPr>
          <w:sz w:val="36"/>
          <w:szCs w:val="36"/>
        </w:rPr>
      </w:pPr>
      <w:r>
        <w:rPr>
          <w:sz w:val="36"/>
          <w:szCs w:val="36"/>
        </w:rPr>
        <w:t>11. Watson, J. (2021). Nursing: the philosophy and science of caring. Revised ed. University press of Colorado.</w:t>
      </w:r>
    </w:p>
    <w:p w14:paraId="23B66E7B" w14:textId="0BFA8FC7" w:rsidR="009A498B" w:rsidRDefault="009A498B" w:rsidP="005C3143">
      <w:pPr>
        <w:rPr>
          <w:sz w:val="36"/>
          <w:szCs w:val="36"/>
        </w:rPr>
      </w:pPr>
      <w:r>
        <w:rPr>
          <w:sz w:val="36"/>
          <w:szCs w:val="36"/>
        </w:rPr>
        <w:t xml:space="preserve">12. Williams, F. (2021). Social policy: A critical and intersectional Analysis. Polity press. </w:t>
      </w:r>
    </w:p>
    <w:p w14:paraId="6ECA5AED" w14:textId="7A7BB3E6" w:rsidR="009A498B" w:rsidRDefault="009A498B" w:rsidP="005C3143">
      <w:pPr>
        <w:rPr>
          <w:sz w:val="36"/>
          <w:szCs w:val="36"/>
        </w:rPr>
      </w:pPr>
      <w:r>
        <w:rPr>
          <w:sz w:val="36"/>
          <w:szCs w:val="36"/>
        </w:rPr>
        <w:t>13. Barnes, M.  (2012). Care in everyday life an ethics of care in practice. Policy press.</w:t>
      </w:r>
    </w:p>
    <w:p w14:paraId="4FA9EE72" w14:textId="2B2844B7" w:rsidR="005C3143" w:rsidRPr="005C3143" w:rsidRDefault="005C3143" w:rsidP="005C3143">
      <w:pPr>
        <w:pStyle w:val="ListParagraph"/>
        <w:ind w:left="1080"/>
        <w:rPr>
          <w:sz w:val="36"/>
          <w:szCs w:val="36"/>
        </w:rPr>
      </w:pPr>
    </w:p>
    <w:p w14:paraId="5B6EC68E" w14:textId="77777777" w:rsidR="004E072F" w:rsidRPr="004E072F" w:rsidRDefault="004E072F" w:rsidP="004E072F">
      <w:pPr>
        <w:rPr>
          <w:sz w:val="36"/>
          <w:szCs w:val="36"/>
        </w:rPr>
      </w:pPr>
    </w:p>
    <w:p w14:paraId="469E1D47" w14:textId="77777777" w:rsidR="00DF2D4E" w:rsidRPr="00DF2D4E" w:rsidRDefault="00DF2D4E" w:rsidP="00C03A91">
      <w:pPr>
        <w:tabs>
          <w:tab w:val="left" w:pos="6540"/>
        </w:tabs>
        <w:spacing w:line="360" w:lineRule="auto"/>
        <w:rPr>
          <w:rFonts w:ascii="Arial" w:hAnsi="Arial" w:cs="Arial"/>
          <w:b/>
          <w:bCs/>
          <w:sz w:val="36"/>
          <w:szCs w:val="36"/>
        </w:rPr>
      </w:pPr>
    </w:p>
    <w:p w14:paraId="36E012A0" w14:textId="4D376276" w:rsidR="000C4EDA" w:rsidRPr="00DF2D4E" w:rsidRDefault="000C4EDA" w:rsidP="00C03A91">
      <w:pPr>
        <w:tabs>
          <w:tab w:val="left" w:pos="6540"/>
        </w:tabs>
        <w:spacing w:line="360" w:lineRule="auto"/>
        <w:rPr>
          <w:rFonts w:ascii="Arial" w:hAnsi="Arial" w:cs="Arial"/>
          <w:sz w:val="36"/>
          <w:szCs w:val="36"/>
        </w:rPr>
      </w:pPr>
    </w:p>
    <w:p w14:paraId="60C916A4" w14:textId="1D768040" w:rsidR="000C4EDA" w:rsidRPr="00DF2D4E" w:rsidRDefault="000C4EDA" w:rsidP="00C03A91">
      <w:pPr>
        <w:spacing w:line="360" w:lineRule="auto"/>
        <w:rPr>
          <w:rFonts w:ascii="Arial" w:hAnsi="Arial" w:cs="Arial"/>
          <w:sz w:val="36"/>
          <w:szCs w:val="36"/>
        </w:rPr>
      </w:pPr>
      <w:r w:rsidRPr="00DF2D4E">
        <w:rPr>
          <w:rFonts w:ascii="Arial" w:hAnsi="Arial" w:cs="Arial"/>
          <w:sz w:val="36"/>
          <w:szCs w:val="36"/>
        </w:rPr>
        <w:br w:type="page"/>
      </w:r>
    </w:p>
    <w:p w14:paraId="1C1B5B6E" w14:textId="77777777" w:rsidR="001B7A40" w:rsidRPr="00C03A91" w:rsidRDefault="001B7A40" w:rsidP="00C03A91">
      <w:pPr>
        <w:spacing w:line="360" w:lineRule="auto"/>
        <w:rPr>
          <w:rFonts w:ascii="Arial" w:hAnsi="Arial" w:cs="Arial"/>
        </w:rPr>
      </w:pPr>
    </w:p>
    <w:sectPr w:rsidR="001B7A40" w:rsidRPr="00C03A91" w:rsidSect="00370282">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2DA205" w14:textId="77777777" w:rsidR="00E157E7" w:rsidRDefault="00E157E7" w:rsidP="00C03A91">
      <w:pPr>
        <w:spacing w:after="0" w:line="240" w:lineRule="auto"/>
      </w:pPr>
      <w:r>
        <w:separator/>
      </w:r>
    </w:p>
  </w:endnote>
  <w:endnote w:type="continuationSeparator" w:id="0">
    <w:p w14:paraId="0BEAF75E" w14:textId="77777777" w:rsidR="00E157E7" w:rsidRDefault="00E157E7"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3" w:usb1="1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CB1AC5" w14:textId="77777777" w:rsidR="003667E9" w:rsidRDefault="003667E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4D7698" w14:textId="77777777" w:rsidR="003667E9" w:rsidRDefault="003667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071AA4" w14:textId="77777777" w:rsidR="00E157E7" w:rsidRDefault="00E157E7" w:rsidP="00C03A91">
      <w:pPr>
        <w:spacing w:after="0" w:line="240" w:lineRule="auto"/>
      </w:pPr>
      <w:r>
        <w:separator/>
      </w:r>
    </w:p>
  </w:footnote>
  <w:footnote w:type="continuationSeparator" w:id="0">
    <w:p w14:paraId="054D8FBA" w14:textId="77777777" w:rsidR="00E157E7" w:rsidRDefault="00E157E7" w:rsidP="00C03A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6E7FA7" w14:textId="77777777" w:rsidR="00DF2D4E" w:rsidRDefault="00DF2D4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C7027A" w14:textId="29F89DFD" w:rsidR="00DF2D4E" w:rsidRDefault="00DF2D4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078C54" w14:textId="77777777" w:rsidR="00DF2D4E" w:rsidRDefault="00DF2D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D6714"/>
    <w:multiLevelType w:val="hybridMultilevel"/>
    <w:tmpl w:val="08285C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D058C1"/>
    <w:multiLevelType w:val="hybridMultilevel"/>
    <w:tmpl w:val="5B5A09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E32C13"/>
    <w:multiLevelType w:val="hybridMultilevel"/>
    <w:tmpl w:val="53963C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550928"/>
    <w:multiLevelType w:val="hybridMultilevel"/>
    <w:tmpl w:val="9D0666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A020AD"/>
    <w:multiLevelType w:val="hybridMultilevel"/>
    <w:tmpl w:val="3EF6CE4A"/>
    <w:lvl w:ilvl="0" w:tplc="20A4B84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A42B5B"/>
    <w:multiLevelType w:val="hybridMultilevel"/>
    <w:tmpl w:val="98E28978"/>
    <w:lvl w:ilvl="0" w:tplc="97BCA0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52944685">
    <w:abstractNumId w:val="7"/>
  </w:num>
  <w:num w:numId="2" w16cid:durableId="1940680655">
    <w:abstractNumId w:val="5"/>
  </w:num>
  <w:num w:numId="3" w16cid:durableId="449399608">
    <w:abstractNumId w:val="8"/>
  </w:num>
  <w:num w:numId="4" w16cid:durableId="222177604">
    <w:abstractNumId w:val="3"/>
  </w:num>
  <w:num w:numId="5" w16cid:durableId="2126651055">
    <w:abstractNumId w:val="6"/>
  </w:num>
  <w:num w:numId="6" w16cid:durableId="1104034612">
    <w:abstractNumId w:val="0"/>
  </w:num>
  <w:num w:numId="7" w16cid:durableId="662002664">
    <w:abstractNumId w:val="1"/>
  </w:num>
  <w:num w:numId="8" w16cid:durableId="1732001495">
    <w:abstractNumId w:val="4"/>
  </w:num>
  <w:num w:numId="9" w16cid:durableId="13387715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256D8"/>
    <w:rsid w:val="000714C6"/>
    <w:rsid w:val="00076AC0"/>
    <w:rsid w:val="000A34C0"/>
    <w:rsid w:val="000C4EDA"/>
    <w:rsid w:val="00123662"/>
    <w:rsid w:val="00151BCD"/>
    <w:rsid w:val="001B7A40"/>
    <w:rsid w:val="001F6DDB"/>
    <w:rsid w:val="0020590D"/>
    <w:rsid w:val="00216C85"/>
    <w:rsid w:val="00236433"/>
    <w:rsid w:val="00273EDD"/>
    <w:rsid w:val="002C3965"/>
    <w:rsid w:val="002D5EDB"/>
    <w:rsid w:val="003069DA"/>
    <w:rsid w:val="00321C4C"/>
    <w:rsid w:val="0034570E"/>
    <w:rsid w:val="003667E9"/>
    <w:rsid w:val="00370282"/>
    <w:rsid w:val="003D034B"/>
    <w:rsid w:val="00415452"/>
    <w:rsid w:val="004577F7"/>
    <w:rsid w:val="004E072F"/>
    <w:rsid w:val="005247B0"/>
    <w:rsid w:val="005745CA"/>
    <w:rsid w:val="00591FDF"/>
    <w:rsid w:val="005C3143"/>
    <w:rsid w:val="00625298"/>
    <w:rsid w:val="00656AC0"/>
    <w:rsid w:val="006A2148"/>
    <w:rsid w:val="006B6B02"/>
    <w:rsid w:val="007A7297"/>
    <w:rsid w:val="007E7745"/>
    <w:rsid w:val="008353D4"/>
    <w:rsid w:val="008406AF"/>
    <w:rsid w:val="00872F1F"/>
    <w:rsid w:val="008F6831"/>
    <w:rsid w:val="009213A5"/>
    <w:rsid w:val="0095356A"/>
    <w:rsid w:val="00983D4F"/>
    <w:rsid w:val="009A498B"/>
    <w:rsid w:val="009D1D1E"/>
    <w:rsid w:val="00A035FD"/>
    <w:rsid w:val="00AA4DD8"/>
    <w:rsid w:val="00B1533A"/>
    <w:rsid w:val="00B479E8"/>
    <w:rsid w:val="00B52F9D"/>
    <w:rsid w:val="00BE298C"/>
    <w:rsid w:val="00C03A91"/>
    <w:rsid w:val="00C11852"/>
    <w:rsid w:val="00CA5AFA"/>
    <w:rsid w:val="00CD2863"/>
    <w:rsid w:val="00CE7A90"/>
    <w:rsid w:val="00D43A5D"/>
    <w:rsid w:val="00D6094C"/>
    <w:rsid w:val="00D73FB0"/>
    <w:rsid w:val="00DB6D4B"/>
    <w:rsid w:val="00DC1AF8"/>
    <w:rsid w:val="00DC5BB9"/>
    <w:rsid w:val="00DF2D4E"/>
    <w:rsid w:val="00E157E7"/>
    <w:rsid w:val="00E51B6A"/>
    <w:rsid w:val="00E7008A"/>
    <w:rsid w:val="00E757D8"/>
    <w:rsid w:val="00EB12BC"/>
    <w:rsid w:val="00F137E3"/>
    <w:rsid w:val="00F4408C"/>
    <w:rsid w:val="00FD73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45CA"/>
    <w:rPr>
      <w:i/>
      <w:iCs/>
      <w:sz w:val="20"/>
      <w:szCs w:val="20"/>
    </w:rPr>
  </w:style>
  <w:style w:type="paragraph" w:styleId="Heading1">
    <w:name w:val="heading 1"/>
    <w:basedOn w:val="Normal"/>
    <w:next w:val="Normal"/>
    <w:link w:val="Heading1Char"/>
    <w:uiPriority w:val="9"/>
    <w:qFormat/>
    <w:rsid w:val="005745CA"/>
    <w:pPr>
      <w:pBdr>
        <w:top w:val="single" w:sz="8" w:space="0" w:color="ED7D31" w:themeColor="accent2"/>
        <w:left w:val="single" w:sz="8" w:space="0" w:color="ED7D31" w:themeColor="accent2"/>
        <w:bottom w:val="single" w:sz="8" w:space="0" w:color="ED7D31" w:themeColor="accent2"/>
        <w:right w:val="single" w:sz="8" w:space="0" w:color="ED7D31" w:themeColor="accent2"/>
      </w:pBdr>
      <w:shd w:val="clear" w:color="auto" w:fill="FBE4D5" w:themeFill="accent2" w:themeFillTint="33"/>
      <w:spacing w:before="480" w:after="100" w:line="269" w:lineRule="auto"/>
      <w:contextualSpacing/>
      <w:outlineLvl w:val="0"/>
    </w:pPr>
    <w:rPr>
      <w:rFonts w:asciiTheme="majorHAnsi" w:eastAsiaTheme="majorEastAsia" w:hAnsiTheme="majorHAnsi" w:cstheme="majorBidi"/>
      <w:b/>
      <w:bCs/>
      <w:color w:val="823B0B" w:themeColor="accent2" w:themeShade="7F"/>
      <w:sz w:val="22"/>
      <w:szCs w:val="22"/>
    </w:rPr>
  </w:style>
  <w:style w:type="paragraph" w:styleId="Heading2">
    <w:name w:val="heading 2"/>
    <w:basedOn w:val="Normal"/>
    <w:next w:val="Normal"/>
    <w:link w:val="Heading2Char"/>
    <w:uiPriority w:val="9"/>
    <w:unhideWhenUsed/>
    <w:qFormat/>
    <w:rsid w:val="005745CA"/>
    <w:pPr>
      <w:pBdr>
        <w:top w:val="single" w:sz="4" w:space="0" w:color="ED7D31" w:themeColor="accent2"/>
        <w:left w:val="single" w:sz="48" w:space="2" w:color="ED7D31" w:themeColor="accent2"/>
        <w:bottom w:val="single" w:sz="4" w:space="0" w:color="ED7D31" w:themeColor="accent2"/>
        <w:right w:val="single" w:sz="4" w:space="4" w:color="ED7D31" w:themeColor="accent2"/>
      </w:pBdr>
      <w:spacing w:before="200" w:after="100" w:line="269" w:lineRule="auto"/>
      <w:ind w:left="144"/>
      <w:contextualSpacing/>
      <w:outlineLvl w:val="1"/>
    </w:pPr>
    <w:rPr>
      <w:rFonts w:asciiTheme="majorHAnsi" w:eastAsiaTheme="majorEastAsia" w:hAnsiTheme="majorHAnsi" w:cstheme="majorBidi"/>
      <w:b/>
      <w:bCs/>
      <w:color w:val="C45911" w:themeColor="accent2" w:themeShade="BF"/>
      <w:sz w:val="22"/>
      <w:szCs w:val="22"/>
    </w:rPr>
  </w:style>
  <w:style w:type="paragraph" w:styleId="Heading3">
    <w:name w:val="heading 3"/>
    <w:basedOn w:val="Normal"/>
    <w:next w:val="Normal"/>
    <w:link w:val="Heading3Char"/>
    <w:uiPriority w:val="9"/>
    <w:unhideWhenUsed/>
    <w:qFormat/>
    <w:rsid w:val="005745CA"/>
    <w:pPr>
      <w:pBdr>
        <w:left w:val="single" w:sz="48" w:space="2" w:color="ED7D31" w:themeColor="accent2"/>
        <w:bottom w:val="single" w:sz="4" w:space="0" w:color="ED7D31" w:themeColor="accent2"/>
      </w:pBdr>
      <w:spacing w:before="200" w:after="100" w:line="240" w:lineRule="auto"/>
      <w:ind w:left="144"/>
      <w:contextualSpacing/>
      <w:outlineLvl w:val="2"/>
    </w:pPr>
    <w:rPr>
      <w:rFonts w:asciiTheme="majorHAnsi" w:eastAsiaTheme="majorEastAsia" w:hAnsiTheme="majorHAnsi" w:cstheme="majorBidi"/>
      <w:b/>
      <w:bCs/>
      <w:color w:val="C45911" w:themeColor="accent2" w:themeShade="BF"/>
      <w:sz w:val="22"/>
      <w:szCs w:val="22"/>
    </w:rPr>
  </w:style>
  <w:style w:type="paragraph" w:styleId="Heading4">
    <w:name w:val="heading 4"/>
    <w:basedOn w:val="Normal"/>
    <w:next w:val="Normal"/>
    <w:link w:val="Heading4Char"/>
    <w:uiPriority w:val="9"/>
    <w:semiHidden/>
    <w:unhideWhenUsed/>
    <w:qFormat/>
    <w:rsid w:val="005745CA"/>
    <w:pPr>
      <w:pBdr>
        <w:left w:val="single" w:sz="4" w:space="2" w:color="ED7D31" w:themeColor="accent2"/>
        <w:bottom w:val="single" w:sz="4" w:space="2" w:color="ED7D31" w:themeColor="accent2"/>
      </w:pBdr>
      <w:spacing w:before="200" w:after="100" w:line="240" w:lineRule="auto"/>
      <w:ind w:left="86"/>
      <w:contextualSpacing/>
      <w:outlineLvl w:val="3"/>
    </w:pPr>
    <w:rPr>
      <w:rFonts w:asciiTheme="majorHAnsi" w:eastAsiaTheme="majorEastAsia" w:hAnsiTheme="majorHAnsi" w:cstheme="majorBidi"/>
      <w:b/>
      <w:bCs/>
      <w:color w:val="C45911" w:themeColor="accent2" w:themeShade="BF"/>
      <w:sz w:val="22"/>
      <w:szCs w:val="22"/>
    </w:rPr>
  </w:style>
  <w:style w:type="paragraph" w:styleId="Heading5">
    <w:name w:val="heading 5"/>
    <w:basedOn w:val="Normal"/>
    <w:next w:val="Normal"/>
    <w:link w:val="Heading5Char"/>
    <w:uiPriority w:val="9"/>
    <w:semiHidden/>
    <w:unhideWhenUsed/>
    <w:qFormat/>
    <w:rsid w:val="005745CA"/>
    <w:pPr>
      <w:pBdr>
        <w:left w:val="dotted" w:sz="4" w:space="2" w:color="ED7D31" w:themeColor="accent2"/>
        <w:bottom w:val="dotted" w:sz="4" w:space="2" w:color="ED7D31" w:themeColor="accent2"/>
      </w:pBdr>
      <w:spacing w:before="200" w:after="100" w:line="240" w:lineRule="auto"/>
      <w:ind w:left="86"/>
      <w:contextualSpacing/>
      <w:outlineLvl w:val="4"/>
    </w:pPr>
    <w:rPr>
      <w:rFonts w:asciiTheme="majorHAnsi" w:eastAsiaTheme="majorEastAsia" w:hAnsiTheme="majorHAnsi" w:cstheme="majorBidi"/>
      <w:b/>
      <w:bCs/>
      <w:color w:val="C45911" w:themeColor="accent2" w:themeShade="BF"/>
      <w:sz w:val="22"/>
      <w:szCs w:val="22"/>
    </w:rPr>
  </w:style>
  <w:style w:type="paragraph" w:styleId="Heading6">
    <w:name w:val="heading 6"/>
    <w:basedOn w:val="Normal"/>
    <w:next w:val="Normal"/>
    <w:link w:val="Heading6Char"/>
    <w:uiPriority w:val="9"/>
    <w:semiHidden/>
    <w:unhideWhenUsed/>
    <w:qFormat/>
    <w:rsid w:val="005745CA"/>
    <w:pPr>
      <w:pBdr>
        <w:bottom w:val="single" w:sz="4" w:space="2" w:color="F7CAAC" w:themeColor="accent2" w:themeTint="66"/>
      </w:pBdr>
      <w:spacing w:before="200" w:after="100" w:line="240" w:lineRule="auto"/>
      <w:contextualSpacing/>
      <w:outlineLvl w:val="5"/>
    </w:pPr>
    <w:rPr>
      <w:rFonts w:asciiTheme="majorHAnsi" w:eastAsiaTheme="majorEastAsia" w:hAnsiTheme="majorHAnsi" w:cstheme="majorBidi"/>
      <w:color w:val="C45911" w:themeColor="accent2" w:themeShade="BF"/>
      <w:sz w:val="22"/>
      <w:szCs w:val="22"/>
    </w:rPr>
  </w:style>
  <w:style w:type="paragraph" w:styleId="Heading7">
    <w:name w:val="heading 7"/>
    <w:basedOn w:val="Normal"/>
    <w:next w:val="Normal"/>
    <w:link w:val="Heading7Char"/>
    <w:uiPriority w:val="9"/>
    <w:semiHidden/>
    <w:unhideWhenUsed/>
    <w:qFormat/>
    <w:rsid w:val="005745CA"/>
    <w:pPr>
      <w:pBdr>
        <w:bottom w:val="dotted" w:sz="4" w:space="2" w:color="F4B083" w:themeColor="accent2" w:themeTint="99"/>
      </w:pBdr>
      <w:spacing w:before="200" w:after="100" w:line="240" w:lineRule="auto"/>
      <w:contextualSpacing/>
      <w:outlineLvl w:val="6"/>
    </w:pPr>
    <w:rPr>
      <w:rFonts w:asciiTheme="majorHAnsi" w:eastAsiaTheme="majorEastAsia" w:hAnsiTheme="majorHAnsi" w:cstheme="majorBidi"/>
      <w:color w:val="C45911" w:themeColor="accent2" w:themeShade="BF"/>
      <w:sz w:val="22"/>
      <w:szCs w:val="22"/>
    </w:rPr>
  </w:style>
  <w:style w:type="paragraph" w:styleId="Heading8">
    <w:name w:val="heading 8"/>
    <w:basedOn w:val="Normal"/>
    <w:next w:val="Normal"/>
    <w:link w:val="Heading8Char"/>
    <w:uiPriority w:val="9"/>
    <w:semiHidden/>
    <w:unhideWhenUsed/>
    <w:qFormat/>
    <w:rsid w:val="005745CA"/>
    <w:pPr>
      <w:spacing w:before="200" w:after="100" w:line="240" w:lineRule="auto"/>
      <w:contextualSpacing/>
      <w:outlineLvl w:val="7"/>
    </w:pPr>
    <w:rPr>
      <w:rFonts w:asciiTheme="majorHAnsi" w:eastAsiaTheme="majorEastAsia" w:hAnsiTheme="majorHAnsi" w:cstheme="majorBidi"/>
      <w:color w:val="ED7D31" w:themeColor="accent2"/>
      <w:sz w:val="22"/>
      <w:szCs w:val="22"/>
    </w:rPr>
  </w:style>
  <w:style w:type="paragraph" w:styleId="Heading9">
    <w:name w:val="heading 9"/>
    <w:basedOn w:val="Normal"/>
    <w:next w:val="Normal"/>
    <w:link w:val="Heading9Char"/>
    <w:uiPriority w:val="9"/>
    <w:semiHidden/>
    <w:unhideWhenUsed/>
    <w:qFormat/>
    <w:rsid w:val="005745CA"/>
    <w:pPr>
      <w:spacing w:before="200" w:after="100" w:line="240" w:lineRule="auto"/>
      <w:contextualSpacing/>
      <w:outlineLvl w:val="8"/>
    </w:pPr>
    <w:rPr>
      <w:rFonts w:asciiTheme="majorHAnsi" w:eastAsiaTheme="majorEastAsia" w:hAnsiTheme="majorHAnsi" w:cstheme="majorBidi"/>
      <w:color w:val="ED7D31"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45CA"/>
    <w:rPr>
      <w:rFonts w:asciiTheme="majorHAnsi" w:eastAsiaTheme="majorEastAsia" w:hAnsiTheme="majorHAnsi" w:cstheme="majorBidi"/>
      <w:b/>
      <w:bCs/>
      <w:i/>
      <w:iCs/>
      <w:color w:val="823B0B" w:themeColor="accent2" w:themeShade="7F"/>
      <w:shd w:val="clear" w:color="auto" w:fill="FBE4D5" w:themeFill="accent2" w:themeFillTint="33"/>
    </w:rPr>
  </w:style>
  <w:style w:type="character" w:customStyle="1" w:styleId="Heading2Char">
    <w:name w:val="Heading 2 Char"/>
    <w:basedOn w:val="DefaultParagraphFont"/>
    <w:link w:val="Heading2"/>
    <w:uiPriority w:val="9"/>
    <w:rsid w:val="005745CA"/>
    <w:rPr>
      <w:rFonts w:asciiTheme="majorHAnsi" w:eastAsiaTheme="majorEastAsia" w:hAnsiTheme="majorHAnsi" w:cstheme="majorBidi"/>
      <w:b/>
      <w:bCs/>
      <w:i/>
      <w:iCs/>
      <w:color w:val="C45911" w:themeColor="accent2" w:themeShade="BF"/>
    </w:rPr>
  </w:style>
  <w:style w:type="character" w:customStyle="1" w:styleId="Heading3Char">
    <w:name w:val="Heading 3 Char"/>
    <w:basedOn w:val="DefaultParagraphFont"/>
    <w:link w:val="Heading3"/>
    <w:uiPriority w:val="9"/>
    <w:rsid w:val="005745CA"/>
    <w:rPr>
      <w:rFonts w:asciiTheme="majorHAnsi" w:eastAsiaTheme="majorEastAsia" w:hAnsiTheme="majorHAnsi" w:cstheme="majorBidi"/>
      <w:b/>
      <w:bCs/>
      <w:i/>
      <w:iCs/>
      <w:color w:val="C45911" w:themeColor="accent2" w:themeShade="BF"/>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5745CA"/>
    <w:pPr>
      <w:ind w:left="720"/>
      <w:contextualSpacing/>
    </w:pPr>
  </w:style>
  <w:style w:type="character" w:customStyle="1" w:styleId="Heading4Char">
    <w:name w:val="Heading 4 Char"/>
    <w:basedOn w:val="DefaultParagraphFont"/>
    <w:link w:val="Heading4"/>
    <w:uiPriority w:val="9"/>
    <w:semiHidden/>
    <w:rsid w:val="005745CA"/>
    <w:rPr>
      <w:rFonts w:asciiTheme="majorHAnsi" w:eastAsiaTheme="majorEastAsia" w:hAnsiTheme="majorHAnsi" w:cstheme="majorBidi"/>
      <w:b/>
      <w:bCs/>
      <w:i/>
      <w:iCs/>
      <w:color w:val="C45911" w:themeColor="accent2" w:themeShade="BF"/>
    </w:rPr>
  </w:style>
  <w:style w:type="character" w:customStyle="1" w:styleId="Heading5Char">
    <w:name w:val="Heading 5 Char"/>
    <w:basedOn w:val="DefaultParagraphFont"/>
    <w:link w:val="Heading5"/>
    <w:uiPriority w:val="9"/>
    <w:semiHidden/>
    <w:rsid w:val="005745CA"/>
    <w:rPr>
      <w:rFonts w:asciiTheme="majorHAnsi" w:eastAsiaTheme="majorEastAsia" w:hAnsiTheme="majorHAnsi" w:cstheme="majorBidi"/>
      <w:b/>
      <w:bCs/>
      <w:i/>
      <w:iCs/>
      <w:color w:val="C45911" w:themeColor="accent2" w:themeShade="BF"/>
    </w:rPr>
  </w:style>
  <w:style w:type="character" w:customStyle="1" w:styleId="Heading6Char">
    <w:name w:val="Heading 6 Char"/>
    <w:basedOn w:val="DefaultParagraphFont"/>
    <w:link w:val="Heading6"/>
    <w:uiPriority w:val="9"/>
    <w:semiHidden/>
    <w:rsid w:val="005745CA"/>
    <w:rPr>
      <w:rFonts w:asciiTheme="majorHAnsi" w:eastAsiaTheme="majorEastAsia" w:hAnsiTheme="majorHAnsi" w:cstheme="majorBidi"/>
      <w:i/>
      <w:iCs/>
      <w:color w:val="C45911" w:themeColor="accent2" w:themeShade="BF"/>
    </w:rPr>
  </w:style>
  <w:style w:type="character" w:customStyle="1" w:styleId="Heading7Char">
    <w:name w:val="Heading 7 Char"/>
    <w:basedOn w:val="DefaultParagraphFont"/>
    <w:link w:val="Heading7"/>
    <w:uiPriority w:val="9"/>
    <w:semiHidden/>
    <w:rsid w:val="005745CA"/>
    <w:rPr>
      <w:rFonts w:asciiTheme="majorHAnsi" w:eastAsiaTheme="majorEastAsia" w:hAnsiTheme="majorHAnsi" w:cstheme="majorBidi"/>
      <w:i/>
      <w:iCs/>
      <w:color w:val="C45911" w:themeColor="accent2" w:themeShade="BF"/>
    </w:rPr>
  </w:style>
  <w:style w:type="character" w:customStyle="1" w:styleId="Heading8Char">
    <w:name w:val="Heading 8 Char"/>
    <w:basedOn w:val="DefaultParagraphFont"/>
    <w:link w:val="Heading8"/>
    <w:uiPriority w:val="9"/>
    <w:semiHidden/>
    <w:rsid w:val="005745CA"/>
    <w:rPr>
      <w:rFonts w:asciiTheme="majorHAnsi" w:eastAsiaTheme="majorEastAsia" w:hAnsiTheme="majorHAnsi" w:cstheme="majorBidi"/>
      <w:i/>
      <w:iCs/>
      <w:color w:val="ED7D31" w:themeColor="accent2"/>
    </w:rPr>
  </w:style>
  <w:style w:type="character" w:customStyle="1" w:styleId="Heading9Char">
    <w:name w:val="Heading 9 Char"/>
    <w:basedOn w:val="DefaultParagraphFont"/>
    <w:link w:val="Heading9"/>
    <w:uiPriority w:val="9"/>
    <w:semiHidden/>
    <w:rsid w:val="005745CA"/>
    <w:rPr>
      <w:rFonts w:asciiTheme="majorHAnsi" w:eastAsiaTheme="majorEastAsia" w:hAnsiTheme="majorHAnsi" w:cstheme="majorBidi"/>
      <w:i/>
      <w:iCs/>
      <w:color w:val="ED7D31" w:themeColor="accent2"/>
      <w:sz w:val="20"/>
      <w:szCs w:val="20"/>
    </w:rPr>
  </w:style>
  <w:style w:type="paragraph" w:styleId="Caption">
    <w:name w:val="caption"/>
    <w:basedOn w:val="Normal"/>
    <w:next w:val="Normal"/>
    <w:uiPriority w:val="35"/>
    <w:semiHidden/>
    <w:unhideWhenUsed/>
    <w:qFormat/>
    <w:rsid w:val="005745CA"/>
    <w:rPr>
      <w:b/>
      <w:bCs/>
      <w:color w:val="C45911" w:themeColor="accent2" w:themeShade="BF"/>
      <w:sz w:val="18"/>
      <w:szCs w:val="18"/>
    </w:rPr>
  </w:style>
  <w:style w:type="paragraph" w:styleId="Title">
    <w:name w:val="Title"/>
    <w:basedOn w:val="Normal"/>
    <w:next w:val="Normal"/>
    <w:link w:val="TitleChar"/>
    <w:uiPriority w:val="10"/>
    <w:qFormat/>
    <w:rsid w:val="005745CA"/>
    <w:pPr>
      <w:pBdr>
        <w:top w:val="single" w:sz="48" w:space="0" w:color="ED7D31" w:themeColor="accent2"/>
        <w:bottom w:val="single" w:sz="48" w:space="0" w:color="ED7D31" w:themeColor="accent2"/>
      </w:pBdr>
      <w:shd w:val="clear" w:color="auto" w:fill="ED7D31"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5745CA"/>
    <w:rPr>
      <w:rFonts w:asciiTheme="majorHAnsi" w:eastAsiaTheme="majorEastAsia" w:hAnsiTheme="majorHAnsi" w:cstheme="majorBidi"/>
      <w:i/>
      <w:iCs/>
      <w:color w:val="FFFFFF" w:themeColor="background1"/>
      <w:spacing w:val="10"/>
      <w:sz w:val="48"/>
      <w:szCs w:val="48"/>
      <w:shd w:val="clear" w:color="auto" w:fill="ED7D31" w:themeFill="accent2"/>
    </w:rPr>
  </w:style>
  <w:style w:type="paragraph" w:styleId="Subtitle">
    <w:name w:val="Subtitle"/>
    <w:basedOn w:val="Normal"/>
    <w:next w:val="Normal"/>
    <w:link w:val="SubtitleChar"/>
    <w:uiPriority w:val="11"/>
    <w:qFormat/>
    <w:rsid w:val="005745CA"/>
    <w:pPr>
      <w:pBdr>
        <w:bottom w:val="dotted" w:sz="8" w:space="10" w:color="ED7D31" w:themeColor="accent2"/>
      </w:pBdr>
      <w:spacing w:before="200" w:after="900" w:line="240" w:lineRule="auto"/>
      <w:jc w:val="center"/>
    </w:pPr>
    <w:rPr>
      <w:rFonts w:asciiTheme="majorHAnsi" w:eastAsiaTheme="majorEastAsia" w:hAnsiTheme="majorHAnsi" w:cstheme="majorBidi"/>
      <w:color w:val="823B0B" w:themeColor="accent2" w:themeShade="7F"/>
      <w:sz w:val="24"/>
      <w:szCs w:val="24"/>
    </w:rPr>
  </w:style>
  <w:style w:type="character" w:customStyle="1" w:styleId="SubtitleChar">
    <w:name w:val="Subtitle Char"/>
    <w:basedOn w:val="DefaultParagraphFont"/>
    <w:link w:val="Subtitle"/>
    <w:uiPriority w:val="11"/>
    <w:rsid w:val="005745CA"/>
    <w:rPr>
      <w:rFonts w:asciiTheme="majorHAnsi" w:eastAsiaTheme="majorEastAsia" w:hAnsiTheme="majorHAnsi" w:cstheme="majorBidi"/>
      <w:i/>
      <w:iCs/>
      <w:color w:val="823B0B" w:themeColor="accent2" w:themeShade="7F"/>
      <w:sz w:val="24"/>
      <w:szCs w:val="24"/>
    </w:rPr>
  </w:style>
  <w:style w:type="character" w:styleId="Strong">
    <w:name w:val="Strong"/>
    <w:uiPriority w:val="22"/>
    <w:qFormat/>
    <w:rsid w:val="005745CA"/>
    <w:rPr>
      <w:b/>
      <w:bCs/>
      <w:spacing w:val="0"/>
    </w:rPr>
  </w:style>
  <w:style w:type="character" w:styleId="Emphasis">
    <w:name w:val="Emphasis"/>
    <w:uiPriority w:val="20"/>
    <w:qFormat/>
    <w:rsid w:val="005745CA"/>
    <w:rPr>
      <w:rFonts w:asciiTheme="majorHAnsi" w:eastAsiaTheme="majorEastAsia" w:hAnsiTheme="majorHAnsi" w:cstheme="majorBidi"/>
      <w:b/>
      <w:bCs/>
      <w:i/>
      <w:iCs/>
      <w:color w:val="ED7D31" w:themeColor="accent2"/>
      <w:bdr w:val="single" w:sz="18" w:space="0" w:color="FBE4D5" w:themeColor="accent2" w:themeTint="33"/>
      <w:shd w:val="clear" w:color="auto" w:fill="FBE4D5" w:themeFill="accent2" w:themeFillTint="33"/>
    </w:rPr>
  </w:style>
  <w:style w:type="paragraph" w:styleId="NoSpacing">
    <w:name w:val="No Spacing"/>
    <w:basedOn w:val="Normal"/>
    <w:link w:val="NoSpacingChar"/>
    <w:uiPriority w:val="1"/>
    <w:qFormat/>
    <w:rsid w:val="005745CA"/>
    <w:pPr>
      <w:spacing w:after="0" w:line="240" w:lineRule="auto"/>
    </w:pPr>
  </w:style>
  <w:style w:type="character" w:customStyle="1" w:styleId="NoSpacingChar">
    <w:name w:val="No Spacing Char"/>
    <w:basedOn w:val="DefaultParagraphFont"/>
    <w:link w:val="NoSpacing"/>
    <w:uiPriority w:val="1"/>
    <w:rsid w:val="005745CA"/>
    <w:rPr>
      <w:i/>
      <w:iCs/>
      <w:sz w:val="20"/>
      <w:szCs w:val="20"/>
    </w:rPr>
  </w:style>
  <w:style w:type="paragraph" w:styleId="Quote">
    <w:name w:val="Quote"/>
    <w:basedOn w:val="Normal"/>
    <w:next w:val="Normal"/>
    <w:link w:val="QuoteChar"/>
    <w:uiPriority w:val="29"/>
    <w:qFormat/>
    <w:rsid w:val="005745CA"/>
    <w:rPr>
      <w:i w:val="0"/>
      <w:iCs w:val="0"/>
      <w:color w:val="C45911" w:themeColor="accent2" w:themeShade="BF"/>
    </w:rPr>
  </w:style>
  <w:style w:type="character" w:customStyle="1" w:styleId="QuoteChar">
    <w:name w:val="Quote Char"/>
    <w:basedOn w:val="DefaultParagraphFont"/>
    <w:link w:val="Quote"/>
    <w:uiPriority w:val="29"/>
    <w:rsid w:val="005745CA"/>
    <w:rPr>
      <w:color w:val="C45911" w:themeColor="accent2" w:themeShade="BF"/>
      <w:sz w:val="20"/>
      <w:szCs w:val="20"/>
    </w:rPr>
  </w:style>
  <w:style w:type="paragraph" w:styleId="IntenseQuote">
    <w:name w:val="Intense Quote"/>
    <w:basedOn w:val="Normal"/>
    <w:next w:val="Normal"/>
    <w:link w:val="IntenseQuoteChar"/>
    <w:uiPriority w:val="30"/>
    <w:qFormat/>
    <w:rsid w:val="005745CA"/>
    <w:pPr>
      <w:pBdr>
        <w:top w:val="dotted" w:sz="8" w:space="10" w:color="ED7D31" w:themeColor="accent2"/>
        <w:bottom w:val="dotted" w:sz="8" w:space="10" w:color="ED7D31" w:themeColor="accent2"/>
      </w:pBdr>
      <w:spacing w:line="300" w:lineRule="auto"/>
      <w:ind w:left="2160" w:right="2160"/>
      <w:jc w:val="center"/>
    </w:pPr>
    <w:rPr>
      <w:rFonts w:asciiTheme="majorHAnsi" w:eastAsiaTheme="majorEastAsia" w:hAnsiTheme="majorHAnsi" w:cstheme="majorBidi"/>
      <w:b/>
      <w:bCs/>
      <w:color w:val="ED7D31" w:themeColor="accent2"/>
    </w:rPr>
  </w:style>
  <w:style w:type="character" w:customStyle="1" w:styleId="IntenseQuoteChar">
    <w:name w:val="Intense Quote Char"/>
    <w:basedOn w:val="DefaultParagraphFont"/>
    <w:link w:val="IntenseQuote"/>
    <w:uiPriority w:val="30"/>
    <w:rsid w:val="005745CA"/>
    <w:rPr>
      <w:rFonts w:asciiTheme="majorHAnsi" w:eastAsiaTheme="majorEastAsia" w:hAnsiTheme="majorHAnsi" w:cstheme="majorBidi"/>
      <w:b/>
      <w:bCs/>
      <w:i/>
      <w:iCs/>
      <w:color w:val="ED7D31" w:themeColor="accent2"/>
      <w:sz w:val="20"/>
      <w:szCs w:val="20"/>
    </w:rPr>
  </w:style>
  <w:style w:type="character" w:styleId="SubtleEmphasis">
    <w:name w:val="Subtle Emphasis"/>
    <w:uiPriority w:val="19"/>
    <w:qFormat/>
    <w:rsid w:val="005745CA"/>
    <w:rPr>
      <w:rFonts w:asciiTheme="majorHAnsi" w:eastAsiaTheme="majorEastAsia" w:hAnsiTheme="majorHAnsi" w:cstheme="majorBidi"/>
      <w:i/>
      <w:iCs/>
      <w:color w:val="ED7D31" w:themeColor="accent2"/>
    </w:rPr>
  </w:style>
  <w:style w:type="character" w:styleId="IntenseEmphasis">
    <w:name w:val="Intense Emphasis"/>
    <w:uiPriority w:val="21"/>
    <w:qFormat/>
    <w:rsid w:val="005745CA"/>
    <w:rPr>
      <w:rFonts w:asciiTheme="majorHAnsi" w:eastAsiaTheme="majorEastAsia" w:hAnsiTheme="majorHAnsi" w:cstheme="majorBidi"/>
      <w:b/>
      <w:bCs/>
      <w:i/>
      <w:iCs/>
      <w:dstrike w:val="0"/>
      <w:color w:val="FFFFFF" w:themeColor="background1"/>
      <w:bdr w:val="single" w:sz="18" w:space="0" w:color="ED7D31" w:themeColor="accent2"/>
      <w:shd w:val="clear" w:color="auto" w:fill="ED7D31" w:themeFill="accent2"/>
      <w:vertAlign w:val="baseline"/>
    </w:rPr>
  </w:style>
  <w:style w:type="character" w:styleId="SubtleReference">
    <w:name w:val="Subtle Reference"/>
    <w:uiPriority w:val="31"/>
    <w:qFormat/>
    <w:rsid w:val="005745CA"/>
    <w:rPr>
      <w:i/>
      <w:iCs/>
      <w:smallCaps/>
      <w:color w:val="ED7D31" w:themeColor="accent2"/>
      <w:u w:color="ED7D31" w:themeColor="accent2"/>
    </w:rPr>
  </w:style>
  <w:style w:type="character" w:styleId="IntenseReference">
    <w:name w:val="Intense Reference"/>
    <w:uiPriority w:val="32"/>
    <w:qFormat/>
    <w:rsid w:val="005745CA"/>
    <w:rPr>
      <w:b/>
      <w:bCs/>
      <w:i/>
      <w:iCs/>
      <w:smallCaps/>
      <w:color w:val="ED7D31" w:themeColor="accent2"/>
      <w:u w:color="ED7D31" w:themeColor="accent2"/>
    </w:rPr>
  </w:style>
  <w:style w:type="character" w:styleId="BookTitle">
    <w:name w:val="Book Title"/>
    <w:uiPriority w:val="33"/>
    <w:qFormat/>
    <w:rsid w:val="005745CA"/>
    <w:rPr>
      <w:rFonts w:asciiTheme="majorHAnsi" w:eastAsiaTheme="majorEastAsia" w:hAnsiTheme="majorHAnsi" w:cstheme="majorBidi"/>
      <w:b/>
      <w:bCs/>
      <w:i/>
      <w:iCs/>
      <w:smallCaps/>
      <w:color w:val="C45911" w:themeColor="accent2" w:themeShade="BF"/>
      <w:u w:val="single"/>
    </w:rPr>
  </w:style>
  <w:style w:type="paragraph" w:styleId="TOCHeading">
    <w:name w:val="TOC Heading"/>
    <w:basedOn w:val="Heading1"/>
    <w:next w:val="Normal"/>
    <w:uiPriority w:val="39"/>
    <w:semiHidden/>
    <w:unhideWhenUsed/>
    <w:qFormat/>
    <w:rsid w:val="005745CA"/>
    <w:pPr>
      <w:outlineLvl w:val="9"/>
    </w:pPr>
  </w:style>
  <w:style w:type="paragraph" w:customStyle="1" w:styleId="PersonalName">
    <w:name w:val="Personal Name"/>
    <w:basedOn w:val="Title"/>
    <w:rsid w:val="005745CA"/>
    <w:rPr>
      <w:b/>
      <w:caps/>
      <w:color w:val="000000"/>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14</Pages>
  <Words>2176</Words>
  <Characters>12406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Gnahore Badi Charlotte Legre (2331156)</cp:lastModifiedBy>
  <cp:revision>2</cp:revision>
  <dcterms:created xsi:type="dcterms:W3CDTF">2025-12-12T07:08:00Z</dcterms:created>
  <dcterms:modified xsi:type="dcterms:W3CDTF">2025-12-12T07:08:00Z</dcterms:modified>
</cp:coreProperties>
</file>