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E2AE67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B6296">
              <w:rPr>
                <w:rFonts w:ascii="Times New Roman" w:hAnsi="Times New Roman" w:cs="Times New Roman"/>
                <w:b/>
                <w:color w:val="auto"/>
                <w:sz w:val="48"/>
              </w:rPr>
              <w:t xml:space="preserve">Carolanne Jones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40D4B2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B6296">
              <w:rPr>
                <w:rFonts w:ascii="Times New Roman" w:hAnsi="Times New Roman" w:cs="Times New Roman"/>
                <w:b/>
                <w:color w:val="auto"/>
                <w:sz w:val="48"/>
              </w:rPr>
              <w:t xml:space="preserve"> carolannejns:googlemail.com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A76530F" w14:textId="77777777" w:rsidR="00EB629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B6296">
              <w:rPr>
                <w:rFonts w:ascii="Times New Roman" w:hAnsi="Times New Roman" w:cs="Times New Roman"/>
                <w:b/>
                <w:color w:val="auto"/>
                <w:sz w:val="48"/>
              </w:rPr>
              <w:t xml:space="preserve"> </w:t>
            </w:r>
          </w:p>
          <w:p w14:paraId="0DE696B2" w14:textId="0A1BE03E" w:rsidR="00F927A1" w:rsidRPr="005D3F07" w:rsidRDefault="00EB629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2416352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4CA3173" w14:textId="77777777" w:rsidR="00B502C9" w:rsidRDefault="00B502C9" w:rsidP="00FF7EBB">
            <w:pPr>
              <w:jc w:val="both"/>
              <w:rPr>
                <w:i/>
                <w:sz w:val="24"/>
                <w:szCs w:val="24"/>
              </w:rPr>
            </w:pPr>
          </w:p>
          <w:p w14:paraId="68C68366" w14:textId="77777777" w:rsidR="00B502C9" w:rsidRDefault="00B502C9" w:rsidP="00FF7EBB">
            <w:pPr>
              <w:jc w:val="both"/>
              <w:rPr>
                <w:iCs/>
                <w:sz w:val="24"/>
                <w:szCs w:val="24"/>
              </w:rPr>
            </w:pPr>
          </w:p>
          <w:p w14:paraId="5D1DD14F" w14:textId="77777777" w:rsidR="00774FDF" w:rsidRPr="00101E87" w:rsidRDefault="00774FDF" w:rsidP="00774FDF">
            <w:pPr>
              <w:jc w:val="both"/>
              <w:rPr>
                <w:sz w:val="24"/>
                <w:szCs w:val="24"/>
              </w:rPr>
            </w:pPr>
            <w:r>
              <w:rPr>
                <w:sz w:val="24"/>
                <w:szCs w:val="24"/>
              </w:rPr>
              <w:t xml:space="preserve">To support and structure my critical reflection, I have used </w:t>
            </w:r>
            <w:r w:rsidRPr="00DF31AF">
              <w:rPr>
                <w:sz w:val="24"/>
                <w:szCs w:val="24"/>
              </w:rPr>
              <w:t>Rolfe et al.’s Reflective Model (2001)</w:t>
            </w:r>
            <w:r>
              <w:rPr>
                <w:sz w:val="24"/>
                <w:szCs w:val="24"/>
              </w:rPr>
              <w:t xml:space="preserve">. This model is broken down into 3 questions; What? So what? And Now What? Encouraging deep critical thinking and analysis of experiences, practice context and further development. Thus, connecting practice, theory, feelings and context to provide a comprehensive framework for reflection in complex cases. </w:t>
            </w:r>
          </w:p>
          <w:p w14:paraId="5BF39A77" w14:textId="77777777" w:rsidR="00774FDF" w:rsidRPr="00DF31AF" w:rsidRDefault="00774FDF" w:rsidP="00774FDF">
            <w:pPr>
              <w:jc w:val="both"/>
              <w:rPr>
                <w:sz w:val="24"/>
                <w:szCs w:val="24"/>
              </w:rPr>
            </w:pPr>
          </w:p>
          <w:p w14:paraId="2B79AE1C" w14:textId="77777777" w:rsidR="00774FDF" w:rsidRDefault="00774FDF" w:rsidP="00774FDF">
            <w:pPr>
              <w:jc w:val="both"/>
              <w:rPr>
                <w:sz w:val="24"/>
                <w:szCs w:val="24"/>
              </w:rPr>
            </w:pPr>
            <w:r>
              <w:rPr>
                <w:sz w:val="24"/>
                <w:szCs w:val="24"/>
              </w:rPr>
              <w:t xml:space="preserve">Individual 1 is an older person, with a mild cognitive impairment, who lives with Individual 2. They have lived, and worked together on a rural working farm for 25+ years. Individual 2 made contact with services approximately 2 years ago, expressing that Individual 1 was exhibiting aggressive and confused behaviour and they could not cope nor did not want to be a carer. </w:t>
            </w:r>
          </w:p>
          <w:p w14:paraId="76192AB5" w14:textId="77777777" w:rsidR="00774FDF" w:rsidRDefault="00774FDF" w:rsidP="00774FDF">
            <w:pPr>
              <w:jc w:val="both"/>
              <w:rPr>
                <w:sz w:val="24"/>
                <w:szCs w:val="24"/>
              </w:rPr>
            </w:pPr>
          </w:p>
          <w:p w14:paraId="3E8846FC" w14:textId="77777777" w:rsidR="00774FDF" w:rsidRDefault="00774FDF" w:rsidP="00774FDF">
            <w:pPr>
              <w:jc w:val="both"/>
              <w:rPr>
                <w:sz w:val="24"/>
                <w:szCs w:val="24"/>
              </w:rPr>
            </w:pPr>
            <w:r>
              <w:rPr>
                <w:sz w:val="24"/>
                <w:szCs w:val="24"/>
              </w:rPr>
              <w:t xml:space="preserve">By the time of my involvement, Individual 1 had been assessed multiple times by Social Work and Health colleagues, with a formal diagnosis of early-stage dementia. Individual 1 had a specialist support worker in place, once a week, and regular support from an independent dementia advocate [Referred to as The Advocate] also. There had also been numerous safeguarding referrals submitted by other professionals,  with concerns for the living environment and the relationship between individuals 1 + 2, all of which had been explored by a multi-disciplinary team, with no further action required. </w:t>
            </w:r>
          </w:p>
          <w:p w14:paraId="0D17F450" w14:textId="77777777" w:rsidR="00774FDF" w:rsidRDefault="00774FDF" w:rsidP="00774FDF">
            <w:pPr>
              <w:jc w:val="both"/>
              <w:rPr>
                <w:sz w:val="24"/>
                <w:szCs w:val="24"/>
              </w:rPr>
            </w:pPr>
          </w:p>
          <w:p w14:paraId="6B044E77" w14:textId="77777777" w:rsidR="00774FDF" w:rsidRDefault="00774FDF" w:rsidP="00774FDF">
            <w:pPr>
              <w:jc w:val="both"/>
              <w:rPr>
                <w:sz w:val="24"/>
                <w:szCs w:val="24"/>
              </w:rPr>
            </w:pPr>
            <w:r>
              <w:rPr>
                <w:sz w:val="24"/>
                <w:szCs w:val="24"/>
              </w:rPr>
              <w:t xml:space="preserve">My involvement was required as Individual 2 had been in contact with the Social Work Team to request respite provision for Individual 1, as they wished to go on holiday and felt that </w:t>
            </w:r>
            <w:r>
              <w:rPr>
                <w:sz w:val="24"/>
                <w:szCs w:val="24"/>
              </w:rPr>
              <w:lastRenderedPageBreak/>
              <w:t xml:space="preserve">Individual 1 could not be left alone in the home due to their cognitive needs. The Advocate expressed that respite could be beneficial for the individual also to have a break from the farm work, living conditions and relationship issues. Individual 1 has mental capacity to make decisions regarding their own care and support, and agreed to respite provision. Respite was provided by adult family carers, who also lived and worked on a farm. Individual 1 was happy with this as being outdoors, working with animals and being physically active is important to them. </w:t>
            </w:r>
          </w:p>
          <w:p w14:paraId="1F432E48" w14:textId="77777777" w:rsidR="00774FDF" w:rsidRDefault="00774FDF" w:rsidP="00774FDF">
            <w:pPr>
              <w:jc w:val="both"/>
              <w:rPr>
                <w:sz w:val="24"/>
                <w:szCs w:val="24"/>
              </w:rPr>
            </w:pPr>
          </w:p>
          <w:p w14:paraId="6F534E27" w14:textId="77777777" w:rsidR="00774FDF" w:rsidRDefault="00774FDF" w:rsidP="00774FDF">
            <w:pPr>
              <w:jc w:val="both"/>
              <w:rPr>
                <w:sz w:val="24"/>
                <w:szCs w:val="24"/>
              </w:rPr>
            </w:pPr>
            <w:r>
              <w:rPr>
                <w:sz w:val="24"/>
                <w:szCs w:val="24"/>
              </w:rPr>
              <w:t xml:space="preserve">While in respite, Individual 1 disclosed to carers that Individual 2 had frequently been physically and verbally aggressive towards them, for many years. There were also concerns raised by the carers regarding potential financial abuse as Individual 1 was not able to make basic financial transactions, as they did not know their own bank information, income, outgoings etc. The care staff submitted an Adult At Risk [AAR] referral, this information was shared with me, and enquiries into the report began. </w:t>
            </w:r>
          </w:p>
          <w:p w14:paraId="69EA31BD" w14:textId="77777777" w:rsidR="00774FDF" w:rsidRDefault="00774FDF" w:rsidP="00774FDF">
            <w:pPr>
              <w:jc w:val="both"/>
              <w:rPr>
                <w:sz w:val="24"/>
                <w:szCs w:val="24"/>
              </w:rPr>
            </w:pPr>
          </w:p>
          <w:p w14:paraId="58831E5D" w14:textId="77777777" w:rsidR="00774FDF" w:rsidRDefault="00774FDF" w:rsidP="00774FDF">
            <w:pPr>
              <w:jc w:val="both"/>
              <w:rPr>
                <w:sz w:val="24"/>
                <w:szCs w:val="24"/>
              </w:rPr>
            </w:pPr>
            <w:r>
              <w:rPr>
                <w:sz w:val="24"/>
                <w:szCs w:val="24"/>
              </w:rPr>
              <w:t xml:space="preserve">Despite having some experience and knowledge in working within the safeguarding arena, I always immediately feel anxious and overwhelmed when involved in this type of work. However, I have learned through reflection in supervision and professional development, that this is due to having a strong emotional response; empathy, to the person experiencing harm and a strong sense of duty to protect and assist the person. While emotions and emotional intelligence play a crucial part in practice (Knott &amp; Scragg, 2016) for the initial stages of a safeguarding enquiry more pragmatic skills such as information gathering, collaborative working and knowledge of legislative and policy frameworks are required to establish a foundation for assessment and intervention to minimise harm (Social Care Institute for Excellence, 2026) and these skills are what I initially focussed on. </w:t>
            </w:r>
          </w:p>
          <w:p w14:paraId="3930B58B" w14:textId="77777777" w:rsidR="00774FDF" w:rsidRDefault="00774FDF" w:rsidP="00774FDF">
            <w:pPr>
              <w:jc w:val="both"/>
              <w:rPr>
                <w:sz w:val="24"/>
                <w:szCs w:val="24"/>
              </w:rPr>
            </w:pPr>
          </w:p>
          <w:p w14:paraId="1CB17495" w14:textId="77777777" w:rsidR="00774FDF" w:rsidRDefault="00774FDF" w:rsidP="00774FDF">
            <w:pPr>
              <w:jc w:val="both"/>
              <w:rPr>
                <w:sz w:val="24"/>
                <w:szCs w:val="24"/>
              </w:rPr>
            </w:pPr>
            <w:r>
              <w:rPr>
                <w:sz w:val="24"/>
                <w:szCs w:val="24"/>
              </w:rPr>
              <w:t xml:space="preserve">The primary legislation within Wales is the </w:t>
            </w:r>
            <w:r w:rsidRPr="00FC002F">
              <w:rPr>
                <w:i/>
                <w:iCs/>
                <w:sz w:val="24"/>
                <w:szCs w:val="24"/>
              </w:rPr>
              <w:t>Social Services and Wellbeing Act Wales Act (2014)</w:t>
            </w:r>
            <w:r>
              <w:rPr>
                <w:sz w:val="24"/>
                <w:szCs w:val="24"/>
              </w:rPr>
              <w:t xml:space="preserve"> [The Act]. The Act provides the legislative duties that Local Authorities must adhere to when responding to a safeguarding report. Under Section 126 of The Act, Local Authorities must establish if the person is considered “at risk”. In this case, Individual 1 was considered an “Adult at Risk” as they were at risk of further abuse, could not protect themselves and had care and support needs. From this, the Duty to Enquire (</w:t>
            </w:r>
            <w:r w:rsidRPr="001A5035">
              <w:rPr>
                <w:i/>
                <w:iCs/>
                <w:sz w:val="24"/>
                <w:szCs w:val="24"/>
              </w:rPr>
              <w:t>section 126, Social Services and Wellbeing Act, 2014</w:t>
            </w:r>
            <w:r>
              <w:rPr>
                <w:sz w:val="24"/>
                <w:szCs w:val="24"/>
              </w:rPr>
              <w:t xml:space="preserve">) places the onus on the Local Authority to make necessary enquiries with all involved parties to determine if or what action should be taken. The Wales Safeguarding Procedures (Safeguarding Wales, 2026) correlate with The Act to provide a framework for practitioners to follow when exercising their duties, responsibilities and function, in practice, for Safeguarding work. A timeframe of 7 days is given to complete initial enquiries, which in include confirming the information given in the initial referral, reviewing this with relevant involved parties and then making a decision for any further action (if required). Alongside this, the individual should be at the centre and supported to be involved in decisions, ensuring person centred practice. As Romeo (2015) point out, this approach to Safeguarding work ensures evidence-based analysis of the situation while promoting the individual to be empowered in decision making. Furthermore, other  legislation and practice frameworks relating to the case was considered. </w:t>
            </w:r>
          </w:p>
          <w:p w14:paraId="5ED23EDC" w14:textId="77777777" w:rsidR="00774FDF" w:rsidRDefault="00774FDF" w:rsidP="00774FDF">
            <w:pPr>
              <w:jc w:val="both"/>
              <w:rPr>
                <w:sz w:val="24"/>
                <w:szCs w:val="24"/>
              </w:rPr>
            </w:pPr>
          </w:p>
          <w:p w14:paraId="42C269BE" w14:textId="77777777" w:rsidR="00774FDF" w:rsidRPr="00E930A3" w:rsidRDefault="00774FDF" w:rsidP="00774FDF">
            <w:pPr>
              <w:jc w:val="both"/>
              <w:rPr>
                <w:sz w:val="24"/>
                <w:szCs w:val="24"/>
              </w:rPr>
            </w:pPr>
            <w:r>
              <w:rPr>
                <w:sz w:val="24"/>
                <w:szCs w:val="24"/>
              </w:rPr>
              <w:lastRenderedPageBreak/>
              <w:t xml:space="preserve">Part of the duties of my role under The Act , was to consider the principles of </w:t>
            </w:r>
            <w:r w:rsidRPr="001A5035">
              <w:rPr>
                <w:i/>
                <w:iCs/>
                <w:sz w:val="24"/>
                <w:szCs w:val="24"/>
              </w:rPr>
              <w:t xml:space="preserve">Mental Capacity Act 2005 </w:t>
            </w:r>
            <w:r>
              <w:rPr>
                <w:sz w:val="24"/>
                <w:szCs w:val="24"/>
              </w:rPr>
              <w:t xml:space="preserve">and the articles of the </w:t>
            </w:r>
            <w:r w:rsidRPr="001A5035">
              <w:rPr>
                <w:i/>
                <w:iCs/>
                <w:sz w:val="24"/>
                <w:szCs w:val="24"/>
              </w:rPr>
              <w:t>Human Rights Act 1998</w:t>
            </w:r>
            <w:r>
              <w:rPr>
                <w:sz w:val="24"/>
                <w:szCs w:val="24"/>
              </w:rPr>
              <w:t>. These are UK wide legislations that are embedded in both the S</w:t>
            </w:r>
            <w:r w:rsidRPr="001A5035">
              <w:rPr>
                <w:i/>
                <w:iCs/>
                <w:sz w:val="24"/>
                <w:szCs w:val="24"/>
              </w:rPr>
              <w:t>ocial Services and Wellbeing Act 2014</w:t>
            </w:r>
            <w:r>
              <w:rPr>
                <w:sz w:val="24"/>
                <w:szCs w:val="24"/>
              </w:rPr>
              <w:t xml:space="preserve">, and Wales Safeguarding Procedures. Furthermore, the </w:t>
            </w:r>
            <w:r w:rsidRPr="001A5035">
              <w:rPr>
                <w:i/>
                <w:iCs/>
                <w:sz w:val="24"/>
                <w:szCs w:val="24"/>
              </w:rPr>
              <w:t>Human Rights Act 1998</w:t>
            </w:r>
            <w:r>
              <w:rPr>
                <w:sz w:val="24"/>
                <w:szCs w:val="24"/>
              </w:rPr>
              <w:t>, incorporates the European Convention of Human Rights (Council of Europe, 1950) into UK Law and, subsequently, Welsh Law. This is highlighted further in Section 7 of the Social Services and Wellbeing Wales Act 2014, that states “due regard” must be given to the principles of the UN Convention on the Rights of Older Persons (United Nations, 2025; Age International, 2023)), which is also relevant in this case. Interestingly, the legislative frameworks in England (</w:t>
            </w:r>
            <w:r w:rsidRPr="001A5035">
              <w:rPr>
                <w:i/>
                <w:iCs/>
                <w:sz w:val="24"/>
                <w:szCs w:val="24"/>
              </w:rPr>
              <w:t>Care Act, 2014</w:t>
            </w:r>
            <w:r>
              <w:rPr>
                <w:sz w:val="24"/>
                <w:szCs w:val="24"/>
              </w:rPr>
              <w:t xml:space="preserve">) and Ireland do not specify any UN conventions, and just broadly apply </w:t>
            </w:r>
            <w:r w:rsidRPr="001A5035">
              <w:rPr>
                <w:i/>
                <w:iCs/>
                <w:sz w:val="24"/>
                <w:szCs w:val="24"/>
              </w:rPr>
              <w:t>Human Rights Act 1998</w:t>
            </w:r>
            <w:r>
              <w:rPr>
                <w:sz w:val="24"/>
                <w:szCs w:val="24"/>
              </w:rPr>
              <w:t xml:space="preserve"> to their legislation (NHS Safeguarding, 2025). In Wales, safeguarding duties as specified by the legislation directly align with European human rights Laws and obligations, which is also the case in Scotland (</w:t>
            </w:r>
            <w:r w:rsidRPr="001A5035">
              <w:rPr>
                <w:i/>
                <w:iCs/>
                <w:sz w:val="24"/>
                <w:szCs w:val="24"/>
              </w:rPr>
              <w:t>Adult Support and Protection (Scotland) Act 2007</w:t>
            </w:r>
            <w:r>
              <w:rPr>
                <w:sz w:val="24"/>
                <w:szCs w:val="24"/>
              </w:rPr>
              <w:t xml:space="preserve">). Again, considering UK wide legislation, the </w:t>
            </w:r>
            <w:r w:rsidRPr="001A5035">
              <w:rPr>
                <w:i/>
                <w:iCs/>
                <w:sz w:val="24"/>
                <w:szCs w:val="24"/>
              </w:rPr>
              <w:t>Domestic Abuse Act 2021</w:t>
            </w:r>
            <w:r>
              <w:rPr>
                <w:sz w:val="24"/>
                <w:szCs w:val="24"/>
              </w:rPr>
              <w:t xml:space="preserve"> is relevant to this case as the circumstances and events Individual 1 has disclosed align with the definition of “domestic abuse” under this  act. Alongside this piece of legislation, The </w:t>
            </w:r>
            <w:r w:rsidRPr="001A5035">
              <w:rPr>
                <w:i/>
                <w:iCs/>
                <w:sz w:val="24"/>
                <w:szCs w:val="24"/>
              </w:rPr>
              <w:t>Violence Against Women, Domestic Abuse and Sexual Violence (Wales) Act 2015</w:t>
            </w:r>
            <w:r w:rsidRPr="00E930A3">
              <w:rPr>
                <w:sz w:val="24"/>
                <w:szCs w:val="24"/>
              </w:rPr>
              <w:t xml:space="preserve"> </w:t>
            </w:r>
            <w:r>
              <w:rPr>
                <w:sz w:val="24"/>
                <w:szCs w:val="24"/>
              </w:rPr>
              <w:t xml:space="preserve">is legislation in Wales, however, this legislation is primarily focused on “gender-based” (towards women and girls) domestic abuse, however, the principles and duties set out are relevant to this case and provide further weight to the statutory powers, in relation to making enquiries and taking action to protect individuals. Considering that 6.5% of all men in Wales &amp; England report being victim of domestic violence </w:t>
            </w:r>
            <w:r w:rsidRPr="009351BD">
              <w:rPr>
                <w:sz w:val="24"/>
                <w:szCs w:val="24"/>
              </w:rPr>
              <w:t>(Office for National Statistics, 2025)</w:t>
            </w:r>
            <w:r>
              <w:rPr>
                <w:sz w:val="24"/>
                <w:szCs w:val="24"/>
              </w:rPr>
              <w:t xml:space="preserve">, it is surprising the Welsh legislation has not been updated to reflect this. In contrast, The United States, Canada and Australia tailor their domestic abuse Legislation and procedures around “intimate partner violence” which highlights women experience this at a much higher rate, and the perpetrators are usually male, however it is acknowledged men also experience this type of abuse by women perpetrators (USAID, 2023; </w:t>
            </w:r>
            <w:r w:rsidRPr="00415631">
              <w:rPr>
                <w:sz w:val="24"/>
                <w:szCs w:val="24"/>
              </w:rPr>
              <w:t>Department of Families, Fairness and Housing, 2022</w:t>
            </w:r>
            <w:r>
              <w:rPr>
                <w:sz w:val="24"/>
                <w:szCs w:val="24"/>
              </w:rPr>
              <w:t>;</w:t>
            </w:r>
            <w:r w:rsidRPr="00E8005C">
              <w:rPr>
                <w:sz w:val="24"/>
                <w:szCs w:val="24"/>
              </w:rPr>
              <w:t>Public Health Agency of Canada, 2018</w:t>
            </w:r>
            <w:r>
              <w:rPr>
                <w:sz w:val="24"/>
                <w:szCs w:val="24"/>
              </w:rPr>
              <w:t xml:space="preserve">; </w:t>
            </w:r>
            <w:r w:rsidRPr="00415631">
              <w:rPr>
                <w:sz w:val="24"/>
                <w:szCs w:val="24"/>
              </w:rPr>
              <w:t>)</w:t>
            </w:r>
            <w:r>
              <w:rPr>
                <w:sz w:val="24"/>
                <w:szCs w:val="24"/>
              </w:rPr>
              <w:t xml:space="preserve">. As such, I realised I would need to consider research, policies and practice guidance from outside Wales and the UK, when getting into deeper analysis and intervention work to support this Individual and ensure sound professional judgement in decision making. </w:t>
            </w:r>
          </w:p>
          <w:p w14:paraId="375F8679" w14:textId="77777777" w:rsidR="00774FDF" w:rsidRPr="0077460E" w:rsidRDefault="00774FDF" w:rsidP="00774FDF">
            <w:pPr>
              <w:jc w:val="both"/>
              <w:rPr>
                <w:sz w:val="24"/>
                <w:szCs w:val="24"/>
              </w:rPr>
            </w:pPr>
          </w:p>
          <w:p w14:paraId="66B6B1BD" w14:textId="77777777" w:rsidR="00774FDF" w:rsidRDefault="00774FDF" w:rsidP="00774FDF">
            <w:pPr>
              <w:jc w:val="both"/>
              <w:rPr>
                <w:sz w:val="24"/>
                <w:szCs w:val="24"/>
              </w:rPr>
            </w:pPr>
            <w:r>
              <w:rPr>
                <w:sz w:val="24"/>
                <w:szCs w:val="24"/>
              </w:rPr>
              <w:t xml:space="preserve">As the respite period was due to end, Individual 1 would return to live with Individual 2, and was considered an “Adult at risk”.  Prompt action was needed to assess the situation, establish Individual 1’s care and support needs, and gain their views, wishes and feelings on how to proceed. A welfare visit to Individual 1, with The Advocate and carers present was arranged the same day. </w:t>
            </w:r>
          </w:p>
          <w:p w14:paraId="09CD7B14" w14:textId="77777777" w:rsidR="00774FDF" w:rsidRDefault="00774FDF" w:rsidP="00774FDF">
            <w:pPr>
              <w:jc w:val="both"/>
              <w:rPr>
                <w:sz w:val="24"/>
                <w:szCs w:val="24"/>
              </w:rPr>
            </w:pPr>
          </w:p>
          <w:p w14:paraId="2AF75275" w14:textId="77777777" w:rsidR="00774FDF" w:rsidRDefault="00774FDF" w:rsidP="00774FDF">
            <w:pPr>
              <w:jc w:val="both"/>
              <w:rPr>
                <w:sz w:val="24"/>
                <w:szCs w:val="24"/>
              </w:rPr>
            </w:pPr>
            <w:r>
              <w:rPr>
                <w:sz w:val="24"/>
                <w:szCs w:val="24"/>
              </w:rPr>
              <w:t xml:space="preserve">The initial referral highlighted that Individual 1 was very emotional during disclosure and the impact of the reported abuse has had a significant emotional impact. With this in mind, I utilised the key principles of a Trauma-Informed Approach; safety, trust, collaboration, choice and empowerment (Levenson, 2017) to ensure Individual 1 felt supported, heard and an equal partner in any decisions. To facilitate this, I used Motivational Interviewing [MI] techniques such as active listening and open questions, to support Individual 1 to express his feelings, in a safe non-judgement space, which is important in promoting empowerment and control (Lishman et al 2018). In doing so, an exchange model of assessment (Smale et al, 1993) was facilitated. This model empowers Individuals to be the “experts in their own lives” while </w:t>
            </w:r>
            <w:r>
              <w:rPr>
                <w:sz w:val="24"/>
                <w:szCs w:val="24"/>
              </w:rPr>
              <w:lastRenderedPageBreak/>
              <w:t xml:space="preserve">acknowledging that practitioners have the skills and knowledge required to support problem-solving. </w:t>
            </w:r>
          </w:p>
          <w:p w14:paraId="6D232213" w14:textId="77777777" w:rsidR="00774FDF" w:rsidRDefault="00774FDF" w:rsidP="00774FDF">
            <w:pPr>
              <w:jc w:val="both"/>
              <w:rPr>
                <w:sz w:val="24"/>
                <w:szCs w:val="24"/>
              </w:rPr>
            </w:pPr>
            <w:r>
              <w:rPr>
                <w:sz w:val="24"/>
                <w:szCs w:val="24"/>
              </w:rPr>
              <w:t xml:space="preserve">Using these skills, a wealth of information about the situation, risks and Individual 1’s wishes was gathered to inform analysis and assessment going forward. </w:t>
            </w:r>
          </w:p>
          <w:p w14:paraId="77DF2F5B" w14:textId="77777777" w:rsidR="00774FDF" w:rsidRDefault="00774FDF" w:rsidP="00774FDF">
            <w:pPr>
              <w:jc w:val="both"/>
              <w:rPr>
                <w:sz w:val="24"/>
                <w:szCs w:val="24"/>
              </w:rPr>
            </w:pPr>
          </w:p>
          <w:p w14:paraId="4828AB06" w14:textId="77777777" w:rsidR="00774FDF" w:rsidRDefault="00774FDF" w:rsidP="00774FDF">
            <w:pPr>
              <w:jc w:val="both"/>
              <w:rPr>
                <w:sz w:val="24"/>
                <w:szCs w:val="24"/>
              </w:rPr>
            </w:pPr>
            <w:r>
              <w:rPr>
                <w:sz w:val="24"/>
                <w:szCs w:val="24"/>
              </w:rPr>
              <w:t>In relation to the legislation and frameworks for Safeguarding work, this approach worked well in promoting person-centred practice and evidence-based assessment. As such, the standards and principles of the Code of Professional Practice for Social Care (Social Care Wales, 2017), are also embedded in this approach to practice. Individual 1’s rights, wishes, choices and voice were at the forefront of the discussion, while working collaboratively to promote his safety and wellbeing.</w:t>
            </w:r>
          </w:p>
          <w:p w14:paraId="5B35CD7C" w14:textId="77777777" w:rsidR="00774FDF" w:rsidRDefault="00774FDF" w:rsidP="00774FDF">
            <w:pPr>
              <w:jc w:val="both"/>
              <w:rPr>
                <w:sz w:val="24"/>
                <w:szCs w:val="24"/>
              </w:rPr>
            </w:pPr>
          </w:p>
          <w:p w14:paraId="3A18F2C0" w14:textId="77777777" w:rsidR="00774FDF" w:rsidRDefault="00774FDF" w:rsidP="00774FDF">
            <w:pPr>
              <w:jc w:val="both"/>
              <w:rPr>
                <w:sz w:val="24"/>
                <w:szCs w:val="24"/>
              </w:rPr>
            </w:pPr>
            <w:r>
              <w:rPr>
                <w:sz w:val="24"/>
                <w:szCs w:val="24"/>
              </w:rPr>
              <w:t xml:space="preserve">Furthermore, Trauma-Informed strategies are recognised and used for best practice in Safeguarding work throughout the UK, Europe and across the Globe (United States Agency for International Development, 2023; NHS England, 2026; Victoria State Government, 2023). The literature highlights this approach as “transformative” in how Social Work professionals support individuals and the wider community to recover and rebuild lives following trauma. </w:t>
            </w:r>
          </w:p>
          <w:p w14:paraId="6A258E62" w14:textId="77777777" w:rsidR="00774FDF" w:rsidRDefault="00774FDF" w:rsidP="00774FDF">
            <w:pPr>
              <w:jc w:val="both"/>
              <w:rPr>
                <w:sz w:val="24"/>
                <w:szCs w:val="24"/>
              </w:rPr>
            </w:pPr>
          </w:p>
          <w:p w14:paraId="3DD42F40" w14:textId="77777777" w:rsidR="00774FDF" w:rsidRDefault="00774FDF" w:rsidP="00774FDF">
            <w:pPr>
              <w:jc w:val="both"/>
              <w:rPr>
                <w:sz w:val="24"/>
                <w:szCs w:val="24"/>
              </w:rPr>
            </w:pPr>
          </w:p>
          <w:p w14:paraId="10258870" w14:textId="77777777" w:rsidR="00774FDF" w:rsidRDefault="00774FDF" w:rsidP="00774FDF">
            <w:pPr>
              <w:jc w:val="both"/>
              <w:rPr>
                <w:sz w:val="24"/>
                <w:szCs w:val="24"/>
              </w:rPr>
            </w:pPr>
            <w:r w:rsidRPr="00723ECD">
              <w:rPr>
                <w:sz w:val="24"/>
                <w:szCs w:val="24"/>
              </w:rPr>
              <w:t xml:space="preserve">The assessment was undertaken </w:t>
            </w:r>
            <w:r>
              <w:rPr>
                <w:sz w:val="24"/>
                <w:szCs w:val="24"/>
              </w:rPr>
              <w:t xml:space="preserve">in accordance with the </w:t>
            </w:r>
            <w:r w:rsidRPr="00723ECD">
              <w:rPr>
                <w:sz w:val="24"/>
                <w:szCs w:val="24"/>
              </w:rPr>
              <w:t xml:space="preserve">statutory duties </w:t>
            </w:r>
            <w:r>
              <w:rPr>
                <w:sz w:val="24"/>
                <w:szCs w:val="24"/>
              </w:rPr>
              <w:t>detailed in</w:t>
            </w:r>
            <w:r w:rsidRPr="00723ECD">
              <w:rPr>
                <w:sz w:val="24"/>
                <w:szCs w:val="24"/>
              </w:rPr>
              <w:t xml:space="preserve"> </w:t>
            </w:r>
            <w:r>
              <w:rPr>
                <w:sz w:val="24"/>
                <w:szCs w:val="24"/>
              </w:rPr>
              <w:t>The Act</w:t>
            </w:r>
            <w:r w:rsidRPr="00723ECD">
              <w:rPr>
                <w:sz w:val="24"/>
                <w:szCs w:val="24"/>
              </w:rPr>
              <w:t xml:space="preserve"> and was offered in Welsh in </w:t>
            </w:r>
            <w:r>
              <w:rPr>
                <w:sz w:val="24"/>
                <w:szCs w:val="24"/>
              </w:rPr>
              <w:t>line with the</w:t>
            </w:r>
            <w:r w:rsidRPr="00723ECD">
              <w:rPr>
                <w:sz w:val="24"/>
                <w:szCs w:val="24"/>
              </w:rPr>
              <w:t xml:space="preserve"> “Active Offer” (</w:t>
            </w:r>
            <w:r>
              <w:rPr>
                <w:sz w:val="24"/>
                <w:szCs w:val="24"/>
              </w:rPr>
              <w:t>Welsh Government, 2019</w:t>
            </w:r>
            <w:r w:rsidRPr="00723ECD">
              <w:rPr>
                <w:sz w:val="24"/>
                <w:szCs w:val="24"/>
              </w:rPr>
              <w:t>). This offer was declined; the</w:t>
            </w:r>
            <w:r>
              <w:rPr>
                <w:sz w:val="24"/>
                <w:szCs w:val="24"/>
              </w:rPr>
              <w:t xml:space="preserve"> individual’s</w:t>
            </w:r>
            <w:r w:rsidRPr="00723ECD">
              <w:rPr>
                <w:sz w:val="24"/>
                <w:szCs w:val="24"/>
              </w:rPr>
              <w:t xml:space="preserve"> language of choice (English)</w:t>
            </w:r>
            <w:r>
              <w:rPr>
                <w:sz w:val="24"/>
                <w:szCs w:val="24"/>
              </w:rPr>
              <w:t xml:space="preserve"> was used</w:t>
            </w:r>
            <w:r w:rsidRPr="00723ECD">
              <w:rPr>
                <w:sz w:val="24"/>
                <w:szCs w:val="24"/>
              </w:rPr>
              <w:t xml:space="preserve">.   English </w:t>
            </w:r>
            <w:r>
              <w:rPr>
                <w:sz w:val="24"/>
                <w:szCs w:val="24"/>
              </w:rPr>
              <w:t>is</w:t>
            </w:r>
            <w:r w:rsidRPr="00723ECD">
              <w:rPr>
                <w:sz w:val="24"/>
                <w:szCs w:val="24"/>
              </w:rPr>
              <w:t xml:space="preserve"> the individuals first language in which they are fluent and competent in</w:t>
            </w:r>
            <w:r>
              <w:rPr>
                <w:sz w:val="24"/>
                <w:szCs w:val="24"/>
              </w:rPr>
              <w:t xml:space="preserve">, and is their preferred language for all communication. Had they wanted communications in Welsh, I would have arranged for a Welsh speaking colleague to attend and provide this service, and ensured all correspondence was provided in Welsh. In line with the </w:t>
            </w:r>
            <w:r w:rsidRPr="001A5035">
              <w:rPr>
                <w:i/>
                <w:iCs/>
                <w:sz w:val="24"/>
                <w:szCs w:val="24"/>
              </w:rPr>
              <w:t>Welsh Language Measure (2011)</w:t>
            </w:r>
            <w:r>
              <w:rPr>
                <w:sz w:val="24"/>
                <w:szCs w:val="24"/>
              </w:rPr>
              <w:t xml:space="preserve"> the Local Authority has Welsh speaking staff available to carry out this function and documentation is provided bilingually, with Welsh as visible, as English. The carers were Welsh speakers and were also happy to proceed using English. I have a limited Welsh vocabulary, however, used simple phrases such as “diolch” and “bore da” which was received well, and I felt it helped to build rapport and demonstrate respect (UK Government in Wales, 2019), during a difficult conversation. </w:t>
            </w:r>
          </w:p>
          <w:p w14:paraId="0AEFF088" w14:textId="77777777" w:rsidR="00774FDF" w:rsidRDefault="00774FDF" w:rsidP="00774FDF">
            <w:pPr>
              <w:jc w:val="both"/>
              <w:rPr>
                <w:sz w:val="24"/>
                <w:szCs w:val="24"/>
              </w:rPr>
            </w:pPr>
          </w:p>
          <w:p w14:paraId="31EB3B98" w14:textId="77777777" w:rsidR="00774FDF" w:rsidRDefault="00774FDF" w:rsidP="00774FDF">
            <w:pPr>
              <w:jc w:val="both"/>
              <w:rPr>
                <w:sz w:val="24"/>
                <w:szCs w:val="24"/>
              </w:rPr>
            </w:pPr>
            <w:r>
              <w:rPr>
                <w:sz w:val="24"/>
                <w:szCs w:val="24"/>
              </w:rPr>
              <w:t xml:space="preserve">During discussions, Individual 1 disclosed being subject to coercive control, financial and physical abuse for many years. Also, that they had been isolated from friends and family, restricted in engaging in activities they enjoy and had been severely limited in making any choices for themselves, and when they did so, the abuse would increase. However, Individual 1 did not recognise this as abuse and kept blaming themselves for “not trying hard enough” or for being “useless.” Individual 1 felt unable to make a decision not to return to live with Individual 2, as they felt guilty and ashamed about the situation. Having read previous case nots and safeguarding referrals, I was aware that Individual 2 had made many (unfounded) allegations towards Individual 1 for “aggressive” behaviours also. The research around the indicators and impact of domestic abuse, highlights victims frequently blame themselves, have low self-esteem and are fearful of leaving, often not recognising their situation as abuse (Graham-Powney &amp; Kevan, 2021; Lohmann et al, 2023; Walker et al 2020). </w:t>
            </w:r>
          </w:p>
          <w:p w14:paraId="2859F3D0" w14:textId="77777777" w:rsidR="00774FDF" w:rsidRDefault="00774FDF" w:rsidP="00774FDF">
            <w:pPr>
              <w:jc w:val="both"/>
              <w:rPr>
                <w:sz w:val="24"/>
                <w:szCs w:val="24"/>
              </w:rPr>
            </w:pPr>
          </w:p>
          <w:p w14:paraId="1DEB31E1" w14:textId="77777777" w:rsidR="00774FDF" w:rsidRDefault="00774FDF" w:rsidP="00774FDF">
            <w:pPr>
              <w:jc w:val="both"/>
              <w:rPr>
                <w:sz w:val="24"/>
                <w:szCs w:val="24"/>
              </w:rPr>
            </w:pPr>
            <w:r>
              <w:rPr>
                <w:sz w:val="24"/>
                <w:szCs w:val="24"/>
              </w:rPr>
              <w:lastRenderedPageBreak/>
              <w:t xml:space="preserve">I used this information to analyse the situation and make a professional judgement on next actions. Considering the sustained and systemic abuse Individual 1 had experienced and the level of risk involved it was unsafe for Individual 1 to return home and the decision was made, with Individual 1 in agreement, to extend their respite in their current placement, while assessment and care planning was ongoing.  This decision was based on the evidence available and assessment of risk. As Rheger (2018) points out, trauma can significantly influence and impact an individual’s perception of events, control of those events and decision making. In line with the Code of Professional Practice (Social Care Wales, 2017) and The Code of Ethics for Social Work (British Association of Social Workers [BASW], 2021) this decision was made in collaboration with Individual 1 and carers, to keep them safe and ensured Individual 1 was supported to be able to begin to process, recover and minimise stress to maximise their decision making going forward. </w:t>
            </w:r>
          </w:p>
          <w:p w14:paraId="62E54ADF" w14:textId="77777777" w:rsidR="00774FDF" w:rsidRDefault="00774FDF" w:rsidP="00774FDF">
            <w:pPr>
              <w:jc w:val="both"/>
              <w:rPr>
                <w:sz w:val="24"/>
                <w:szCs w:val="24"/>
              </w:rPr>
            </w:pPr>
          </w:p>
          <w:p w14:paraId="11762774" w14:textId="77777777" w:rsidR="00774FDF" w:rsidRDefault="00774FDF" w:rsidP="00774FDF">
            <w:pPr>
              <w:jc w:val="both"/>
              <w:rPr>
                <w:sz w:val="24"/>
                <w:szCs w:val="24"/>
              </w:rPr>
            </w:pPr>
            <w:r>
              <w:rPr>
                <w:sz w:val="24"/>
                <w:szCs w:val="24"/>
              </w:rPr>
              <w:t>The visit was emotionally taxing and I left feeling overwhelmed about balancing the need to promote Individual 1’s autonomy, control and participation, while minimising harm and ensuring safety. I was extremely concerned about the prospect of Individual 1 returning to live with Individual 2, and felt Individual 1 was so traumatised and under Individual 2’s control, that they were unable to understand the level of risk and the impact of the abuse on their wellbeing. As Individual 1 has mental capacity to make decisions regarding care and support and place of residence, they can make their own decisions, even if considered “unwise” (</w:t>
            </w:r>
            <w:r w:rsidRPr="001A5035">
              <w:rPr>
                <w:i/>
                <w:iCs/>
                <w:sz w:val="24"/>
                <w:szCs w:val="24"/>
              </w:rPr>
              <w:t>Mental Capacity Act, 2005</w:t>
            </w:r>
            <w:r>
              <w:rPr>
                <w:sz w:val="24"/>
                <w:szCs w:val="24"/>
              </w:rPr>
              <w:t xml:space="preserve">).  However, I immediately thought of Inherent Jurisdiction and if it could apply in this case. According to 39 Essex Chambers (2024), Inherent Jurisdiction is a “safety net” that can be applied to safeguard individuals who have mental capacity, but are at risk due to the coercion or influence of others when making decisions. </w:t>
            </w:r>
          </w:p>
          <w:p w14:paraId="7CD449D4" w14:textId="77777777" w:rsidR="00774FDF" w:rsidRDefault="00774FDF" w:rsidP="00774FDF">
            <w:pPr>
              <w:jc w:val="both"/>
              <w:rPr>
                <w:sz w:val="24"/>
                <w:szCs w:val="24"/>
              </w:rPr>
            </w:pPr>
          </w:p>
          <w:p w14:paraId="77214F29" w14:textId="77777777" w:rsidR="00774FDF" w:rsidRDefault="00774FDF" w:rsidP="00774FDF">
            <w:pPr>
              <w:jc w:val="both"/>
              <w:rPr>
                <w:sz w:val="24"/>
                <w:szCs w:val="24"/>
              </w:rPr>
            </w:pPr>
            <w:r>
              <w:rPr>
                <w:sz w:val="24"/>
                <w:szCs w:val="24"/>
              </w:rPr>
              <w:t xml:space="preserve">It was clear that this was a complex situation and a Multi-Disciplinary Team [MDT] approach was required. I arranged a professionals meeting with safeguarding, legal, health and senior Social Work colleagues to discuss the case, gain guidance on best practice and ensure legislative and policy procedures were followed. Having taken part in many professionals meeting before, I was aware that clear communication, definition of roles, sharing of information and responsibilities was vital to support the individual and work pro-actively to manage risk (Social Care Wales, 2011, </w:t>
            </w:r>
            <w:r w:rsidRPr="00DB60FF">
              <w:rPr>
                <w:sz w:val="24"/>
                <w:szCs w:val="24"/>
              </w:rPr>
              <w:t>SCDSW6</w:t>
            </w:r>
            <w:r>
              <w:rPr>
                <w:sz w:val="24"/>
                <w:szCs w:val="24"/>
              </w:rPr>
              <w:t xml:space="preserve">). </w:t>
            </w:r>
          </w:p>
          <w:p w14:paraId="53E6CF8E" w14:textId="77777777" w:rsidR="00774FDF" w:rsidRDefault="00774FDF" w:rsidP="00774FDF">
            <w:pPr>
              <w:jc w:val="both"/>
              <w:rPr>
                <w:sz w:val="24"/>
                <w:szCs w:val="24"/>
              </w:rPr>
            </w:pPr>
            <w:r>
              <w:rPr>
                <w:sz w:val="24"/>
                <w:szCs w:val="24"/>
              </w:rPr>
              <w:t xml:space="preserve">To achieve this, I consulted all professionals invited beforehand to put together an agenda to ensure key points were discussed. This included defining roles and responsibilities, risk assessment and management, legislation and practice frameworks and further actions to ensure best practice in this case (Taylor, 2013; Munro, 2012: Dixon, 2023). </w:t>
            </w:r>
          </w:p>
          <w:p w14:paraId="58B55792" w14:textId="77777777" w:rsidR="00774FDF" w:rsidRDefault="00774FDF" w:rsidP="00774FDF">
            <w:pPr>
              <w:jc w:val="both"/>
              <w:rPr>
                <w:sz w:val="24"/>
                <w:szCs w:val="24"/>
              </w:rPr>
            </w:pPr>
          </w:p>
          <w:p w14:paraId="3FED65D7" w14:textId="77777777" w:rsidR="00774FDF" w:rsidRDefault="00774FDF" w:rsidP="00774FDF">
            <w:pPr>
              <w:jc w:val="both"/>
              <w:rPr>
                <w:sz w:val="24"/>
                <w:szCs w:val="24"/>
              </w:rPr>
            </w:pPr>
            <w:r>
              <w:rPr>
                <w:sz w:val="24"/>
                <w:szCs w:val="24"/>
              </w:rPr>
              <w:t xml:space="preserve">The meeting went well, with all professionals contributing and offering their skills and knowledge to support assessment and risk management. As Individual 1 was in a place of safety, and the immediate risk of harm minimised, the case did not meet threshold to proceed to a Strategy meeting or any ongoing involvement from the safeguarding team (Welsh Government, 2018). However, further assessment was required to ensure Individual 1’s ongoing care and support needs were met. It was decided in the meeting that The Advocate and I would continue to work with Individual 1 and we arranged to visit again the following day. </w:t>
            </w:r>
          </w:p>
          <w:p w14:paraId="1168AEDE" w14:textId="77777777" w:rsidR="00774FDF" w:rsidRDefault="00774FDF" w:rsidP="00774FDF">
            <w:pPr>
              <w:jc w:val="both"/>
              <w:rPr>
                <w:sz w:val="24"/>
                <w:szCs w:val="24"/>
              </w:rPr>
            </w:pPr>
          </w:p>
          <w:p w14:paraId="7809323E" w14:textId="77777777" w:rsidR="00774FDF" w:rsidRDefault="00774FDF" w:rsidP="00774FDF">
            <w:pPr>
              <w:jc w:val="both"/>
              <w:rPr>
                <w:sz w:val="24"/>
                <w:szCs w:val="24"/>
              </w:rPr>
            </w:pPr>
            <w:r>
              <w:rPr>
                <w:sz w:val="24"/>
                <w:szCs w:val="24"/>
              </w:rPr>
              <w:lastRenderedPageBreak/>
              <w:t xml:space="preserve">So often in complex cases, as the situation changes so do the theories, models and methods of Social Work assessment and intervention. As the immediate risk to Individual 1 was minimised and manged, we were able to focus on longer term intervention and decision making. Using a Life Course Perspective (Hutchinson, 2007), I was able to work with Individual 1 to go back over the life span to identify key events, trajectories and turning points which lead to life as it is today and to uncover any unmet needs that could be addressed. According to Green (2016) the Life Course Perspective or Life Course Theory has roots in Sociology, Psychology and neuroscience, bringing interdisciplinary fields together to form a theoretical construct for deep understanding and analysis of the whole person across the life span (Hunt, 2017; Levy &amp; Buhlmann, 2016). Systems Theory (Bronfrennbrenner, 1979) and Maslow’s hierarchy of Needs (Maslow, 1954) were also relevant to this case, as the Individual had been isolated and not had their needs met even at a basic level. </w:t>
            </w:r>
          </w:p>
          <w:p w14:paraId="13D96C30" w14:textId="77777777" w:rsidR="00774FDF" w:rsidRDefault="00774FDF" w:rsidP="00774FDF">
            <w:pPr>
              <w:jc w:val="both"/>
              <w:rPr>
                <w:sz w:val="24"/>
                <w:szCs w:val="24"/>
              </w:rPr>
            </w:pPr>
          </w:p>
          <w:p w14:paraId="17182410" w14:textId="77777777" w:rsidR="00774FDF" w:rsidRDefault="00774FDF" w:rsidP="00774FDF">
            <w:pPr>
              <w:jc w:val="both"/>
              <w:rPr>
                <w:sz w:val="24"/>
                <w:szCs w:val="24"/>
              </w:rPr>
            </w:pPr>
            <w:r>
              <w:rPr>
                <w:sz w:val="24"/>
                <w:szCs w:val="24"/>
              </w:rPr>
              <w:t xml:space="preserve">Bearing in mind, Individual 1 remained at risk of emotional harm from trauma, and financial harm, we set about managing these risks. We accompanied Individual 1 to the bank to secure finances, and ensure they had full control of this going forward. This allowed Individual 1 to take action to improve their wellbeing and meet their needs, for example, having a haircut, buying new clothes and booking activities they enjoyed to take part in. The bank was also made of the circumstances and additional alerts were placed on the accounts to ensure Individual 1 would be notified, and asked permission, of any attempts to access or use his financial information.  </w:t>
            </w:r>
          </w:p>
          <w:p w14:paraId="142C3D40" w14:textId="77777777" w:rsidR="00774FDF" w:rsidRDefault="00774FDF" w:rsidP="00774FDF">
            <w:pPr>
              <w:jc w:val="both"/>
              <w:rPr>
                <w:sz w:val="24"/>
                <w:szCs w:val="24"/>
              </w:rPr>
            </w:pPr>
          </w:p>
          <w:p w14:paraId="00368603" w14:textId="77777777" w:rsidR="00774FDF" w:rsidRDefault="00774FDF" w:rsidP="00774FDF">
            <w:pPr>
              <w:jc w:val="both"/>
              <w:rPr>
                <w:sz w:val="24"/>
                <w:szCs w:val="24"/>
              </w:rPr>
            </w:pPr>
            <w:r>
              <w:rPr>
                <w:sz w:val="24"/>
                <w:szCs w:val="24"/>
              </w:rPr>
              <w:t xml:space="preserve">The Advocate and I reached out to many agencies that offer support to persons that have experienced domestic abuse to find out what emotional support, such as counselling, groups etc, they could offer to Individual 1. All bar one of these agencies only offered support to women survivors, and it took a great deal of research to find a specialist agency that was suitable to provide counselling and emotional support. This was limited by the geographical area, which is a rural, deprived area of Wales and lacking in community services across all domains. With this in mind, we worked together to look at more general ways to re-build Individual 1’s support networks such as attending groups, and brought in Local-Area Co-ordinators to assist with this and make initial introductions. </w:t>
            </w:r>
          </w:p>
          <w:p w14:paraId="46BFD8B0" w14:textId="77777777" w:rsidR="00774FDF" w:rsidRDefault="00774FDF" w:rsidP="00774FDF">
            <w:pPr>
              <w:jc w:val="both"/>
              <w:rPr>
                <w:sz w:val="24"/>
                <w:szCs w:val="24"/>
              </w:rPr>
            </w:pPr>
          </w:p>
          <w:p w14:paraId="48E8A93C" w14:textId="77777777" w:rsidR="00774FDF" w:rsidRDefault="00774FDF" w:rsidP="00774FDF">
            <w:pPr>
              <w:jc w:val="both"/>
              <w:rPr>
                <w:sz w:val="24"/>
                <w:szCs w:val="24"/>
              </w:rPr>
            </w:pPr>
            <w:r>
              <w:rPr>
                <w:sz w:val="24"/>
                <w:szCs w:val="24"/>
              </w:rPr>
              <w:t xml:space="preserve">At this point, Individual 1 continued to express fear and influence of Individual 2 in relation to making a decision about returning to live with them. This remained an area of concern and it was clear the risk of harm remained. As Bates et al (2022) explain the risk of escalation of all types of abuse, is particularly high, following separation. There is also extensive research and case studies detailing a high risk of death or serious injury in these types of cases also (Urquia et al 2024; Horn et al, 2024; Office for National Statistics, 2026). </w:t>
            </w:r>
          </w:p>
          <w:p w14:paraId="20B14E19" w14:textId="77777777" w:rsidR="00774FDF" w:rsidRDefault="00774FDF" w:rsidP="00774FDF">
            <w:pPr>
              <w:jc w:val="both"/>
              <w:rPr>
                <w:sz w:val="24"/>
                <w:szCs w:val="24"/>
              </w:rPr>
            </w:pPr>
          </w:p>
          <w:p w14:paraId="4D0DCCC1" w14:textId="77777777" w:rsidR="00774FDF" w:rsidRDefault="00774FDF" w:rsidP="00774FDF">
            <w:pPr>
              <w:jc w:val="both"/>
              <w:rPr>
                <w:sz w:val="24"/>
                <w:szCs w:val="24"/>
              </w:rPr>
            </w:pPr>
            <w:r>
              <w:rPr>
                <w:sz w:val="24"/>
                <w:szCs w:val="24"/>
              </w:rPr>
              <w:t xml:space="preserve">The work with Individual 1 to ensure a safe environment and develop systems of support, were managing the risk, contributing to improving his wellbeing, minimising stress and demonstrating a different way of life. It was hoped that supporting Individual 1 in this way would be enough to provide the strength needed to make a decision of their own accord, however, I was prepared to move forward with applying for Inherent Jurisdiction, as discussed earlier, if needed. This was a very difficult decision to take as it was somewhat at odds with the professional values of my role including promoting rights, co-production and supporting </w:t>
            </w:r>
            <w:r>
              <w:rPr>
                <w:sz w:val="24"/>
                <w:szCs w:val="24"/>
              </w:rPr>
              <w:lastRenderedPageBreak/>
              <w:t xml:space="preserve">individuals to have choice and control over their own lives. However, my professional judgment on this matter was based on risk assessment and analysis of the situation and therefore, was a defensible decision to take (Preston-Shoot, 2019; Taylor &amp; Whitaker, 2018; Stevens et al, 2020) to protect Individual 1 from harm. I also consulted with my Team Manager and legal colleagues who agreed this would be the best course of action to take to protect Individual 1 from harm. </w:t>
            </w:r>
          </w:p>
          <w:p w14:paraId="2574E061" w14:textId="77777777" w:rsidR="00774FDF" w:rsidRDefault="00774FDF" w:rsidP="00774FDF">
            <w:pPr>
              <w:jc w:val="both"/>
              <w:rPr>
                <w:sz w:val="24"/>
                <w:szCs w:val="24"/>
              </w:rPr>
            </w:pPr>
          </w:p>
          <w:p w14:paraId="0FD0C208" w14:textId="77777777" w:rsidR="00774FDF" w:rsidRDefault="00774FDF" w:rsidP="00774FDF">
            <w:pPr>
              <w:jc w:val="both"/>
              <w:rPr>
                <w:sz w:val="24"/>
                <w:szCs w:val="24"/>
              </w:rPr>
            </w:pPr>
            <w:r>
              <w:rPr>
                <w:sz w:val="24"/>
                <w:szCs w:val="24"/>
              </w:rPr>
              <w:t xml:space="preserve">The next step was to discuss this with Individual 1. I arranged a meeting with them and The Advocate came along to offer support. When preparing for this, I felt it was vital to be honest, open and clear about the decision to apply for Inherent Jurisdiction and to support Individual 1 to be involved in the process as much as possible to remain person-centred, co-productive and continue to build on the work we had already done (Social Care Wales, 2017). </w:t>
            </w:r>
          </w:p>
          <w:p w14:paraId="56B069BF" w14:textId="77777777" w:rsidR="00774FDF" w:rsidRDefault="00774FDF" w:rsidP="00774FDF">
            <w:pPr>
              <w:jc w:val="both"/>
              <w:rPr>
                <w:sz w:val="24"/>
                <w:szCs w:val="24"/>
              </w:rPr>
            </w:pPr>
          </w:p>
          <w:p w14:paraId="48D5B11C" w14:textId="77777777" w:rsidR="00774FDF" w:rsidRDefault="00774FDF" w:rsidP="00774FDF">
            <w:pPr>
              <w:jc w:val="both"/>
              <w:rPr>
                <w:sz w:val="24"/>
                <w:szCs w:val="24"/>
              </w:rPr>
            </w:pPr>
            <w:r>
              <w:rPr>
                <w:sz w:val="24"/>
                <w:szCs w:val="24"/>
              </w:rPr>
              <w:t xml:space="preserve">I felt anxious going into the meeting, and a sense that I would be letting Individual 1 down in making this decision. I couldn’t help but think that it was going to be another instance of someone else controlling his life, and this made me feel quite sad. I was aware and prepared for Individual 1 being upset and/or angry at this decision and potentially not wanting to work with me any longer. However, the over-ridding factor of the level of risk should Individual 1 return to live with Individual 2, had to take precedence in decision making to protect them from harm. </w:t>
            </w:r>
          </w:p>
          <w:p w14:paraId="48F84827" w14:textId="77777777" w:rsidR="00774FDF" w:rsidRDefault="00774FDF" w:rsidP="00774FDF">
            <w:pPr>
              <w:jc w:val="both"/>
              <w:rPr>
                <w:sz w:val="24"/>
                <w:szCs w:val="24"/>
              </w:rPr>
            </w:pPr>
          </w:p>
          <w:p w14:paraId="77F4D6DB" w14:textId="77777777" w:rsidR="00774FDF" w:rsidRDefault="00774FDF" w:rsidP="00774FDF">
            <w:pPr>
              <w:jc w:val="both"/>
              <w:rPr>
                <w:sz w:val="24"/>
                <w:szCs w:val="24"/>
              </w:rPr>
            </w:pPr>
            <w:r>
              <w:rPr>
                <w:sz w:val="24"/>
                <w:szCs w:val="24"/>
              </w:rPr>
              <w:t xml:space="preserve">Almost immediately in the discussion, Individual 1 stated they did not wish to return to live with Individual 2 and wanted to stay in their current placement, on a long-term basis. I did not need to even mention Inherent Jurisdiction and Individual 1 presented with conviction and strength in making the decision. This was emotional for all in the room and I was inspired by Individual 1’s strength and courage. While I cannot be certain, I related this change back to the theories used to inform intervention and the support given to promote Induvial 1’s autonomy, control and support systems. In relation to Maslow’s Hierarchy of Needs (Maslow, 1954), Individual 1’s needs were met and he was now able to move up the levels to achieve motivation, acceptance and “self-fulfilment” needs. Similarly, Individual 1’s support across the five systems of support (Bronfrennbrenner, 1979) had also increased, developing relationships, and ensuring an environment where Individual 1 can feel safe and supported to achieve their outcomes.  </w:t>
            </w:r>
          </w:p>
          <w:p w14:paraId="06E395D5" w14:textId="77777777" w:rsidR="00774FDF" w:rsidRDefault="00774FDF" w:rsidP="00774FDF">
            <w:pPr>
              <w:jc w:val="both"/>
              <w:rPr>
                <w:sz w:val="24"/>
                <w:szCs w:val="24"/>
              </w:rPr>
            </w:pPr>
          </w:p>
          <w:p w14:paraId="63F7D309" w14:textId="77777777" w:rsidR="00774FDF" w:rsidRDefault="00774FDF" w:rsidP="00774FDF">
            <w:pPr>
              <w:jc w:val="both"/>
              <w:rPr>
                <w:sz w:val="24"/>
                <w:szCs w:val="24"/>
              </w:rPr>
            </w:pPr>
            <w:r w:rsidRPr="00BD1AC9">
              <w:rPr>
                <w:sz w:val="24"/>
                <w:szCs w:val="24"/>
              </w:rPr>
              <w:t xml:space="preserve">Reflecting on this case has helped me bring together the key elements required for safeguarding practice in Wales: legislation, analysis, professional judgement, theory and collaboration. The case demonstrates complexities and challenges in applying and understanding the legislative framework in practice and in relation to one another. </w:t>
            </w:r>
            <w:r w:rsidRPr="001A5035">
              <w:rPr>
                <w:i/>
                <w:iCs/>
                <w:sz w:val="24"/>
                <w:szCs w:val="24"/>
              </w:rPr>
              <w:t>The Social Services and Well</w:t>
            </w:r>
            <w:r w:rsidRPr="001A5035">
              <w:rPr>
                <w:i/>
                <w:iCs/>
                <w:sz w:val="24"/>
                <w:szCs w:val="24"/>
              </w:rPr>
              <w:noBreakHyphen/>
              <w:t>being (Wales) Act 2014</w:t>
            </w:r>
            <w:r w:rsidRPr="00BD1AC9">
              <w:rPr>
                <w:sz w:val="24"/>
                <w:szCs w:val="24"/>
              </w:rPr>
              <w:t xml:space="preserve"> is the primary legislation in this case,  extending into UK</w:t>
            </w:r>
            <w:r w:rsidRPr="00BD1AC9">
              <w:rPr>
                <w:sz w:val="24"/>
                <w:szCs w:val="24"/>
              </w:rPr>
              <w:noBreakHyphen/>
              <w:t xml:space="preserve">wide duties such as the </w:t>
            </w:r>
            <w:r w:rsidRPr="001A5035">
              <w:rPr>
                <w:i/>
                <w:iCs/>
                <w:sz w:val="24"/>
                <w:szCs w:val="24"/>
              </w:rPr>
              <w:t>Mental Capacity Act 2005</w:t>
            </w:r>
            <w:r w:rsidRPr="00BD1AC9">
              <w:rPr>
                <w:sz w:val="24"/>
                <w:szCs w:val="24"/>
              </w:rPr>
              <w:t xml:space="preserve">, the </w:t>
            </w:r>
            <w:r w:rsidRPr="001A5035">
              <w:rPr>
                <w:i/>
                <w:iCs/>
                <w:sz w:val="24"/>
                <w:szCs w:val="24"/>
              </w:rPr>
              <w:t>Human Rights Act 1998</w:t>
            </w:r>
            <w:r w:rsidRPr="00BD1AC9">
              <w:rPr>
                <w:sz w:val="24"/>
                <w:szCs w:val="24"/>
              </w:rPr>
              <w:t xml:space="preserve"> and the </w:t>
            </w:r>
            <w:r w:rsidRPr="001A5035">
              <w:rPr>
                <w:i/>
                <w:iCs/>
                <w:sz w:val="24"/>
                <w:szCs w:val="24"/>
              </w:rPr>
              <w:t>Domestic Abuse Act 2021</w:t>
            </w:r>
            <w:r w:rsidRPr="00BD1AC9">
              <w:rPr>
                <w:sz w:val="24"/>
                <w:szCs w:val="24"/>
              </w:rPr>
              <w:t xml:space="preserve">. Working in Wales also meant recognising the influence of European human rights principles, which are imbedded into Welsh Law. </w:t>
            </w:r>
          </w:p>
          <w:p w14:paraId="3567E520" w14:textId="77777777" w:rsidR="00774FDF" w:rsidRPr="00BD1AC9" w:rsidRDefault="00774FDF" w:rsidP="00774FDF">
            <w:pPr>
              <w:jc w:val="both"/>
              <w:rPr>
                <w:sz w:val="24"/>
                <w:szCs w:val="24"/>
              </w:rPr>
            </w:pPr>
          </w:p>
          <w:p w14:paraId="6DCDC2D5" w14:textId="77777777" w:rsidR="00774FDF" w:rsidRDefault="00774FDF" w:rsidP="00774FDF">
            <w:pPr>
              <w:jc w:val="both"/>
              <w:rPr>
                <w:sz w:val="24"/>
                <w:szCs w:val="24"/>
              </w:rPr>
            </w:pPr>
            <w:r w:rsidRPr="00BD1AC9">
              <w:rPr>
                <w:sz w:val="24"/>
                <w:szCs w:val="24"/>
              </w:rPr>
              <w:t>The assessment process highlighted the importance of critical analysis, to inform professional judgements and further intervention. The theories used; Trauma</w:t>
            </w:r>
            <w:r w:rsidRPr="00BD1AC9">
              <w:rPr>
                <w:sz w:val="24"/>
                <w:szCs w:val="24"/>
              </w:rPr>
              <w:noBreakHyphen/>
              <w:t xml:space="preserve">Informed Practice, Systems Theory, Maslow’s Hierarchy of Needs and the Life Course Perspective,  supported </w:t>
            </w:r>
            <w:r w:rsidRPr="00BD1AC9">
              <w:rPr>
                <w:sz w:val="24"/>
                <w:szCs w:val="24"/>
              </w:rPr>
              <w:lastRenderedPageBreak/>
              <w:t>assessment and decision making while highlighting barriers and dilemmas  faced in managing risk in Adult Safeguarding work. Using these theories , alongside legislation and practice frameworks created a dialogue for assessment and ensured communication, intervention and decisions making was  person</w:t>
            </w:r>
            <w:r w:rsidRPr="00BD1AC9">
              <w:rPr>
                <w:sz w:val="24"/>
                <w:szCs w:val="24"/>
              </w:rPr>
              <w:noBreakHyphen/>
              <w:t>centred, evidence-based, while working to minimise the risk of harm.</w:t>
            </w:r>
          </w:p>
          <w:p w14:paraId="09B846CA" w14:textId="77777777" w:rsidR="00774FDF" w:rsidRPr="00BD1AC9" w:rsidRDefault="00774FDF" w:rsidP="00774FDF">
            <w:pPr>
              <w:jc w:val="both"/>
              <w:rPr>
                <w:sz w:val="24"/>
                <w:szCs w:val="24"/>
              </w:rPr>
            </w:pPr>
          </w:p>
          <w:p w14:paraId="7D806BF3" w14:textId="77777777" w:rsidR="00774FDF" w:rsidRDefault="00774FDF" w:rsidP="00774FDF">
            <w:pPr>
              <w:jc w:val="both"/>
              <w:rPr>
                <w:sz w:val="24"/>
                <w:szCs w:val="24"/>
              </w:rPr>
            </w:pPr>
            <w:r w:rsidRPr="00BD1AC9">
              <w:rPr>
                <w:sz w:val="24"/>
                <w:szCs w:val="24"/>
              </w:rPr>
              <w:t xml:space="preserve">On further reflection, I recognise that balancing Individual 1’s autonomy with the duty to protect required careful consideration of risk, consultation with safeguarding and legal colleagues, and a clear understanding of thresholds, particularly when exploring the possibility of Inherent Jurisdiction. I found this professionally challenging on times, and had to keep the duty to protect at the fore front of my mind. Supervision and discussion with colleagues helped me to understand decisions and uphold my function as a Social Worker throughout. </w:t>
            </w:r>
          </w:p>
          <w:p w14:paraId="42BA4ECD" w14:textId="77777777" w:rsidR="00774FDF" w:rsidRPr="00BD1AC9" w:rsidRDefault="00774FDF" w:rsidP="00774FDF">
            <w:pPr>
              <w:jc w:val="both"/>
              <w:rPr>
                <w:sz w:val="24"/>
                <w:szCs w:val="24"/>
              </w:rPr>
            </w:pPr>
          </w:p>
          <w:p w14:paraId="006DDC54" w14:textId="77777777" w:rsidR="00774FDF" w:rsidRPr="00BD1AC9" w:rsidRDefault="00774FDF" w:rsidP="00774FDF">
            <w:pPr>
              <w:jc w:val="both"/>
              <w:rPr>
                <w:sz w:val="24"/>
                <w:szCs w:val="24"/>
              </w:rPr>
            </w:pPr>
            <w:r w:rsidRPr="00BD1AC9">
              <w:rPr>
                <w:sz w:val="24"/>
                <w:szCs w:val="24"/>
              </w:rPr>
              <w:t>This case also highlighted the importance of collaboration in the Welsh context. Multi</w:t>
            </w:r>
            <w:r w:rsidRPr="00BD1AC9">
              <w:rPr>
                <w:sz w:val="24"/>
                <w:szCs w:val="24"/>
              </w:rPr>
              <w:noBreakHyphen/>
              <w:t xml:space="preserve">disciplinary involvement was vital, given the limited services available for male victims of domestic abuse in rural Wales. Despite these challenges, coordinated practice helped overcome barriers and support Individual 1 to be empowered to make decisions about their own life, in a safe and constructive way. </w:t>
            </w:r>
          </w:p>
          <w:p w14:paraId="45D1E5EC" w14:textId="77777777" w:rsidR="00774FDF" w:rsidRDefault="00774FDF" w:rsidP="00FF7EBB">
            <w:pPr>
              <w:jc w:val="both"/>
              <w:rPr>
                <w:iCs/>
                <w:sz w:val="24"/>
                <w:szCs w:val="24"/>
              </w:rPr>
            </w:pPr>
          </w:p>
          <w:p w14:paraId="26E6A551" w14:textId="32D872DB" w:rsidR="00836F56" w:rsidRPr="00B502C9" w:rsidRDefault="00836F56" w:rsidP="00FF7EBB">
            <w:pPr>
              <w:jc w:val="both"/>
              <w:rPr>
                <w:iCs/>
                <w:sz w:val="24"/>
                <w:szCs w:val="24"/>
              </w:rPr>
            </w:pPr>
            <w:r>
              <w:rPr>
                <w:iCs/>
                <w:sz w:val="24"/>
                <w:szCs w:val="24"/>
              </w:rPr>
              <w:t>Word Count - 3861</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95BCC" w14:textId="77777777" w:rsidR="006B2C2D" w:rsidRDefault="006B2C2D">
      <w:r>
        <w:separator/>
      </w:r>
    </w:p>
  </w:endnote>
  <w:endnote w:type="continuationSeparator" w:id="0">
    <w:p w14:paraId="06EB0F70" w14:textId="77777777" w:rsidR="006B2C2D" w:rsidRDefault="006B2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F2A7E" w14:textId="77777777" w:rsidR="006B2C2D" w:rsidRDefault="006B2C2D">
      <w:r>
        <w:separator/>
      </w:r>
    </w:p>
  </w:footnote>
  <w:footnote w:type="continuationSeparator" w:id="0">
    <w:p w14:paraId="1054A40E" w14:textId="77777777" w:rsidR="006B2C2D" w:rsidRDefault="006B2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1425"/>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4207"/>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37C6"/>
    <w:rsid w:val="00674FC2"/>
    <w:rsid w:val="00676E35"/>
    <w:rsid w:val="00677E42"/>
    <w:rsid w:val="00682334"/>
    <w:rsid w:val="00684732"/>
    <w:rsid w:val="00684B16"/>
    <w:rsid w:val="00687016"/>
    <w:rsid w:val="006872A0"/>
    <w:rsid w:val="0069625A"/>
    <w:rsid w:val="00696A88"/>
    <w:rsid w:val="00696F65"/>
    <w:rsid w:val="00697572"/>
    <w:rsid w:val="006B2C2D"/>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FDF"/>
    <w:rsid w:val="00777900"/>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56"/>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0E0C"/>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2C9"/>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375"/>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96"/>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3885</Words>
  <Characters>22150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Carolanne Jones</cp:lastModifiedBy>
  <cp:revision>8</cp:revision>
  <cp:lastPrinted>2020-02-11T19:20:00Z</cp:lastPrinted>
  <dcterms:created xsi:type="dcterms:W3CDTF">2025-11-05T14:21:00Z</dcterms:created>
  <dcterms:modified xsi:type="dcterms:W3CDTF">2026-02-24T12:02:00Z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